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바탕" w:cs="바탕" w:eastAsia="바탕" w:hAnsi="바탕"/>
          <w:lang w:val="en-US" w:eastAsia="ko-KR"/>
        </w:rPr>
        <w:t xml:space="preserve">석사학위논문 초고 요약</w:t>
      </w:r>
    </w:p>
    <w:p>
      <w:pPr>
        <w:keepNext w:val="false"/>
        <w:widowControl/>
        <w:spacing w:after="120" w:before="0" w:line="384"/>
        <w:ind w:firstLine="210"/>
        <w:jc w:val="both"/>
      </w:pPr>
      <w:r>
        <w:rPr>
          <w:rFonts w:ascii="바탕" w:cs="바탕" w:eastAsia="바탕" w:hAnsi="바탕"/>
          <w:sz w:val="21"/>
          <w:szCs w:val="21"/>
          <w:lang w:val="en-US" w:eastAsia="ko-KR"/>
        </w:rPr>
        <w:t xml:space="preserve">인공지능융합학과 김승민 · 2026년 10월</w:t>
      </w:r>
    </w:p>
    <w:p>
      <w:pPr>
        <w:keepNext w:val="false"/>
        <w:widowControl/>
        <w:spacing w:after="120" w:before="0" w:line="384"/>
        <w:ind w:firstLine="210"/>
        <w:jc w:val="both"/>
      </w:pPr>
      <w:r>
        <w:rPr>
          <w:rFonts w:ascii="바탕" w:cs="바탕" w:eastAsia="바탕" w:hAnsi="바탕"/>
          <w:sz w:val="21"/>
          <w:szCs w:val="21"/>
          <w:lang w:val="en-US" w:eastAsia="ko-KR"/>
        </w:rPr>
        <w:t xml:space="preserve">제목(안): 사전학습 시계열 모델의 금융 수익률 예측구간: 오차의 출처와 재학습 없는 사후보정 (부제: 실측 기반 합성 데이터 통제 실험과 미국·한국 대형주 실증)</w:t>
      </w:r>
    </w:p>
    <w:p>
      <w:pPr>
        <w:pStyle w:val="Heading2"/>
        <w:keepNext/>
      </w:pPr>
      <w:r>
        <w:rPr>
          <w:rFonts w:ascii="바탕" w:cs="바탕" w:eastAsia="바탕" w:hAnsi="바탕"/>
          <w:lang w:val="en-US" w:eastAsia="ko-KR"/>
        </w:rPr>
        <w:t xml:space="preserve">한 줄 요약</w:t>
      </w:r>
    </w:p>
    <w:p>
      <w:pPr>
        <w:keepNext w:val="false"/>
        <w:widowControl/>
        <w:spacing w:after="120" w:before="0" w:line="384"/>
        <w:ind w:firstLine="210"/>
        <w:jc w:val="both"/>
      </w:pPr>
      <w:r>
        <w:rPr>
          <w:rFonts w:ascii="바탕" w:cs="바탕" w:eastAsia="바탕" w:hAnsi="바탕"/>
          <w:sz w:val="21"/>
          <w:szCs w:val="21"/>
          <w:lang w:val="en-US" w:eastAsia="ko-KR"/>
        </w:rPr>
        <w:t xml:space="preserve">사전학습 시계열 모델(TSFM)의 주가 수익률 80% 예측구간이 틀어지는 원인은 금융 데이터의 특성보다 모델과 입력 설정이며, 이 오차는 모델을 재학습하지 않는 사후보정으로 바로잡힙니다.</w:t>
      </w:r>
    </w:p>
    <w:p>
      <w:pPr>
        <w:pStyle w:val="Heading2"/>
        <w:keepNext/>
      </w:pPr>
      <w:r>
        <w:rPr>
          <w:rFonts w:ascii="바탕" w:cs="바탕" w:eastAsia="바탕" w:hAnsi="바탕"/>
          <w:lang w:val="en-US" w:eastAsia="ko-KR"/>
        </w:rPr>
        <w:t xml:space="preserve">1. 왜 이 연구인가</w:t>
      </w:r>
    </w:p>
    <w:p>
      <w:pPr>
        <w:keepNext/>
        <w:widowControl/>
        <w:spacing w:after="120" w:before="0" w:line="384"/>
        <w:ind w:firstLine="210"/>
        <w:jc w:val="both"/>
      </w:pPr>
      <w:r>
        <w:rPr>
          <w:rFonts w:ascii="바탕" w:cs="바탕" w:eastAsia="바탕" w:hAnsi="바탕"/>
          <w:sz w:val="21"/>
          <w:szCs w:val="21"/>
          <w:lang w:val="en-US" w:eastAsia="ko-KR"/>
        </w:rPr>
        <w:t xml:space="preserve">TSFM은 추가 학습 없이 점 예측과 함께 "내일 수익률이 80% 확률로 이 범위에 든다" 같은 예측구간을 냅니다. 이 구간을 위험 한도(VaR) 같은 위험 관리에 쓰려면 실제로 열 번 중 여덟 번은 맞아야 합니다(커버리지 80%). 그런데 금융 분야의 TSFM 연구는 점 예측 정확도만 비교했고 예측구간이 맞는지는 보지 않았습니다. 본 연구는 세 가지를 묻습니다.</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RQ1 (진단): 구간이 틀어진다면 원인은 금융 데이터의 특성(변동성 군집, 두꺼운 꼬리, 국면 전환)인가, 모델과 입력 설정인가?</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RQ2 (실증 평가): 실제 미국·한국 대형주에서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1"/>
          <w:szCs w:val="21"/>
          <w:lang w:val="en-US" w:eastAsia="ko-KR"/>
        </w:rPr>
        <w:t xml:space="preserve">RQ3 (처방): 모델을 재학습하지 않는 사후보정(ACI-CQR)으로 커버리지를 80%로 되돌릴 수 있는가? 그 대가는 무엇인가?</w:t>
      </w:r>
    </w:p>
    <w:p>
      <w:pPr>
        <w:pStyle w:val="Heading2"/>
        <w:keepNext/>
      </w:pPr>
      <w:r>
        <w:rPr>
          <w:rFonts w:ascii="바탕" w:cs="바탕" w:eastAsia="바탕" w:hAnsi="바탕"/>
          <w:lang w:val="en-US" w:eastAsia="ko-KR"/>
        </w:rPr>
        <w:t xml:space="preserve">2. 무엇을 알게 되었나</w:t>
      </w:r>
    </w:p>
    <w:p>
      <w:pPr>
        <w:keepNext/>
        <w:keepLines/>
        <w:widowControl/>
        <w:spacing w:after="60" w:line="384"/>
        <w:ind w:left="360" w:hanging="360"/>
        <w:jc w:val="both"/>
      </w:pPr>
      <w:r>
        <w:rPr>
          <w:rFonts w:ascii="바탕" w:cs="바탕" w:eastAsia="바탕" w:hAnsi="바탕"/>
          <w:sz w:val="21"/>
          <w:szCs w:val="21"/>
          <w:lang w:val="en-US" w:eastAsia="ko-KR"/>
        </w:rPr>
        <w:t xml:space="preserve">1. 오차는 금융 특성보다 모델과 입력 설정에서 옵니다. 특성이 전혀 없는 데이터에서 이미 커버리지가 75~88%로 갈렸고, 특성을 가장 강하게 넣어도 대부분 3%p 안에서만 움직였습니다. 실제 주가의 커버리지도 특성 없는 합성 데이터와 평균 1.1%p 차이였습니다.</w:t>
      </w:r>
    </w:p>
    <w:p>
      <w:pPr>
        <w:keepNext/>
        <w:keepLines/>
        <w:widowControl/>
        <w:spacing w:after="60" w:line="384"/>
        <w:ind w:left="360" w:hanging="360"/>
        <w:jc w:val="both"/>
      </w:pPr>
      <w:r>
        <w:rPr>
          <w:rFonts w:ascii="바탕" w:cs="바탕" w:eastAsia="바탕" w:hAnsi="바탕"/>
          <w:sz w:val="21"/>
          <w:szCs w:val="21"/>
          <w:lang w:val="en-US" w:eastAsia="ko-KR"/>
        </w:rPr>
        <w:t xml:space="preserve">2. 이 오차는 재학습 없이 바로잡힙니다. 사후보정으로 모든 모델·조건의 평균 커버리지가 80%로 돌아왔고, 대가는 이상적인 구간보다 5~48% 넓은 구간입니다(RQ3).</w:t>
      </w:r>
    </w:p>
    <w:p>
      <w:pPr>
        <w:keepNext w:val="false"/>
        <w:keepLines/>
        <w:widowControl/>
        <w:spacing w:after="60" w:line="384"/>
        <w:ind w:left="360" w:hanging="360"/>
        <w:jc w:val="both"/>
      </w:pPr>
      <w:r>
        <w:rPr>
          <w:rFonts w:ascii="바탕" w:cs="바탕" w:eastAsia="바탕" w:hAnsi="바탕"/>
          <w:sz w:val="21"/>
          <w:szCs w:val="21"/>
          <w:lang w:val="en-US" w:eastAsia="ko-KR"/>
        </w:rPr>
        <w:t xml:space="preserve">3. 분포 정확도는 단순 기준 모형(RW) 수준이며 넘지 못했습니다(RQ2). 따라서 TSFM 예측구간은 수익률 예측보다, 모델과 설정을 점검하고 보정을 거친 위험 측정에 쓰는 것이 맞습니다.</w:t>
      </w:r>
    </w:p>
    <w:p>
      <w:pPr>
        <w:keepNext w:val="false"/>
        <w:widowControl/>
        <w:spacing w:after="120" w:before="0" w:line="384"/>
        <w:ind w:firstLine="210"/>
        <w:jc w:val="both"/>
      </w:pPr>
      <w:r>
        <w:rPr>
          <w:rFonts w:ascii="바탕" w:cs="바탕" w:eastAsia="바탕" w:hAnsi="바탕"/>
          <w:sz w:val="21"/>
          <w:szCs w:val="21"/>
          <w:lang w:val="en-US" w:eastAsia="ko-KR"/>
        </w:rPr>
        <w:t xml:space="preserve">기여: 특성을 하나씩 통제한 실측 기반 합성 데이터 실험으로, 크게 어긋나는 모델과 설정을 실제 데이터에 쓰기 전에 가려내는 점검 절차를 보였고, 그 오차가 재학습 없는 사후보정으로 바로잡힘을 합성과 실제 양쪽에서 검증했습니다.</w:t>
      </w:r>
    </w:p>
    <w:p>
      <w:pPr>
        <w:pStyle w:val="Heading2"/>
        <w:keepNext/>
      </w:pPr>
      <w:r>
        <w:rPr>
          <w:rFonts w:ascii="바탕" w:cs="바탕" w:eastAsia="바탕" w:hAnsi="바탕"/>
          <w:lang w:val="en-US" w:eastAsia="ko-KR"/>
        </w:rPr>
        <w:t xml:space="preserve">3. 어떻게 했나</w:t>
      </w:r>
    </w:p>
    <w:p>
      <w:pPr>
        <w:keepNext w:val="false"/>
        <w:spacing w:after="60" w:before="120"/>
        <w:jc w:val="center"/>
      </w:pPr>
      <w:r>
        <w:drawing>
          <wp:inline distT="0" distB="0" distL="0" distR="0">
            <wp:extent cx="414337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743075"/>
                    </a:xfrm>
                    <a:prstGeom prst="rect">
                      <a:avLst/>
                    </a:prstGeom>
                  </pic:spPr>
                </pic:pic>
              </a:graphicData>
            </a:graphic>
          </wp:inline>
        </w:drawing>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합성 데이터 실험(RQ1): 실제 10종목에서 측정한 특성 강도로 17개 시나리오를 만들었습니다(특성 없음 1개 + 4개 특성 × 4단계). 같은 난수를 쓰고 특성 하나만 바꾸므로, 커버리지가 달라지면 그 특성 때문입니다. 참 분포를 알기 때문에 채점 절차도 확인했습니다(오라클 모형 79.3~80.2%).</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실제 주가 평가(RQ2): 같은 절차를 미국 5종목, 한국 5종목의 2017~2026년 매 거래일(24,132건)에 적용했습니다.</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공통: TSFM 4종(Chronos-T5, Chronos-2, TimesFM-2.5, Moirai-2.0) × 4개 조건(과거 21일·252일 × 수익률·가격 입력)으로 다음 날 수익률을 예측했고, RW와 GARCH-t를 기준 모형으로 두었습니다. 사후보정(RQ3)은 두 환경 모두에 적용했습니다.</w:t>
      </w:r>
    </w:p>
    <w:p>
      <w:pPr>
        <w:pStyle w:val="ListParagraph"/>
        <w:keepNext w:val="false"/>
        <w:keepLines/>
        <w:widowControl/>
        <w:numPr>
          <w:ilvl w:val="0"/>
          <w:numId w:val="2"/>
        </w:numPr>
        <w:spacing w:after="60" w:line="384"/>
        <w:jc w:val="both"/>
      </w:pPr>
      <w:r>
        <w:rPr>
          <w:rFonts w:ascii="바탕" w:cs="바탕" w:eastAsia="바탕" w:hAnsi="바탕"/>
          <w:sz w:val="21"/>
          <w:szCs w:val="21"/>
          <w:lang w:val="en-US" w:eastAsia="ko-KR"/>
        </w:rPr>
        <w:t xml:space="preserve">가설과 판정 기준은 실험 전에 정해 두었고, 통계적 유의성과 함께 실질 기준(커버리지 ±2%p)으로 판정했습니다.</w:t>
      </w:r>
    </w:p>
    <w:p>
      <w:pPr>
        <w:pStyle w:val="Heading2"/>
        <w:keepNext/>
      </w:pPr>
      <w:r>
        <w:rPr>
          <w:rFonts w:ascii="바탕" w:cs="바탕" w:eastAsia="바탕" w:hAnsi="바탕"/>
          <w:lang w:val="en-US" w:eastAsia="ko-KR"/>
        </w:rPr>
        <w:t xml:space="preserve">4. RQ1 진단: 오차는 어디서 오는가</w:t>
      </w:r>
    </w:p>
    <w:p>
      <w:pPr>
        <w:keepNext/>
        <w:widowControl/>
        <w:spacing w:after="120" w:before="0" w:line="384"/>
        <w:ind w:firstLine="210"/>
        <w:jc w:val="both"/>
      </w:pPr>
      <w:r>
        <w:rPr>
          <w:rFonts w:ascii="바탕" w:cs="바탕" w:eastAsia="바탕" w:hAnsi="바탕"/>
          <w:sz w:val="21"/>
          <w:szCs w:val="21"/>
          <w:lang w:val="en-US" w:eastAsia="ko-KR"/>
        </w:rPr>
        <w:t xml:space="preserve">예상(가설 H1~H4): 기존 연구의 관점대로, 변동성 군집(H1), 두꺼운 꼬리(H2), 국면 전환의 빈도(H3a)와 크기(H3b)가 강할수록 구간이 상대적으로 좁아져 커버리지가 떨어질 것이고, 특성마다 그 정도가 다를 것(H4)이라고 예상했습니다.</w:t>
      </w:r>
    </w:p>
    <w:p>
      <w:pPr>
        <w:keepNext w:val="false"/>
        <w:spacing w:after="60" w:before="120"/>
        <w:jc w:val="center"/>
      </w:pPr>
      <w:r>
        <w:drawing>
          <wp:inline distT="0" distB="0" distL="0" distR="0">
            <wp:extent cx="4143375"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43375" cy="2333625"/>
                    </a:xfrm>
                    <a:prstGeom prst="rect">
                      <a:avLst/>
                    </a:prstGeom>
                  </pic:spPr>
                </pic:pic>
              </a:graphicData>
            </a:graphic>
          </wp:inline>
        </w:drawing>
      </w:r>
    </w:p>
    <w:p>
      <w:pPr>
        <w:keepNext/>
        <w:widowControl/>
        <w:spacing w:after="120" w:before="0" w:line="384"/>
        <w:ind w:firstLine="210"/>
        <w:jc w:val="both"/>
      </w:pPr>
      <w:r>
        <w:rPr>
          <w:rFonts w:ascii="바탕" w:cs="바탕" w:eastAsia="바탕" w:hAnsi="바탕"/>
          <w:sz w:val="21"/>
          <w:szCs w:val="21"/>
          <w:lang w:val="en-US" w:eastAsia="ko-KR"/>
        </w:rPr>
        <w:t xml:space="preserve">결과:</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특성이 하나도 없는 데이터(그림 맨 윗줄)에서 이미 커버리지가 75~88%로 퍼졌고, 16개 조건 중 절반이 80% ± 2%p를 벗어났습니다. 같은 모델도 입력에 따라 달라서, TimesFM-2.5는 1년·가격 88%, 1년·수익률 79%였습니다.</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특성을 실제 종목 중 가장 강한 수준으로 올려도 변화는 대부분 3%p 안이었습니다. 그림의 색은 세로(모델·조건)로 바뀌고 가로(특성)로는 거의 바뀌지 않습니다. 커버리지 변동의 90%가 모델·조건, 7%가 특성의 차이로 설명됩니다.</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예상한 방향으로 움직인 것은 군집뿐이었고(실질적으로 큰 하락은 2개 조건, −2.0~−2.5%p), 꼬리와 잦은 국면 전환은 오히려 커버리지를 높였습니다. 전환 크기는 영향이 없었습니다.</w:t>
      </w:r>
    </w:p>
    <w:p>
      <w:pPr>
        <w:pStyle w:val="ListParagraph"/>
        <w:keepNext w:val="false"/>
        <w:keepLines/>
        <w:widowControl/>
        <w:numPr>
          <w:ilvl w:val="0"/>
          <w:numId w:val="2"/>
        </w:numPr>
        <w:spacing w:after="60" w:line="384"/>
        <w:jc w:val="both"/>
      </w:pPr>
      <w:r>
        <w:rPr>
          <w:rFonts w:ascii="바탕" w:cs="바탕" w:eastAsia="바탕" w:hAnsi="바탕"/>
          <w:sz w:val="21"/>
          <w:szCs w:val="21"/>
          <w:lang w:val="en-US" w:eastAsia="ko-KR"/>
        </w:rPr>
        <w:t xml:space="preserve">실험 중에는 Chronos-T5의 라이브러리 기본 샘플링 설정이 수익률 입력의 커버리지를 14%로 무너뜨리는 것을 발견해 바로잡았습니다(바로잡은 뒤 76~79%). 설정 하나가 어떤 특성보다 큰 차이를 만든 사례로, 경위와 바로잡기 전 결과는 부록 A.3에 실었습니다.</w:t>
      </w:r>
    </w:p>
    <w:p>
      <w:pPr>
        <w:keepNext w:val="false"/>
        <w:widowControl/>
        <w:spacing w:after="120" w:before="0" w:line="384"/>
        <w:ind w:firstLine="210"/>
        <w:jc w:val="both"/>
      </w:pPr>
      <w:r>
        <w:rPr>
          <w:rFonts w:ascii="바탕" w:cs="바탕" w:eastAsia="바탕" w:hAnsi="바탕"/>
          <w:sz w:val="21"/>
          <w:szCs w:val="21"/>
          <w:lang w:val="en-US" w:eastAsia="ko-KR"/>
        </w:rPr>
        <w:t xml:space="preserve">해석: 꼬리와 국면 전환이 커버리지를 높인 것은 모델이 꼬리를 잘 다뤄서가 아니라 80% 구간의 수학적 성질 때문입니다. 분산이 같으면 꼬리가 두꺼운 분포는 중심부에 더 몰리므로, 분산 기반 80% 구간에 더 많이 들어옵니다(이론 커버리지 82~87%). 같은 이유로 99% 근처 구간에서는 방향이 반대가 되며, 극단 분위수를 내는 Chronos-2로 확인한 결과 98% 구간에서는 꼬리와 국면 전환이 실제로 커버리지를 낮추었습니다(본문 표 4-3, 4-4). 따라서 이 결과를 극단 위험에 그대로 적용할 수는 없습니다.</w:t>
      </w:r>
    </w:p>
    <w:p>
      <w:pPr>
        <w:keepNext w:val="false"/>
        <w:widowControl/>
        <w:spacing w:after="120" w:before="0" w:line="384"/>
        <w:ind w:firstLine="210"/>
        <w:jc w:val="both"/>
      </w:pPr>
      <w:r>
        <w:rPr>
          <w:rFonts w:ascii="바탕" w:cs="바탕" w:eastAsia="바탕" w:hAnsi="바탕"/>
          <w:sz w:val="21"/>
          <w:szCs w:val="21"/>
          <w:lang w:val="en-US" w:eastAsia="ko-KR"/>
        </w:rPr>
        <w:t xml:space="preserve">답: 오차의 대부분은 금융 특성보다 모델과 입력 설정에서 옵니다. 특성 중에서는 군집만 불리하게 작용했습니다.</w:t>
      </w:r>
    </w:p>
    <w:p>
      <w:pPr>
        <w:pStyle w:val="Heading2"/>
        <w:keepNext/>
      </w:pPr>
      <w:r>
        <w:rPr>
          <w:rFonts w:ascii="바탕" w:cs="바탕" w:eastAsia="바탕" w:hAnsi="바탕"/>
          <w:lang w:val="en-US" w:eastAsia="ko-KR"/>
        </w:rPr>
        <w:t xml:space="preserve">5. RQ2 실증: 실제 주가에서도 그런가, 기준 모형보다 나은가</w:t>
      </w:r>
    </w:p>
    <w:p>
      <w:pPr>
        <w:keepNext/>
        <w:widowControl/>
        <w:spacing w:after="120" w:before="0" w:line="384"/>
        <w:ind w:firstLine="210"/>
        <w:jc w:val="both"/>
      </w:pPr>
      <w:r>
        <w:rPr>
          <w:rFonts w:ascii="바탕" w:cs="바탕" w:eastAsia="바탕" w:hAnsi="바탕"/>
          <w:sz w:val="21"/>
          <w:szCs w:val="21"/>
          <w:lang w:val="en-US" w:eastAsia="ko-KR"/>
        </w:rPr>
        <w:t xml:space="preserve">예상(가설 H5): TSFM이 RW보다 분포 정확도(분위수 손실)가 좋을 것이라고 예상했습니다.</w:t>
      </w:r>
    </w:p>
    <w:p>
      <w:pPr>
        <w:keepNext w:val="false"/>
        <w:spacing w:after="60" w:before="120"/>
        <w:jc w:val="center"/>
      </w:pPr>
      <w:r>
        <w:drawing>
          <wp:inline distT="0" distB="0" distL="0" distR="0">
            <wp:extent cx="41433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43375" cy="3362325"/>
                    </a:xfrm>
                    <a:prstGeom prst="rect">
                      <a:avLst/>
                    </a:prstGeom>
                  </pic:spPr>
                </pic:pic>
              </a:graphicData>
            </a:graphic>
          </wp:inline>
        </w:drawing>
      </w:r>
    </w:p>
    <w:p>
      <w:pPr>
        <w:keepNext/>
        <w:widowControl/>
        <w:spacing w:after="120" w:before="0" w:line="384"/>
        <w:ind w:firstLine="210"/>
        <w:jc w:val="both"/>
      </w:pPr>
      <w:r>
        <w:rPr>
          <w:rFonts w:ascii="바탕" w:cs="바탕" w:eastAsia="바탕" w:hAnsi="바탕"/>
          <w:sz w:val="21"/>
          <w:szCs w:val="21"/>
          <w:lang w:val="en-US" w:eastAsia="ko-KR"/>
        </w:rPr>
        <w:t xml:space="preserve">결과:</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실제 10종목의 커버리지는 76~88%로, 특성 없는 합성 데이터의 커버리지와 19개 모델·조건 평균 1.1%p(최대 3.6%p) 차이였습니다(그림의 점이 대각선 근처에 모임). 미국과 한국, 종목 간 차이는 모델·조건 간 차이보다 작았습니다.</w:t>
      </w:r>
    </w:p>
    <w:p>
      <w:pPr>
        <w:pStyle w:val="ListParagraph"/>
        <w:keepNext w:val="false"/>
        <w:keepLines/>
        <w:widowControl/>
        <w:numPr>
          <w:ilvl w:val="0"/>
          <w:numId w:val="2"/>
        </w:numPr>
        <w:spacing w:after="60" w:line="384"/>
        <w:jc w:val="both"/>
      </w:pPr>
      <w:r>
        <w:rPr>
          <w:rFonts w:ascii="바탕" w:cs="바탕" w:eastAsia="바탕" w:hAnsi="바탕"/>
          <w:sz w:val="21"/>
          <w:szCs w:val="21"/>
          <w:lang w:val="en-US" w:eastAsia="ko-KR"/>
        </w:rPr>
        <w:t xml:space="preserve">분위수 손실은 16개 조건 중 12개에서 RW보다 컸고, 가장 나은 조건(네 모델의 1년·수익률)에서 RW와 같은 수준이었습니다. 같은 과거 1년을 쓰는 GARCH-t보다는 1년 조건 모두 손실이 컸습니다(1년·수익률은 0.4~1.5%로 작은 차이).</w:t>
      </w:r>
    </w:p>
    <w:p>
      <w:pPr>
        <w:keepNext w:val="false"/>
        <w:widowControl/>
        <w:spacing w:after="120" w:before="0" w:line="384"/>
        <w:ind w:firstLine="210"/>
        <w:jc w:val="both"/>
      </w:pPr>
      <w:r>
        <w:rPr>
          <w:rFonts w:ascii="바탕" w:cs="바탕" w:eastAsia="바탕" w:hAnsi="바탕"/>
          <w:sz w:val="21"/>
          <w:szCs w:val="21"/>
          <w:lang w:val="en-US" w:eastAsia="ko-KR"/>
        </w:rPr>
        <w:t xml:space="preserve">해석: 실제 주가에는 군집·꼬리·국면 전환이 모두 섞여 있는데도 특성 없는 데이터와 비슷한 커버리지가 나왔으므로, 합성 실험의 결론이 실제에서도 성립합니다. 다만 모든 조건을 80%로 짐작하는 것보다 합성이 실제에 더 가깝다는 점은 조건 수가 적어 통계적으로 확실하지 않고(19개 중 12개, p = 0.07), 분명한 것은 크게 어긋나는 경우(TimesFM 1년·가격 88%, 기본 설정 Chronos-T5 14%)가 합성 데이터에서 이미 그대로 드러났다는 점입니다. 분포 정확도는 점 예측 연구에서 보고된 한계가 분포 예측에서도 나타난 것입니다. 일별 수익률은 방향을 거의 예측할 수 없으므로 최근 변동 크기만 반영한 RW가 이미 정답에 가깝습니다.</w:t>
      </w:r>
    </w:p>
    <w:p>
      <w:pPr>
        <w:keepNext w:val="false"/>
        <w:widowControl/>
        <w:spacing w:after="120" w:before="0" w:line="384"/>
        <w:ind w:firstLine="210"/>
        <w:jc w:val="both"/>
      </w:pPr>
      <w:r>
        <w:rPr>
          <w:rFonts w:ascii="바탕" w:cs="바탕" w:eastAsia="바탕" w:hAnsi="바탕"/>
          <w:sz w:val="21"/>
          <w:szCs w:val="21"/>
          <w:lang w:val="en-US" w:eastAsia="ko-KR"/>
        </w:rPr>
        <w:t xml:space="preserve">답: 실제 주가에서도 오차는 모델과 설정에서 옵니다. 분포 정확도는 RW 수준이며 넘지 못했습니다(H5 미지지).</w:t>
      </w:r>
    </w:p>
    <w:p>
      <w:pPr>
        <w:pStyle w:val="Heading2"/>
        <w:keepNext/>
      </w:pPr>
      <w:r>
        <w:rPr>
          <w:rFonts w:ascii="바탕" w:cs="바탕" w:eastAsia="바탕" w:hAnsi="바탕"/>
          <w:lang w:val="en-US" w:eastAsia="ko-KR"/>
        </w:rPr>
        <w:t xml:space="preserve">6. RQ3 처방: 재학습 없이 바로잡을 수 있는가</w:t>
      </w:r>
    </w:p>
    <w:p>
      <w:pPr>
        <w:keepNext/>
        <w:widowControl/>
        <w:spacing w:after="120" w:before="0" w:line="384"/>
        <w:ind w:firstLine="210"/>
        <w:jc w:val="both"/>
      </w:pPr>
      <w:r>
        <w:rPr>
          <w:rFonts w:ascii="바탕" w:cs="바탕" w:eastAsia="바탕" w:hAnsi="바탕"/>
          <w:sz w:val="21"/>
          <w:szCs w:val="21"/>
          <w:lang w:val="en-US" w:eastAsia="ko-KR"/>
        </w:rPr>
        <w:t xml:space="preserve">예상(가설 H6): 모델은 그대로 두고 출력 구간만 매일 조정하는 사후보정(ACI-CQR)으로 커버리지가 80%로 돌아올 것이라고 예상했습니다.</w:t>
      </w:r>
    </w:p>
    <w:p>
      <w:pPr>
        <w:keepNext w:val="false"/>
        <w:spacing w:after="60" w:before="120"/>
        <w:jc w:val="center"/>
      </w:pPr>
      <w:r>
        <w:drawing>
          <wp:inline distT="0" distB="0" distL="0" distR="0">
            <wp:extent cx="414337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2076450"/>
                    </a:xfrm>
                    <a:prstGeom prst="rect">
                      <a:avLst/>
                    </a:prstGeom>
                  </pic:spPr>
                </pic:pic>
              </a:graphicData>
            </a:graphic>
          </wp:inline>
        </w:drawing>
      </w:r>
    </w:p>
    <w:p>
      <w:pPr>
        <w:keepNext/>
        <w:widowControl/>
        <w:spacing w:after="120" w:before="0" w:line="384"/>
        <w:ind w:firstLine="210"/>
        <w:jc w:val="both"/>
      </w:pPr>
      <w:r>
        <w:rPr>
          <w:rFonts w:ascii="바탕" w:cs="바탕" w:eastAsia="바탕" w:hAnsi="바탕"/>
          <w:sz w:val="21"/>
          <w:szCs w:val="21"/>
          <w:lang w:val="en-US" w:eastAsia="ko-KR"/>
        </w:rPr>
        <w:t xml:space="preserve">결과:</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합성 340개, 실제 19개 모델·조건 모두 평균 커버리지가 80%로 돌아왔습니다(보정 후 79.8~80.7%). 너무 좁은 구간은 넓히고, 너무 넓은 구간(TimesFM 1년·가격 88%)은 좁혔습니다.</w:t>
      </w:r>
    </w:p>
    <w:p>
      <w:pPr>
        <w:pStyle w:val="ListParagraph"/>
        <w:keepNext/>
        <w:keepLines/>
        <w:widowControl/>
        <w:numPr>
          <w:ilvl w:val="0"/>
          <w:numId w:val="2"/>
        </w:numPr>
        <w:spacing w:after="60" w:line="384"/>
        <w:jc w:val="both"/>
      </w:pPr>
      <w:r>
        <w:rPr>
          <w:rFonts w:ascii="바탕" w:cs="바탕" w:eastAsia="바탕" w:hAnsi="바탕"/>
          <w:sz w:val="21"/>
          <w:szCs w:val="21"/>
          <w:lang w:val="en-US" w:eastAsia="ko-KR"/>
        </w:rPr>
        <w:t xml:space="preserve">대가는 구간 폭입니다. 보정된 구간은 이상적인 구간(합성 데이터의 참 분포 기준)보다 5~48% 넓었고, 과거 1년 조건이 한 달 조건보다 덜 넓었습니다.</w:t>
      </w:r>
    </w:p>
    <w:p>
      <w:pPr>
        <w:pStyle w:val="ListParagraph"/>
        <w:keepNext w:val="false"/>
        <w:keepLines/>
        <w:widowControl/>
        <w:numPr>
          <w:ilvl w:val="0"/>
          <w:numId w:val="2"/>
        </w:numPr>
        <w:spacing w:after="60" w:line="384"/>
        <w:jc w:val="both"/>
      </w:pPr>
      <w:r>
        <w:rPr>
          <w:rFonts w:ascii="바탕" w:cs="바탕" w:eastAsia="바탕" w:hAnsi="바탕"/>
          <w:sz w:val="21"/>
          <w:szCs w:val="21"/>
          <w:lang w:val="en-US" w:eastAsia="ko-KR"/>
        </w:rPr>
        <w:t xml:space="preserve">가설 검정과 별개인 탐색 분석에서, 보정 전 구간을 위험 한도(VaR 10%)로 쓰면 위반율이 5.5~11.9%로 제각각이었으나 보정 후 8.6~10.8%로 모였고, 변동성 목표 전략의 실현 변동도 모든 조건에서 목표의 1.05~1.14배가 되었습니다.</w:t>
      </w:r>
    </w:p>
    <w:p>
      <w:pPr>
        <w:keepNext w:val="false"/>
        <w:widowControl/>
        <w:spacing w:after="120" w:before="0" w:line="384"/>
        <w:ind w:firstLine="210"/>
        <w:jc w:val="both"/>
      </w:pPr>
      <w:r>
        <w:rPr>
          <w:rFonts w:ascii="바탕" w:cs="바탕" w:eastAsia="바탕" w:hAnsi="바탕"/>
          <w:sz w:val="21"/>
          <w:szCs w:val="21"/>
          <w:lang w:val="en-US" w:eastAsia="ko-KR"/>
        </w:rPr>
        <w:t xml:space="preserve">해석: 사후보정은 이탈 기록에 따라 구간을 양방향으로 조정하므로 오차의 방향과 상관없이 작동합니다. 다만 맞추는 것은 평균 커버리지입니다. 위반이 특정 시기에 몰려 오는 문제는 일부 조건(한 달·가격)에 남았고, 분위수 전체의 정확도를 높이지는 않습니다.</w:t>
      </w:r>
    </w:p>
    <w:p>
      <w:pPr>
        <w:keepNext w:val="false"/>
        <w:widowControl/>
        <w:spacing w:after="120" w:before="0" w:line="384"/>
        <w:ind w:firstLine="210"/>
        <w:jc w:val="both"/>
      </w:pPr>
      <w:r>
        <w:rPr>
          <w:rFonts w:ascii="바탕" w:cs="바탕" w:eastAsia="바탕" w:hAnsi="바탕"/>
          <w:sz w:val="21"/>
          <w:szCs w:val="21"/>
          <w:lang w:val="en-US" w:eastAsia="ko-KR"/>
        </w:rPr>
        <w:t xml:space="preserve">답: 재학습 없는 사후보정으로 모든 경우 평균 커버리지가 80%로 복원되며(H6 지지), 그 대가는 이상적인 구간보다 5~48% 넓은 구간입니다.</w:t>
      </w:r>
    </w:p>
    <w:p>
      <w:pPr>
        <w:pStyle w:val="Heading2"/>
        <w:keepNext/>
      </w:pPr>
      <w:r>
        <w:rPr>
          <w:rFonts w:ascii="바탕" w:cs="바탕" w:eastAsia="바탕" w:hAnsi="바탕"/>
          <w:lang w:val="en-US" w:eastAsia="ko-KR"/>
        </w:rPr>
        <w:t xml:space="preserve">7. 한계</w:t>
      </w:r>
    </w:p>
    <w:p>
      <w:pPr>
        <w:keepNext w:val="false"/>
        <w:widowControl/>
        <w:spacing w:after="120" w:before="0" w:line="384"/>
        <w:ind w:firstLine="210"/>
        <w:jc w:val="both"/>
      </w:pPr>
      <w:r>
        <w:rPr>
          <w:rFonts w:ascii="바탕" w:cs="바탕" w:eastAsia="바탕" w:hAnsi="바탕"/>
          <w:sz w:val="21"/>
          <w:szCs w:val="21"/>
          <w:lang w:val="en-US" w:eastAsia="ko-KR"/>
        </w:rPr>
        <w:t xml:space="preserve">주분석은 80% 구간이며(일부 모델이 극단 분위수를 출력하지 않음), 98% 구간은 Chronos-2 한 모델로만 확인하였습니다. 다음 날 예측과 미국·한국 대형주 10종목에 한정됩니다. 입력은 종가에서 얻은 단변량 계열이며 거래량 등 외부 변수는 쓰지 않았습니다(커버리지 오차는 거래량이 없는 합성 데이터에서도 같게 나타남). Chronos-T5는 계산 시간 문제로 base 크기를 사용하였습니다.</w:t>
      </w:r>
    </w:p>
    <w:p>
      <w:pPr>
        <w:pStyle w:val="Heading2"/>
        <w:keepNext/>
      </w:pPr>
      <w:r>
        <w:rPr>
          <w:rFonts w:ascii="바탕" w:cs="바탕" w:eastAsia="바탕" w:hAnsi="바탕"/>
          <w:lang w:val="en-US" w:eastAsia="ko-KR"/>
        </w:rPr>
        <w:t xml:space="preserve">참고. 가설별 판정</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2594"/>
        <w:gridCol w:w="1540"/>
        <w:gridCol w:w="3886"/>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259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154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c>
          <w:tcPr>
            <w:tcW w:type="dxa" w:w="388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핵심 근거</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25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군집이 강할수록 하락</w:t>
            </w:r>
          </w:p>
        </w:tc>
        <w:tc>
          <w:tcPr>
            <w:tcW w:type="dxa" w:w="154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w:t>
            </w:r>
          </w:p>
        </w:tc>
        <w:tc>
          <w:tcPr>
            <w:tcW w:type="dxa" w:w="388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실질 하락 2개 조건(−2.0~−2.5%p)</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25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꼬리가 두꺼울수록 하락</w:t>
            </w:r>
          </w:p>
        </w:tc>
        <w:tc>
          <w:tcPr>
            <w:tcW w:type="dxa" w:w="154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미지지(반대 방향)</w:t>
            </w:r>
          </w:p>
        </w:tc>
        <w:tc>
          <w:tcPr>
            <w:tcW w:type="dxa" w:w="388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11개 조건 상승. 80% 구간의 성질, 98%에서는 하락</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25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전환이 잦을수록 하락</w:t>
            </w:r>
          </w:p>
        </w:tc>
        <w:tc>
          <w:tcPr>
            <w:tcW w:type="dxa" w:w="154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미지지(반대 방향)</w:t>
            </w:r>
          </w:p>
        </w:tc>
        <w:tc>
          <w:tcPr>
            <w:tcW w:type="dxa" w:w="388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7개 조건 작은 상승</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25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전환이 클수록 하락</w:t>
            </w:r>
          </w:p>
        </w:tc>
        <w:tc>
          <w:tcPr>
            <w:tcW w:type="dxa" w:w="154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w:t>
            </w:r>
          </w:p>
        </w:tc>
        <w:tc>
          <w:tcPr>
            <w:tcW w:type="dxa" w:w="388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유의한 변화 없음</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25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특성마다 결손이 다름</w:t>
            </w:r>
          </w:p>
        </w:tc>
        <w:tc>
          <w:tcPr>
            <w:tcW w:type="dxa" w:w="154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w:t>
            </w:r>
          </w:p>
        </w:tc>
        <w:tc>
          <w:tcPr>
            <w:tcW w:type="dxa" w:w="388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10개 모두 군집이 가장 불리</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w:t>
            </w:r>
          </w:p>
        </w:tc>
        <w:tc>
          <w:tcPr>
            <w:tcW w:type="dxa" w:w="25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154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w:t>
            </w:r>
          </w:p>
        </w:tc>
        <w:tc>
          <w:tcPr>
            <w:tcW w:type="dxa" w:w="388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12개 조건 RW보다 손실 큼, 3개 차이 없음, 1개 작은 우위</w:t>
            </w:r>
          </w:p>
        </w:tc>
      </w:tr>
      <w:tr>
        <w:trPr>
          <w:cantSplit/>
          <w:trHeight w:val="512"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259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154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w:t>
            </w:r>
          </w:p>
        </w:tc>
        <w:tc>
          <w:tcPr>
            <w:tcW w:type="dxa" w:w="388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합성 340개, 실제 19개 모두 복원</w:t>
            </w:r>
          </w:p>
        </w:tc>
      </w:tr>
    </w:tbl>
    <w:p>
      <w:pPr>
        <w:spacing w:after="60"/>
      </w:pPr>
    </w:p>
    <w:p>
      <w:pPr>
        <w:keepNext w:val="false"/>
        <w:widowControl/>
        <w:spacing w:after="120" w:before="0" w:line="384"/>
        <w:ind w:firstLine="210"/>
        <w:jc w:val="both"/>
      </w:pPr>
      <w:r>
        <w:rPr>
          <w:rFonts w:ascii="바탕" w:cs="바탕" w:eastAsia="바탕" w:hAnsi="바탕"/>
          <w:sz w:val="21"/>
          <w:szCs w:val="21"/>
          <w:lang w:val="en-US" w:eastAsia="ko-KR"/>
        </w:rPr>
        <w:t xml:space="preserve">판정 기준: H1~H5는 Holm 보정 후 p &lt; 0.05이면서 실질 기준(커버리지 2%p, 손실 2%) 이상, H6은 보정 후 커버리지의 90% 신뢰구간이 [77%, 83%] 안. 본문 표 7-1과 같습니다.</w:t>
      </w:r>
    </w:p>
    <w:sectPr>
      <w:footerReference w:type="default" r:id="rId7"/>
      <w:pgSz w:w="11906" w:h="16838" w:orient="portrait"/>
      <w:pgMar w:top="1418" w:right="1418" w:bottom="1418" w:left="1418" w:header="680" w:footer="68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1"/>
        <w:szCs w:val="21"/>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638f96677fcec0e02698d6e767e73e6c5360cdf.png"/><Relationship Id="rId9" Type="http://schemas.openxmlformats.org/officeDocument/2006/relationships/image" Target="media/5db29d9c2f8af4aa9b2e62890964dd06a9296104.png"/><Relationship Id="rId10" Type="http://schemas.openxmlformats.org/officeDocument/2006/relationships/image" Target="media/f3666422cbc02dc855fed673b29fe41d55b6cd1c.png"/><Relationship Id="rId11" Type="http://schemas.openxmlformats.org/officeDocument/2006/relationships/image" Target="media/50fce3821f4f050e8c32911508e82f621e34034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석사학위논문 초고 요약</dc:title>
  <dc:creator>김승민</dc:creator>
  <cp:lastModifiedBy>김승민</cp:lastModifiedBy>
  <cp:revision>1</cp:revision>
  <dcterms:created xsi:type="dcterms:W3CDTF">2026-10-22T04:49:15.596Z</dcterms:created>
  <dcterms:modified xsi:type="dcterms:W3CDTF">2026-10-22T04:49:15.596Z</dcterms:modified>
</cp:coreProperties>
</file>

<file path=docProps/custom.xml><?xml version="1.0" encoding="utf-8"?>
<Properties xmlns="http://schemas.openxmlformats.org/officeDocument/2006/custom-properties" xmlns:vt="http://schemas.openxmlformats.org/officeDocument/2006/docPropsVTypes"/>
</file>