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11</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11</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13</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16</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21</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32</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33</w:t>
          </w:r>
        </w:p>
        <w:p>
          <w:pPr>
            <w:tabs>
              <w:tab w:val="right" w:leader="dot" w:pos="7936"/>
            </w:tabs>
            <w:spacing w:before="0" w:after="40" w:line="300" w:lineRule="auto"/>
            <w:ind w:left="300" w:right="400" w:hanging="0"/>
          </w:pPr>
          <w:r>
            <w:rPr>
              <w:rFonts w:ascii="바탕" w:hAnsi="바탕" w:eastAsia="바탕" w:cs="바탕"/>
              <w:sz w:val="21"/>
              <w:szCs w:val="21"/>
            </w:rPr>
            <w:t xml:space="preserve">3.7 사전등록과 검산</w:t>
          </w:r>
          <w:r>
            <w:rPr>
              <w:rFonts w:ascii="바탕" w:hAnsi="바탕" w:eastAsia="바탕" w:cs="바탕"/>
              <w:sz w:val="21"/>
              <w:szCs w:val="21"/>
            </w:rPr>
            <w:tab/>
            <w:t>34</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43</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45</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(H6)</w:t>
          </w:r>
          <w:r>
            <w:rPr>
              <w:rFonts w:ascii="바탕" w:hAnsi="바탕" w:eastAsia="바탕" w:cs="바탕"/>
              <w:sz w:val="21"/>
              <w:szCs w:val="21"/>
            </w:rPr>
            <w:tab/>
            <w:t>49</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51</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52</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53</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54</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56</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58</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59</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60</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61</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62</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66</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68</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71</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72</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72</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73</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사전등록 및 재현 정보</w:t>
          </w:r>
          <w:r>
            <w:rPr>
              <w:rFonts w:ascii="바탕" w:hAnsi="바탕" w:eastAsia="바탕" w:cs="바탕"/>
              <w:sz w:val="21"/>
              <w:szCs w:val="21"/>
            </w:rPr>
            <w:tab/>
            <w:t>76</w:t>
          </w:r>
        </w:p>
        <w:p>
          <w:pPr>
            <w:tabs>
              <w:tab w:val="right" w:leader="dot" w:pos="7936"/>
            </w:tabs>
            <w:spacing w:before="0" w:after="40" w:line="300" w:lineRule="auto"/>
            <w:ind w:left="600" w:right="400" w:hanging="0"/>
          </w:pPr>
          <w:r>
            <w:rPr>
              <w:rFonts w:ascii="바탕" w:hAnsi="바탕" w:eastAsia="바탕" w:cs="바탕"/>
              <w:sz w:val="21"/>
              <w:szCs w:val="21"/>
            </w:rPr>
            <w:t xml:space="preserve">A.1 사전등록 동결과 이탈 기록</w:t>
          </w:r>
          <w:r>
            <w:rPr>
              <w:rFonts w:ascii="바탕" w:hAnsi="바탕" w:eastAsia="바탕" w:cs="바탕"/>
              <w:sz w:val="21"/>
              <w:szCs w:val="21"/>
            </w:rPr>
            <w:tab/>
            <w:t>76</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76</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77</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78</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80</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21</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33</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4-4. 고강도(L4·L5)에서 특성별 결손 (80% − 커버리지, %p; 양수 = 구간이 좁음)</w:t>
          </w:r>
          <w:r>
            <w:rPr>
              <w:rFonts w:ascii="바탕" w:hAnsi="바탕" w:eastAsia="바탕" w:cs="바탕"/>
              <w:sz w:val="21"/>
              <w:szCs w:val="21"/>
            </w:rPr>
            <w:tab/>
            <w:t>44</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47</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54</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56</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58</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62</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64</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67</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69</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77</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78</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79</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개선율(H6)</w:t>
          </w:r>
          <w:r>
            <w:rPr>
              <w:rFonts w:ascii="바탕" w:hAnsi="바탕" w:eastAsia="바탕" w:cs="바탕"/>
              <w:sz w:val="21"/>
              <w:szCs w:val="21"/>
            </w:rPr>
            <w:tab/>
            <w:t>50</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52</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59</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63</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모든 설정과 검정은 실행 전에 동결하였다.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14~88%로 모델 및 설정마다 다르게 나타났으며,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상승시켰는데, 이러한 상승은 첨도가 높은 분포에서 분산 기반 80% 구간이 갖는 수학적 성질로 설명된다. 실제 주가의 커버리지는 특성 없는 합성 데이터의 커버리지와 평균 1.0%p(붕괴한 2개 조건 제외, 전체 1.2%p) 차이를 보였다. 실제 주식에서 분위수 손실은 16개 조건 중 13개에서 과거 변동성 기반 정규분포(RW)보다 컸다. 적응형 콘포멀 분위수 보정(ACI-CQR)은 합성 340개, 실제 19개 모델·조건 모두에서 평균 커버리지를 80%로 복원하였으며, 그에 상응하여 예측구간의 폭은 이상적인 구간보다 6~48% 넓어졌다. 탐색 분석에서 보정된 구간은 변동성 목표 전략의 실현 변동을 목표의 1.05~1.14배로, VaR 10% 한도의 위반율을 8.6~10.8%로 돌려놓았으나, 위반이 특정 시기에 몰려 오는 문제는 일부 조건에 남았다.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실측 기반 합성 데이터 실험으로 실제 주식에서의 커버리지를 미리 가늠할 수 있음을 보여 준다. 분포의 정확도는 단순 기준 모형을 넘지 못하였고, 가장 나은 조건(Chronos-T5를 제외한 세 모델의 1년·수익률)에서 같은 수준에 도달하였다. 따라서 현재의 TSFM은 수익률 예측기보다는 입력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즉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실험 설정, 가설, 판정 기준, 분석 코드는 실행 전에 git 커밋으로 동결하였다(사전등록). 동결 후의 변경과 실행 중 발견한 사항은 모두 기록하여 밝힌다.</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14%에서 88%까지 퍼져 있었고, 특성을 실제 종목 중 가장 강한 수준(L5)으로 설정해도 대부분 3%p 이내로만 움직였다. 변동성 군집만 일부 조건에서 커버리지를 낮췄고, 두꺼운 꼬리와 잦은 국면 전환 특성은 오히려 커버리지를 높였으며, 이는 80% 구간이 갖는 수학적 성질로 설명된다.</w:t>
      </w:r>
    </w:p>
    <w:p>
      <w:pPr>
        <w:keepNext/>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1.0%p(구간이 붕괴한 Chronos-T5 수익률 2개 조건 제외, 19개 전체는 1.2%p, 최대 3.6%p) 차이였다. 실제 데이터에 적용하기 전에 합성 데이터로 잘못된 설정을 미리 찾아낼 수 있다는 뜻이다.</w:t>
      </w:r>
    </w:p>
    <w:p>
      <w:pPr>
        <w:keepNext/>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6~48% 넓어졌다. 탐색 분석에서는 위반율이 40% 안팎이던 VaR 10% 한도가 보정 후 10% 수준으로 돌아왔다.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13개에서 RW보다 컸고, 가장 나은 조건(Chronos-T5를 제외한 세 모델의 1년·수익률)에서 RW와 같은 수준이었다.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1.0%p 차이로 재현됨을 확인하여, 실제 데이터에 적용하기 전에 입력 설정을 점검하는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구간에서는 하락)을 이론 계산으로 보였다.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사전등록 절차로 평가하고,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사전등록 절차를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714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503872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576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얻는다. 저자들은 이처럼 평균 절댓값으로 나눈 뒤 고정 범위를 구간화하므로 입력 계열의 값 분포에 따라 표현 범위와 정밀도가 달라질 수 있다는 한계를 밝혔다.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연구는 네 모델이 공통으로 출력하는 0.1~0.9의 9개 분위수만 사용하였다.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곧 80% 예측구간은 실제값이 하단보다 낮을 확률 10%와 상단보다 높을 확률 10%를 양쪽에서 잘라 낸 가운데 구간이다.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3050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6097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 예측은 실제값이 그보다 높을 확률을 10%로 본 것이므로, 실제값이 그보다 높게 나오면 크게 벌하고 낮게 나오면 작게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76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w:t>
      </w:r>
    </w:p>
    <w:p>
      <w:pPr>
        <w:keepNext w:val="false"/>
        <w:widowControl/>
        <w:spacing w:after="120" w:before="0" w:line="384"/>
        <w:ind w:firstLine="220"/>
        <w:jc w:val="both"/>
      </w:pPr>
      <w:r>
        <w:rPr>
          <w:rFonts w:ascii="바탕" w:cs="바탕" w:eastAsia="바탕" w:hAnsi="바탕"/>
          <w:sz w:val="22"/>
          <w:szCs w:val="22"/>
          <w:lang w:val="en-US" w:eastAsia="ko-KR"/>
        </w:rPr>
        <w:t xml:space="preserve">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3145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사전등록과 검산 절차를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5"/>
        <w:gridCol w:w="4847"/>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기준 연구인 Re(Visiting)도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사전등록 프로토콜에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기준 연구(Noguer)와 같은 종목으로 재현 비교가 목적.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다르지만(기준 연구 재현),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기준 연구에서 평가한 모델과 맞추었다. 이하 표와 본문에서는 Moirai-2.0을 Moirai-2로 줄여 쓴다. Chronos-T5는 계산 시간 규칙에 따라 large 대신 base를 사용하였다(사전 측정에서 large 예상 19.4시간 &gt; 기준 12시간).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즉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즉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사전등록과 검산</w:t>
      </w:r>
    </w:p>
    <w:p>
      <w:pPr>
        <w:keepNext/>
        <w:widowControl/>
        <w:spacing w:after="120" w:before="0" w:line="384"/>
        <w:ind w:firstLine="220"/>
        <w:jc w:val="both"/>
      </w:pPr>
      <w:r>
        <w:rPr>
          <w:rFonts w:ascii="바탕" w:cs="바탕" w:eastAsia="바탕" w:hAnsi="바탕"/>
          <w:sz w:val="22"/>
          <w:szCs w:val="22"/>
          <w:lang w:val="en-US" w:eastAsia="ko-KR"/>
        </w:rPr>
        <w:t xml:space="preserve">본 연구의 실험은 실행 전에 연구 계획(가설·판정 기준)·코드·단계값을 git 커밋으로 동결하고(동결 시점과 실행 환경은 부록 A), 동결 후의 변경은 이탈 기록과 새 커밋으로만 허용하는 사전등록 절차를 따랐다. 예비 실험에서 확인한 설계상의 한계를 보완하여 본 실험을 설계하고 실행 전에 동결하였으며, 동결 전에는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투명성을 위해 다음 사항을 밝힌다. 첫째, 동결 전 전체 규모 사전 시험에서 기준 모형(RW, GARCH-t)의 실제 주가 결과가 함께 산출되었으나, 이를 본 뒤 설정은 바꾸지 않았다. 둘째, 동결 후 검산에서 GARCH-t가 합성 데이터 136,000건 중 2건에서 비정상 값을 낸 것을 발견하였으며, 가설 검정에는 영향이 없고 민감도 분석을 6.5절에 보고한다.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[13.8, 15.6]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[13.2, 14.8]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같은 모델이라도 입력 형태에 따라 결과가 크게 다르다. Chronos-T5는 가격을 넣으면 75~76%로 약간 좁은 정도지만, 수익률을 넣으면 14~15%로 구간이 거의 붕괴한다. 이때 평균 폭은 0.7~0.8%p로, 필요한 폭(5.40%p)의 7분의 1에 불과하다. 실무적으로 말하면 "내일 수익률이 이 범위에 80% 확률로 들어간다"는 구간이 실제로는 15% 확률로만 맞는다는 뜻이다. 이 붕괴는 토큰화의 표현 범위로는 설명되지 않는다. Chronos는 입력을 평균 절댓값으로 나눈 뒤 ±15배 범위를 구간화하는데(2.2.3절, 그림 2-2), L1 수익률의 평균 절댓값은 약 1.7%이므로 표현 범위는 약 ±25%로 실제 수익률을 충분히 담는다. 값이 범위 밖으로 잘려서 구간이 좁아진 것이 아니라, 모델이 수익률 계열에 대해 지나치게 좁은 분포를 내도록 작동한 것이다. 내부 원인을 규명하는 것은 본 연구 범위 밖이며, 같은 계열의 Chronos-2에서는 이런 현상이 없다.</w:t>
      </w:r>
    </w:p>
    <w:p>
      <w:pPr>
        <w:keepNext w:val="false"/>
        <w:widowControl/>
        <w:spacing w:after="120" w:before="0" w:line="384"/>
        <w:ind w:firstLine="220"/>
        <w:jc w:val="both"/>
      </w:pPr>
      <w:r>
        <w:rPr>
          <w:rFonts w:ascii="바탕" w:cs="바탕" w:eastAsia="바탕" w:hAnsi="바탕"/>
          <w:sz w:val="22"/>
          <w:szCs w:val="22"/>
          <w:lang w:val="en-US" w:eastAsia="ko-KR"/>
        </w:rPr>
        <w:t xml:space="preserve">② 과거 길이에 따라서도 달라진다. TimesFM-2.5는 1년·가격에서만 87.6%로 구간이 지나치게 넓고(폭 7.00%p, 필요 폭의 1.3배), 나머지 세 조건에서는 77~79%로 약간 좁다. 이 과대는 추세가 없는(평균 0) 합성 데이터에서도 17개 시나리오 모두 86.8~88.4%로 나타나고 실제 주가(87.7%, 5.1절)와 크기가 같으므로, 표본 기간의 상승 추세 때문으로 볼 수 없다. 같은 1년·가격 조건에서 입력 창을 정규화하는 다른 패치 방식 모델인 Moirai-2(L1 79.7%)에는 나타나지 않아 TimesFM 고유의 현상으로 보이며, 모델 내부의 원인은 본 연구에서 분리하지 않았다(7.4절).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7개뿐이다. 금융 특성이 들어가기 전에 이미 모델과 입력 설정이 오차의 크기와 방향을 정하고 있다.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수익률(14~16%)과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9개에서 상승이 유의하였고(4개는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본 연구는 네 모델이 공통으로 내는 0.1~0.9 분위수만 평가했기 때문에 극단 구간을 실험으로 확인하지 못하였다(제7장 한계). 극단 분위수(0.01, 0.99)를 함께 내는 Chronos-2(Ansari 외, 2025)로 이를 확인하는 것은 향후 과제로 남긴다.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5개 조건에서 커버리지가 유의하게 올라갔고(모두 2%p 미만), 내려간 조건은 없다. 전환 크기는 1개 조건에서 작게 올라간 것 말고는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4-4와 같다.</w:t>
      </w:r>
    </w:p>
    <w:p>
      <w:pPr>
        <w:pStyle w:val="TableCaption"/>
        <w:keepNext/>
        <w:spacing w:after="80" w:before="200" w:line="276"/>
        <w:jc w:val="center"/>
      </w:pPr>
      <w:r>
        <w:rPr>
          <w:rFonts w:ascii="바탕" w:cs="바탕" w:eastAsia="바탕" w:hAnsi="바탕"/>
          <w:sz w:val="19"/>
          <w:szCs w:val="19"/>
          <w:lang w:val="en-US" w:eastAsia="ko-KR"/>
        </w:rPr>
        <w:t xml:space="preserve">표 4-4.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931"/>
        <w:gridCol w:w="510"/>
        <w:gridCol w:w="510"/>
        <w:gridCol w:w="760"/>
        <w:gridCol w:w="760"/>
        <w:gridCol w:w="778"/>
        <w:gridCol w:w="754"/>
        <w:gridCol w:w="678"/>
        <w:gridCol w:w="1132"/>
      </w:tblGrid>
      <w:tr>
        <w:trPr>
          <w:cantSplit/>
          <w:tblHeader/>
        </w:trPr>
        <w:tc>
          <w:tcPr>
            <w:tcW w:type="dxa" w:w="112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모델</w:t>
            </w:r>
          </w:p>
        </w:tc>
        <w:tc>
          <w:tcPr>
            <w:tcW w:type="dxa" w:w="93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51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군집</w:t>
            </w:r>
          </w:p>
        </w:tc>
        <w:tc>
          <w:tcPr>
            <w:tcW w:type="dxa" w:w="51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꼬리</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전환빈도</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전환크기</w:t>
            </w:r>
          </w:p>
        </w:tc>
        <w:tc>
          <w:tcPr>
            <w:tcW w:type="dxa" w:w="7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범위(%p)</w:t>
            </w:r>
          </w:p>
        </w:tc>
        <w:tc>
          <w:tcPr>
            <w:tcW w:type="dxa" w:w="75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 결손</w:t>
            </w:r>
          </w:p>
        </w:tc>
        <w:tc>
          <w:tcPr>
            <w:tcW w:type="dxa" w:w="6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Holm p</w:t>
            </w:r>
          </w:p>
        </w:tc>
        <w:tc>
          <w:tcPr>
            <w:tcW w:type="dxa" w:w="1132"/>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판정</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+64.7</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+64.6</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3.3e-02</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전환빈도</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4.2e-02</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9.2e-03</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2.6e-08</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1.4e-07</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-7.6</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3.5e-11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1.2e-03</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4.5</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93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51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5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9개에서 "축마다 다름"이 지지되었고, 3개는 유의하나 차이가 2%p 미만, 4개는 미지지였다. 특히 "축마다 다름"인 9개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넓히는 쪽으로 작용하는데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14%부터 88%까지 퍼져 있고(표 4-1), 특성을 가장 강하게 설정해도 그 위치는 거의 움직이지 않는다(그림 4-1). 특히 입력 형태(수익률 vs 가격)와 과거 길이가 결과를 좌우한다.</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구간에서는 방향이 반대가 되므로, 이 결과를 극단 위험에 그대로 적용할 수는 없다(표 4-3).</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9개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H6, 5.3절은 모델 공개 이후 기간만 본 점검, 5.4절은 합성 데이터 실험 결과와의 대응을 다룬다. 5.5절은 사전등록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16.9 [16.2, 17.5]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13.5~22.2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17.6 [16.7, 18.6]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14.4~26.1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수익률 입력은 17~18%로 구간이 붕괴하였다. 종목별로도 14~26%로, 어느 종목에서도 회복되지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13개 TSFM 조건은 76~82%이다. 가장 목표에 가까운 것은 Chronos-2(79~82%)와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Chronos-T5 수익률 조건(한국이 약 4~5%p 높음)을 제외하면 모두 2%p 이내이다. 종목별 범위도 대부분 4%p 폭 안에 들어온다. 시장이나 종목보다 모델·조건이 결과를 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(H6)</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H6은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3.8e-50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2.7e-18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6.7e-43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1.2e-15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4.3e-05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8.9e-09</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1.8e-01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3.5e-06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개선율(H6)</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H6은 지지되지 않았다. 16개 조건 중 13개에서 TSFM의 분위수 손실이 RW보다 유의하게 컸고(개선율 −0.8 ~ −19.5%), 2개 조건(TimesFM 1년·수익률, Moirai-2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없으므로(5.5절의 자기상관 참조), 정답에 가장 가까운 것은 최근 변동 크기를 기반으로 산출한 분포이며, RW가 바로 이에 해당한다. 둘째, 1년 과거를 수익률로 넣은 조건(Chronos-2, TimesFM, Moirai-2)에서 TSFM은 RW와 같은 수준에 도달하였다. TSFM은 별도 학습 없이도 이 단순하지만 강한 기준과 같은 정확도를 낼 수 있으나, 그보다 나아지지는 않았다. 반대로 과거 한 달만 보거나 가격을 넣은 조건에서는, Chronos-T5를 제외한 9개 조건에서 RW보다 손실이 2~10% 컸다. Chronos-T5는 수익률 입력에서 손실이 16~20% 더 컸는데, 4.2절에서 본 구간 붕괴가 분포 전체의 정확도에도 그대로 나타난 것이다.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16.9 → 16.2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-19.5 → -19.5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17.6 → 15.8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-16.1 → -17.3</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Chronos-T5 수익률의 붕괴(16%), TimesFM 1년·가격의 과대(84%)가 그대로 나타나고, RW 대비 손실은 전체 기간과 비슷하거나 약간 더 크다. TimesFM 1년·수익률(77.2 → 71.8%)과 Moirai-2 1년·수익률(79.8 → 76.0%)은 커버리지가 3~5%p 떨어졌는데, 공개 이후 기간이 1,300~1,700건(약 1년)으로 짧고 2025년 하반기 이후의 시장 상황이 함께 반영된 것이어서 원인을 단정할 수 없다. 적어도 "학습 데이터에 들어 있던 기간이라서 좋아 보였다"는 증거는 없다.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상관은 0.998이다(Chronos-T5 수익률이 극단값이므로 이를 빼도 0.90).</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Chronos-T5 수익률 2개를 뺀 17개 조건에서 두 값의 차이는 평균 1.0%p, 최대 3.6%p(RW 1년: 79.4 → 83.0%)이다. 19개 전체로는 평균 1.2%p이다.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왼쪽은 전체이고, 오른쪽은 구간이 붕괴한 Chronos-T5 수익률 2개 조건을 뺀 17개를 확대한 것이다. 점들이 합성과 실제가 같은 값을 뜻하는 대각선 가까이에 모여 있다.</w:t>
      </w:r>
    </w:p>
    <w:p>
      <w:pPr>
        <w:keepNext/>
        <w:spacing w:after="60" w:before="120"/>
        <w:jc w:val="center"/>
      </w:pPr>
      <w:r>
        <w:drawing>
          <wp:inline distT="0" distB="0" distL="0" distR="0">
            <wp:extent cx="503872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21621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제4장의 결론, 즉 예측구간의 오차를 정하는 것은 금융 특성보다 모델과 입력 설정이라는 해석을 실제 데이터가 뒷받침한다는 뜻이다. 또한 실측 기반 합성 데이터 실험이 실제 주가의 커버리지를 평균 1.0%p(최대 3.6%p) 차이로 재현했다는 것은, 새 모델이나 입력 설정을 실제 데이터에 쓰기 전에 합성 데이터 점검으로 잘못된 설정을 걸러낼 수 있다는 뜻이다.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사전등록 밖의 탐색 분석이다. 분석 규칙은 계산 전에 별도 분석 계획으로 사전 고정하였고,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-37.4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keepNext w:val="false"/>
        <w:widowControl/>
        <w:spacing w:after="120" w:before="0" w:line="384"/>
        <w:ind w:firstLine="220"/>
        <w:jc w:val="both"/>
      </w:pPr>
      <w:r>
        <w:rPr>
          <w:rFonts w:ascii="바탕" w:cs="바탕" w:eastAsia="바탕" w:hAnsi="바탕"/>
          <w:sz w:val="22"/>
          <w:szCs w:val="22"/>
          <w:lang w:val="en-US" w:eastAsia="ko-KR"/>
        </w:rPr>
        <w:t xml:space="preserve">한편 기준 모형 중 RW 1년(연 16.7%)과 GARCH-t(20.7%)의 성과가 TSFM보다 높은 것은 방향을 더 잘 맞혀서가 아니라 규칙이 다르게 작동했기 때문이다. 두 모형의 중앙값은 각각 과거 252일의 평균 수익률과 그 기간에서 추정한 상수 평균이므로, 이 규칙은 지난 1년의 평균 수익률이 양수이면 보유하는 느린 추세추종이 된다. 그래서 연 회전율이 4~5배로 낮고, 상승 종목이 많았던 표본 기간에 오래 보유하여 비용을 덜 내고 상승을 더 누렸다. 과거 21일 평균을 쓰는 RW 한 달은 회전율이 23배로 높아지고 성과도 연 12.0%로 낮아진다.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구간의 폭, 즉 이 연구가 평가한 대상을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1.24 / 1.12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-34.0 / -24.3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2.21 / 1.11</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-0.23 [-0.36,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 / 1.17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-34.2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2.23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-0.16 [-0.24, -0.07]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1.12~1.37로 계속 보유(1.25)와 비슷하거나 높았다. 그러나 TSFM 구간을 쓴 경우가 RW 구간을 쓴 경우보다 나은 조건은 없었고(샤프 차이의 95% 구간이 0보다 큰 경우 0개), Chronos-T5의 3개 조건(보정 구간 기준; 원래 구간은 한 달·가격 1개 조건)에서는 샤프 비율이 유의하게 낮았다.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잘못되었을 때의 비용이 분명하게 드러난다. Chronos-T5 수익률 입력의 원래 구간은 폭이 실제의 7분의 1이므로 "내일 변동이 아주 작다"고 판단해 늘 비중 1을 택하였다. 그 결과 실현 변동이 목표의 2.2배였고 낙폭도 계속 보유와 같았다(−34%). 같은 예측에 사후보정을 하면 실현 변동이 목표의 1.1배로 돌아오고 낙폭은 −21~−24%로 줄었다.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Chronos-T5 수익률의 원래 하단은 위반율 40~42%로 위험 한도로 쓸 수 없지만, 보정 후 9~10%로 돌아왔다. 19개 모델·조건 중 10종목 중 8종목 이상이 위반율 검정을 통과한 경우는 보정 전 7개에서 보정 후 14개로 늘었다.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17~88%로, 특성 없는 합성 데이터(L1)의 커버리지와 평균 1.0%p(구간이 붕괴한 2개 조건 제외, 전체 1.2%p)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13개에서 RW보다 컸고, Chronos-T5를 제외한 세 모델의 1년·수익률 조건에서 RW와 같은 수준이었다(H6 미지지). 모델 공개 이후 기간만 보아도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오차는 모델·입력 설정에 따라 14%에서 88%까지 다양하였다.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검증한다(H5). 6.1절은 합성 데이터, 6.2절은 실제 주식, 6.3절은 보정의 비용(구간 폭), 6.4절은 대조군, 6.5절은 GARCH-t 비정상 값 2건의 민감도를 다룬다.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기준(사전등록): 보정 후 커버리지의 90% 신뢰구간이 [77%, 83%] 안에 완전히 들어오면 "복원"이다. 여기서 복원은 채점 기간 전체의 평균(비조건부) 커버리지를 기준으로 한 것이며, 위반이 특정 시기에 몰려 오는지(조건부 커버리지)는 이 판정에 포함되지 않는다. 이 문제는 5.5.3절의 독립성 검정 결과와 함께 6.6절에서 다룬다.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14.1~15.7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81.9~85.1</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8.52~9.44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13.9~15.3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8.03~9.44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79.7~80.7%였다. 보정 전 14%(Chronos-T5 수익률)든 88%(TimesFM 1년·가격)든, 각 금융 특성의 강도와 무관하게 모두 80% 수준으로 복원되었다.</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16.9</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[79.7, 81.0]</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80.4 [79.8, 81.1]</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79.9~80.4%). 미국과 한국을 나눠 보아도 19개 모두 복원이다(미국 79.8~80.4%, 한국 79.9~80.5%). 에피소드를 끊지 않고 이어서 보정한 경우에도 79.8~80.0%로, 사후보정의 효과는 에피소드 길이 설정에 의존하지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H5는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붕괴했던 Chronos-T5 수익률은 7.5~9.4배 넓어졌다.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1.06~1.48배였다. 보정된 구간은 80%를 맞추지만 이상적인 구간보다 6~48% 넓다. 과거 1년 조건(1.06~1.24배)이 한 달 조건(1.17~1.48배)보다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특히 Chronos-T5 수익률도 보정 후에는 오라클 모형의 1.06~1.38배로 다른 모델과 비슷한 범위에 들어왔다. 다만 이는 80% 구간의 상·하한(양 끝 분위수)에 한정된 결과이다. 보정은 나머지 분위수를 바꾸지 않으므로, 이 모델의 분포 전체 정확도(제5장 H6, RW 대비 −16~−20%)는 개선되지 않는다. 또한 보정 후 구간의 폭은 원래 폭에 그날의 공통 배율(1 + 2 × 점수 분위수)을 곱한 것이므로(3.5.1절), 날마다 폭이 상대적으로 넓어지고 좁아지는 양상은 원래 모델의 것을 그대로 따른다. 보정은 평균 수준을 80%에 맞출 뿐 변동의 변화를 따라가는 능력을 더해 주지는 않는다. 변동성 목표 전략에서 보정한 Chronos-T5 구간이 3개 조건(한 달·수익률, 한 달·가격, 1년·수익률)에서 같은 과거 길이의 RW보다 샤프 비율이 유의하게 낮았던 것(표 5-5, −0.16~−0.23)은 이 때문으로 해석된다.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80~84%로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9배까지 다르다(6.3절).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사후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2462"/>
        <w:gridCol w:w="2378"/>
      </w:tblGrid>
      <w:tr>
        <w:trPr>
          <w:cantSplit/>
          <w:tblHeader/>
        </w:trPr>
        <w:tc>
          <w:tcPr>
            <w:tcW w:type="dxa" w:w="30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4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사전등록 그대로</w:t>
            </w:r>
          </w:p>
        </w:tc>
        <w:tc>
          <w:tcPr>
            <w:tcW w:type="dxa" w:w="23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대체(사후)</w:t>
            </w:r>
          </w:p>
        </w:tc>
      </w:tr>
      <w:tr>
        <w:trPr>
          <w:cantSplit/>
          <w:trHeight w:val="296" w:hRule="atLeast"/>
        </w:trPr>
        <w:tc>
          <w:tcPr>
            <w:tcW w:type="dxa" w:w="30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4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23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0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4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23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0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4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23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검정(H1~H6)에는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Chronos-T5 수익률 입력의 원래 구간을 위험 한도(VaR 10%)로 쓰면 10번 중 4번 넘게 한도를 넘었지만, 보정 후에는 10번 중 1번으로 돌아왔다. 변동성 목표 전략에서는 실현 변동이 목표의 2.2배에서 1.1배로 돌아왔다.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정확도(H6)를 높이지는 않는다. 한편 사전등록 밖의 관찰로, 1년·수익률 조건에서는 보정 후 4개 TSFM 모두 위반율 검정(8~10종목)과 독립성 검정(9~10종목)을 함께 통과하여 보정의 효과가 가장 안정적이었다(표 5-6).</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다만 위반이 몰려 오는 문제는 일부 조건(한 달·가격)에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6~48%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커버리지(80~86%)를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611"/>
        <w:gridCol w:w="3460"/>
        <w:gridCol w:w="1384"/>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6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4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방향(9개 조건 유의한 상승). 80% 구간의 수학적 성질로 설명</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방향(5개 조건 작은 상승). 혼합분포 효과로 설명</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1개, 작은 상승). 전환 크기는 커버리지에 영향 없음</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9개 지지. 9개 모두 군집이 가장 불리</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H6 TSFM이 RW보다 정확</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미지지(13개 조건 RW보다 손실 큼, 2개 차이 없음, 1개 작은 우위). Chronos-T5 외 1년·수익률 3개 조건은 RW 수준</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−19.5~+0.9%</w:t>
            </w:r>
          </w:p>
        </w:tc>
      </w:tr>
      <w:tr>
        <w:trPr>
          <w:cantSplit/>
          <w:trHeight w:val="944"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6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H5 보정 후 80% 복원</w:t>
            </w:r>
          </w:p>
        </w:tc>
        <w:tc>
          <w:tcPr>
            <w:tcW w:type="dxa" w:w="34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 평균 커버리지 기준이며 위반 몰림은 일부 조건에 남음</w:t>
            </w:r>
          </w:p>
        </w:tc>
        <w:tc>
          <w:tcPr>
            <w:tcW w:type="dxa" w:w="13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79.7~80.7%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실측 기반 합성 데이터 실험으로 미리 진단할 수 있다. 이 오차는 재학습 없는 사후보정으로 평균 커버리지 기준에서 일관되게 바로잡힌다. 분포의 정확도는 RW 수준이므로,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입력 설정을 먼저 점검해야 한다. 선행연구(Rahimikia 외, 2025)처럼 수익률을 그대로 입력하면 Chronos-T5의 80% 구간은 실제 주가에서 17~18%만 맞아, 실제값의 80% 이상이 구간 밖에 놓였다. 같은 모델이라도 입력 형태(수익률·가격)와 과거 구간 길이에 따라 커버리지가 15%에서 88%까지 달라졌다(Chronos-T5 수익률 15% 대 가격 76%, TimesFM-2.5 1년·가격 88% 대 1년·수익률 77~79%). 특성이 없는 합성 데이터에서 커버리지를 사전에 측정해 보면 실제 주가에서의 커버리지를 평균 1.0%p(구간이 붕괴한 2개 조건 제외, 전체 1.2%p, 최대 3.6%p) 차이로 예측할 수 있었다(본 연구의 10종목, 5.4절). 따라서 실제 데이터에 쓰기 전에 간단한 점검으로 잘못된 설정을 걸러낼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가장 나은 설정도 모델마다 달라서, Chronos-T5를 제외한 세 모델은 1년·수익률 조건에서 RW와 같은 정확도를 보였지만 같은 조건에서 Chronos-T5는 구간이 붕괴하였다.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80% 구간만 평가하였다. 일부 모델이 0.1~0.9 분위수만 내기 때문에 99%·95% 같은 극단 구간은 평가하지 못하였다. 4.3.2절의 이론 계산(표 4-3)에서 꼬리가 두꺼울수록 80% 구간은 넓어지지만 99% 구간은 반대로 좁아지고 위반율이 1%에서 최대 2.2%로 늘어나므로, 본 연구의 "꼬리는 불리하지 않다"는 결과를 극단 위험에 그대로 적용해서는 안 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기준 연구 재현을 위해, 한국은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평가한 모델의 크기와 종류가 제한적이다. Chronos-T5는 계산 시간 규칙에 따라 large 대신 base를 사용하였고, Moirai-2.0은 small 크기만 평가하였다. 미세조정이나 금융 데이터로 사전학습한 모델은 다루지 않았다.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사후보정의 적용 범위가 구간 양 끝에 한정된다. 보정은 80% 구간의 양 끝만 조정하므로 분포 전체의 정확도를 높이지 않고, 날마다의 폭 변화 양상은 원래 모델의 것을 따르므로 변동 추종 능력을 더해 주지 않으며(6.3절), 위반이 몰려 오는 문제(한 달·가격 조건)는 고치지 못하였다. 또한 사후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경제적 가치 분석은 탐색적이다. 사전등록 밖의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모델과 설정에서 꼬리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Chronos-T5 수익률 입력의 구간 붕괴 원인(입력 크기 조정·구간화 방식)과 TimesFM-2.5 1년·가격 조건의 구간 과대 원인 규명</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모델 자체의 복잡도보다 입력 설정과 사후보정 여부에 의해 좌우된다. 본 연구의 의의는 TSFM이 기존의 단순 모형보다 낫다는 것을 보이는 데 있지 않고, TSFM을 금융 위험 측정에 쓸 때 어떤 설정 오류가 생길 수 있는지(Chronos-T5 수익률 입력의 실제 커버리지 17~18%)와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입력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사전등록 및 재현 정보</w:t>
      </w:r>
    </w:p>
    <w:p>
      <w:pPr>
        <w:pStyle w:val="Heading3"/>
        <w:keepNext/>
        <w:spacing w:after="160" w:before="360"/>
      </w:pPr>
      <w:r>
        <w:rPr>
          <w:rFonts w:ascii="바탕" w:cs="바탕" w:eastAsia="바탕" w:hAnsi="바탕"/>
          <w:b/>
          <w:bCs/>
          <w:sz w:val="26"/>
          <w:szCs w:val="26"/>
          <w:lang w:val="en-US" w:eastAsia="ko-KR"/>
        </w:rPr>
        <w:t xml:space="preserve">A.1 사전등록 동결과 이탈 기록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동결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동결 후의 변경은 사전등록 프로토콜의 이탈 기록 절차(변경 사유 기록과 새 커밋)로만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동결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사후 발견: GARCH-t 합성 2건(전환크기 L3 계열 79의 66일째, 꼬리 L2 계열 86의 64일째)이 사전 대체 규칙(유한값 아님, 분산 ≤ 0, ν ≤ 2)에 걸리지 않는 비정상 값을 냈다. 민감도는 6.5절.</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All settings and tests were preregistered.</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14% to 88% depending on model and setting, while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Real-stock coverage matched feature-free synthetic coverage within 1.0 point on average (excluding the two collapsed Chronos-T5 return-input settings; 1.2 points across all 19). On real stocks, quantile loss was larger than that of a historical-volatility Gaussian benchmark in 13 of 16 settings. Adaptive conformal quantile calibration (ACI-CQR) restored average (unconditional) coverage to 80% in all 340 synthetic and 19 real model-settings, at the cost of intervals 6–48% wider than the oracle. In exploratory analyses, calibrated intervals brought realized volatility in a volatility-targeting strategy to 1.05–1.14 times the target and 10% VaR violation rates to 8.6–10.8%, although violation clustering remained in some settings.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can anticipate real-stock coverage. Distributional accuracy did not exceed the simple benchmark, reaching parity only in the best settings (one-year return input for the three models other than Chronos-T5). Current TSFMs are therefore better used not as return forecasters but as risk-measurement tools, after checking input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dc62e195b74c6a99606a0de38c0dc680782e39e.png"/><Relationship Id="rId11" Type="http://schemas.openxmlformats.org/officeDocument/2006/relationships/image" Target="media/0c717ae833d7e61695404c76c261a0a5220b9f51.png"/><Relationship Id="rId12" Type="http://schemas.openxmlformats.org/officeDocument/2006/relationships/image" Target="media/a13faeffbdecb6c6c94f6183066a3d950127f547.png"/><Relationship Id="rId13" Type="http://schemas.openxmlformats.org/officeDocument/2006/relationships/image" Target="media/91f9e325039544ec19668564f9f18b16c3ebaa2a.png"/><Relationship Id="rId14" Type="http://schemas.openxmlformats.org/officeDocument/2006/relationships/image" Target="media/0c6a240c8ba5e30d1215b91bc27be8c63e938d94.png"/><Relationship Id="rId15" Type="http://schemas.openxmlformats.org/officeDocument/2006/relationships/image" Target="media/3c36ea06e3976a014cffc7c40da57caaf94d7ec9.png"/><Relationship Id="rId16" Type="http://schemas.openxmlformats.org/officeDocument/2006/relationships/image" Target="media/d92c19a3fc1b9e426e5cef724a252cd8ab2a8c32.png"/><Relationship Id="rId17" Type="http://schemas.openxmlformats.org/officeDocument/2006/relationships/image" Target="media/7e9683e5c3c45d15bce1532f2f51b25175beee56.png"/><Relationship Id="rId18" Type="http://schemas.openxmlformats.org/officeDocument/2006/relationships/image" Target="media/06f7f16909bde31706c2591fe87a840303ba4ab8.png"/><Relationship Id="rId19" Type="http://schemas.openxmlformats.org/officeDocument/2006/relationships/image" Target="media/22f6c454eb88c2a18bd9e135beaf78c5c4a20b56.png"/><Relationship Id="rId20" Type="http://schemas.openxmlformats.org/officeDocument/2006/relationships/image" Target="media/e3af3d9dcf9374c229e114e4088d0045838cf696.png"/><Relationship Id="rId21" Type="http://schemas.openxmlformats.org/officeDocument/2006/relationships/image" Target="media/9da65a902c37aed7893306b3f355beaa45519a52.png"/><Relationship Id="rId22" Type="http://schemas.openxmlformats.org/officeDocument/2006/relationships/image" Target="media/95b4db6438e04686c7f7befffc1275f7369b1c69.png"/><Relationship Id="rId23" Type="http://schemas.openxmlformats.org/officeDocument/2006/relationships/image" Target="media/91978210c92ceb80d2706ed180747e2f03fb4a6b.png"/><Relationship Id="rId24" Type="http://schemas.openxmlformats.org/officeDocument/2006/relationships/image" Target="media/ea92c1ff37d0394c765c29c485d85fa45deed6dc.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2026-10-19T23:55:32.343Z</dcterms:created>
  <dcterms:modified xsi:type="dcterms:W3CDTF">2026-10-19T23:55:32.345Z</dcterms:modified>
</cp:coreProperties>
</file>

<file path=docProps/custom.xml><?xml version="1.0" encoding="utf-8"?>
<Properties xmlns="http://schemas.openxmlformats.org/officeDocument/2006/custom-properties" xmlns:vt="http://schemas.openxmlformats.org/officeDocument/2006/docPropsVTypes"/>
</file>