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있습니다(10종목 평균 차이 1.0%p). 재학습 없는 사후보정으로 모든 경우 평균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14~88%로 퍼져 있습니다. 같은 모델도 입력 형태에 따라 크게 다릅니다(Chronos-T5: 수익률 입력 15%, 가격 입력 76%).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평균 1.0%p 차이입니다(구간이 붕괴한 Chronos-T5 수익률 2개를 뺀 17개 조건 기준. 19개 전체로는 평균 1.2%p, 상관은 17개 0.90·19개 0.998).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13개에서 RW보다 컸고, 가장 나은 조건(Chronos-T5를 제외한 세 모델의 1년·수익률)에서 RW와 같은 수준이었습니다.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평균 커버리지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평균 커버리지가 80%로 돌아왔습니다(보정 후 79.7~80.7%).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6~48%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분석(사전등록 밖): 보정 전 구간을 위험 한도(VaR 10%)로 쓰면 Chronos-T5 수익률 입력은 10번 중 4번 안팎으로 한도를 넘었으나, 보정 후 1번으로 돌아왔습니다. 10종목 중 8종목 이상이 위반율 검정을 통과한 조건은 보정 전 7개에서 보정 후 14개로 늘었습니다. 다만 위반이 몰려 오는 문제는 일부 조건(한 달·가격)에 남았습니다. 변동성 목표 전략에서는 보정 후 실현 변동이 모든 모델·조건에서 목표의 1.05~1.14배였으며,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2ed7220d61c597463ecd503a95ad742770ca76.png"/><Relationship Id="rId9" Type="http://schemas.openxmlformats.org/officeDocument/2006/relationships/image" Target="media/06f7f16909bde31706c2591fe87a840303ba4ab8.png"/><Relationship Id="rId10" Type="http://schemas.openxmlformats.org/officeDocument/2006/relationships/image" Target="media/b50aeb0e4aef29e03c3d5f6aa7fbc7ec6a90e89c.png"/><Relationship Id="rId11" Type="http://schemas.openxmlformats.org/officeDocument/2006/relationships/image" Target="media/ea92c1ff37d0394c765c29c485d85fa45deed6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2026-10-19T23:55:33.306Z</dcterms:created>
  <dcterms:modified xsi:type="dcterms:W3CDTF">2026-10-19T23:55:33.306Z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