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47</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54</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57</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59</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61</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63</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74</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75</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76</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78</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82</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85</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88</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90</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53</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57</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65</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70</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71</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73</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82</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84</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87</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88</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89</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66</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상승시켰다. 이 상승은 첨도가 높은 분포에서 분산 기반 80% 구간이 갖는 수학적 성질로 설명되며, 같은 성질 때문에 극단 분위수를 내는 Chronos-2의 98% 구간에서는 꼬리와 국면 전환이 오히려 커버리지를 낮추었다. 실험 과정에서는 Chronos-T5의 라이브러리 기본 샘플링 설정 하나가 수익률 입력의 커버리지를 14%까지 무너뜨리는 것도 발견하여 바로잡았으며, 이는 설정이 특성보다 큰 차이를 만든다는 또 하나의 사례이다. 실제 주가의 커버리지는 특성 없는 합성 데이터의 커버리지와 평균 1.1%p(최대 3.6%p) 차이를 보였다. 실제 주식에서 분위수 손실은 16개 조건 중 12개에서 과거 변동성 기반 정규분포(RW)보다 컸고, 과거 1년 조건은 모두 GARCH-t보다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크게 어긋나는 모델과 설정은 실측 기반 합성 데이터 실험으로 실제 주식에 쓰기 전에 가려낼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커버리지 변동의 90%가 모델·조건의 차이로, 7%가 금융 특성의 차이로 설명된다.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차이였고, 크게 어긋나는 모델과 설정(TimesFM-2.5 1년·가격 88%, 기본 설정 Chronos-T5 14%)은 합성 데이터에서 이미 그대로 드러났다. 실제 데이터에 적용하기 전에 합성 데이터로 이런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수준이었으며, GARCH-t보다는 과거 1년 조건 모두 손실이 컸다(1년·수익률은 0.4~1.5%로 작은 차이).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확인하고, 크게 어긋나는 모델과 설정을 실제 데이터에 적용하기 전에 걸러내는 점검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연구의 주분석은 네 모델이 공통으로 출력하는 0.1~0.9의 9개 분위수만 사용하고, 극단 구간 확인(4.3.2절)에서는 21개를 모두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걸렸다. large 하나에만 약 19.4시간이 예상되어, 네 모델과 기준 모형 전체의 본 실행 시간(약 5.4시간)의 3배가 넘는다.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커버리지 기준 2%p는 시나리오당 채점 6,000건의 표본 오차(95% 구간 약 ±1%p)보다 확실히 큰 차이로 정하였다.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밝혀 둘 사항과 조치는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검정(H1~H5)에는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이를 수치로 나누어 보면, TSFM 16개 조건 × 17개 시나리오 커버리지의 변동 가운데 90%가 모델·조건의 차이로, 7%가 시나리오(금융 특성)의 차이로 설명된다(이원 분산 분해의 주효과 비율). 가장 크게 벗어난 TimesFM 1년·가격을 빼도 76% 대 18%로 모델·조건의 몫이 훨씬 크다.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사실상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 16개 조건 × 10종목 커버리지의 변동 가운데 92%가 모델·조건의 차이로, 1%가 종목의 차이로 설명된다(TimesFM 1년·가격을 빼면 83% 대 1%).</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keepNext w:val="false"/>
        <w:widowControl/>
        <w:spacing w:after="120" w:before="0" w:line="384"/>
        <w:ind w:firstLine="220"/>
        <w:jc w:val="both"/>
      </w:pPr>
      <w:r>
        <w:rPr>
          <w:rFonts w:ascii="바탕" w:cs="바탕" w:eastAsia="바탕" w:hAnsi="바탕"/>
          <w:sz w:val="22"/>
          <w:szCs w:val="22"/>
          <w:lang w:val="en-US" w:eastAsia="ko-KR"/>
        </w:rPr>
        <w:t xml:space="preserve">같은 과거 1년을 쓰는 GARCH-t와 비교하면 결과는 더 분명하다. 미리 정한 가설(H5)에는 들어 있지 않은 추가 분석으로, H5와 같은 방법(같은 종목·날짜로 짝지은 손실 차이의 월 평균에 t검정, Holm 보정)을 적용하였다. GARCH-t 1년의 분위수 손실은 RW 1년보다 1.4% 작아 19개 모델·조건 가운데 가장 작았고, TSFM 1년 조건 8개는 모두 GARCH-t보다 손실이 유의하게 컸다(1년·수익률 0.4~1.5%, 1년·가격 2.2~5.1%). 1년·수익률 조건의 차이는 실질 기준(2%)보다 작아, TSFM은 이 조건에서 RW와 같고 GARCH-t에는 조금 못 미치는 수준이다.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19개 중 12개 조건에서 이보다 실제에 가까웠으나, 조건 수가 적어 이 차이는 통계적으로 확실하지 않다(Wilcoxon 부호순위 검정 p = 0.07). 합성 점검이 분명하게 쓸모 있는 것은 크게 어긋나는 경우이다. TimesFM 1년·가격(87.6 → 87.7%)과 기본 설정 Chronos-T5의 수익률 구간(합성 14~16%, 실제 17~18%, 부록 A.3)은 합성 데이터에서 이미 그대로 드러났다.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4095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적어도 크게 어긋나는 모델과 설정은 합성 데이터 점검으로 미리 가려낼 수 있다는 뜻이다. 2%p 안쪽의 작은 어긋남까지 합성 점검으로 맞힌다고 보기는 어렵다.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변동성 군집을 직접 모형화하는 GARCH-t보다는 1년 조건 모두 손실이 컸다(0.4~5.1%). 모델 공개 이후 기간만 보아도 RW 대비 손실의 양상은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 6.6절은 실무적 의미와 변동성 수준별 커버리지를 다룬다. 6.7절에서 RQ3에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 1년·수익률 조건이 VaR 백테스트의 위반율·독립성 검정을 함께 통과한 것(표 5-6)과 함께 보면, 위반이 연달아 몰리지는 않지만 변동이 큰 시기에는 위반이 다소 잦다는 뜻이다.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595"/>
        <w:gridCol w:w="3509"/>
        <w:gridCol w:w="1351"/>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59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50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5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 GARCH-t보다는 1년 조건 모두 손실 큼</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1160"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59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50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5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크게 어긋나는 모델과 설정은 실측 기반 합성 데이터 실험으로 미리 가려낼 수 있다. 이 오차는 재학습 없는 사후보정으로 평균 커버리지 기준에서 일관되게 바로잡힌다. 분포의 정확도는 RW 수준이고 GARCH-t에는 조금 못 미치므로,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있었고, 크게 어긋나는 모델과 설정은 합성 데이터에서 이미 그대로 드러났다(본 연구의 10종목, 5.4절). 따라서 실제 데이터에 쓰기 전에 간단한 점검으로 이런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GARCH-t보다는 조금 낮았고(0.4~1.5%),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모델과 입력 길이가 제한적이다. Chronos-T5는 계산 자원의 제약으로 large 대신 base를 사용하였고, Moirai-2.0은 small 크기만 평가하였다. 미세조정이나 금융 데이터로 사전학습한 모델은 다루지 않았다. 과거 길이는 기준 모형과 맞추어 최대 252일로 하였다. TSFM은 더 긴 과거(예: 512일)를 받을 수 있으나, Chronos-T5를 독립 정규 계열로 점검했을 때 512일과 252일의 커버리지는 78.3%와 78.6%로 같았다(부록 A.3). 다른 모델과 실제 주가에서 512일은 확인하지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728"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512"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다음을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GARCH-t 대비 분위수 손실(실제 10종목, 5.2절): H5와 같은 방법으로 TSFM 1년 조건 8개를 GARCH-t 1년과 비교하였다. 8개 모두 손실이 유의하게 컸다(Holm 보정 후 p &lt; 0.001; 1년·수익률 0.4~1.5%, 1년·가격 2.2~5.1%). RW 1년도 GARCH-t보다 1.4% 컸다.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커버리지 변동의 분해(4.2절, 5.1절): 조건과 시나리오(또는 종목)의 주효과 제곱합 비율은 합성 90% 대 7%, 실제 92% 대 1%였다(TimesFM 1년·가격 제외 시 76% 대 18%, 83% 대 1%).</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다중 비교 보정의 범위(4.3절): 가설·비교마다 16개씩 하던 Holm 보정을 H1~H3b의 두 비교 전체 128개로 넓혀도, 2%p 이상의 실질 효과는 L5 − L1 기준(군집 2개, 꼬리 6개) 모두 유의하였고, L5 − L3 기준으로는 전환 빈도 3개 중 1개만 유의하지 않게 되었다(부록 B). 2%p 미만의 작은 효과는 일부 유의하지 않게 되어 L5 − L1 기준 유의한 조건이 군집 5개 → 2개, 꼬리 11개 → 8개, 전환 빈도 7개 → 1개로 줄었다. 특성의 효과가 작다는 결론은 바뀌지 않는다.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and every one-year setting had larger loss than GARCH-t.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track real-stock coverage closely enough to flag badly miscalibrated models and settings before deployment.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5db29d9c2f8af4aa9b2e62890964dd06a9296104.png"/><Relationship Id="rId19" Type="http://schemas.openxmlformats.org/officeDocument/2006/relationships/image" Target="media/d5c809602b70a957ca95d6aeac3af238ffbca1a2.png"/><Relationship Id="rId20" Type="http://schemas.openxmlformats.org/officeDocument/2006/relationships/image" Target="media/ffde52162dae9037e4f8b203196ca8a4c42a3509.png"/><Relationship Id="rId21" Type="http://schemas.openxmlformats.org/officeDocument/2006/relationships/image" Target="media/86bfee041b853111609315f9a70980d433ac85f8.png"/><Relationship Id="rId22" Type="http://schemas.openxmlformats.org/officeDocument/2006/relationships/image" Target="media/407b9c1ff53979d3fa7068c254e673f9df52b04e.png"/><Relationship Id="rId23" Type="http://schemas.openxmlformats.org/officeDocument/2006/relationships/image" Target="media/8d3f1fcf3aec095cdca081de1ff4a9d7fc05d5a6.png"/><Relationship Id="rId24" Type="http://schemas.openxmlformats.org/officeDocument/2006/relationships/image" Target="media/50fce3821f4f050e8c32911508e82f621e34034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2026-10-21T14:26:33.546Z</dcterms:created>
  <dcterms:modified xsi:type="dcterms:W3CDTF">2026-10-21T14:26:33.556Z</dcterms:modified>
</cp:coreProperties>
</file>

<file path=docProps/custom.xml><?xml version="1.0" encoding="utf-8"?>
<Properties xmlns="http://schemas.openxmlformats.org/officeDocument/2006/custom-properties" xmlns:vt="http://schemas.openxmlformats.org/officeDocument/2006/docPropsVTypes"/>
</file>