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34</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45</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33</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평균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이 과대는 추세가 없는(평균 0) 합성 데이터에서도 17개 시나리오 모두 86.8~88.4%로 나타나고 실제 주가(87.7%, 5.1절)와 크기가 같으므로, 표본 기간의 상승 추세 때문으로 볼 수 없다. 같은 1년·가격 조건에서 입력 창을 정규화하는 다른 패치 방식 모델인 Moirai-2(L1 79.7%)에는 나타나지 않아 TimesFM 고유의 현상으로 보이며, 모델 내부의 원인은 본 연구에서 분리하지 않았다(7.4절).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 조건(한국이 약 4~5%p 높음)을 제외하면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왼쪽은 전체이고, 오른쪽은 구간이 붕괴한 Chronos-T5 수익률 2개 조건을 뺀 17개를 확대한 것이다. 점들이 합성과 실제가 같은 값을 뜻하는 대각선 가까이에 모여 있다.</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1621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3개 조건(한 달·수익률, 한 달·가격, 1년·수익률)에서 같은 과거 길이의 RW보다 샤프 비율이 유의하게 낮았던 것(표 5-5, −0.16~−0.23)은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방식)과 TimesFM-2.5 1년·가격 조건의 구간 과대 원인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average (unconditional)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06f7f16909bde31706c2591fe87a840303ba4ab8.png"/><Relationship Id="rId19" Type="http://schemas.openxmlformats.org/officeDocument/2006/relationships/image" Target="media/22f6c454eb88c2a18bd9e135beaf78c5c4a20b56.png"/><Relationship Id="rId20" Type="http://schemas.openxmlformats.org/officeDocument/2006/relationships/image" Target="media/e3af3d9dcf9374c229e114e4088d0045838cf696.png"/><Relationship Id="rId21" Type="http://schemas.openxmlformats.org/officeDocument/2006/relationships/image" Target="media/9da65a902c37aed7893306b3f355beaa45519a52.png"/><Relationship Id="rId22" Type="http://schemas.openxmlformats.org/officeDocument/2006/relationships/image" Target="media/95b4db6438e04686c7f7befffc1275f7369b1c69.png"/><Relationship Id="rId23" Type="http://schemas.openxmlformats.org/officeDocument/2006/relationships/image" Target="media/91978210c92ceb80d2706ed180747e2f03fb4a6b.png"/><Relationship Id="rId24" Type="http://schemas.openxmlformats.org/officeDocument/2006/relationships/image" Target="media/ea92c1ff37d0394c765c29c485d85fa45deed6d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2026-10-19T23:49:53.358Z</dcterms:created>
  <dcterms:modified xsi:type="dcterms:W3CDTF">2026-10-19T23:49:53.363Z</dcterms:modified>
</cp:coreProperties>
</file>

<file path=docProps/custom.xml><?xml version="1.0" encoding="utf-8"?>
<Properties xmlns="http://schemas.openxmlformats.org/officeDocument/2006/custom-properties" xmlns:vt="http://schemas.openxmlformats.org/officeDocument/2006/docPropsVTypes"/>
</file>