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바탕" w:cs="바탕" w:eastAsia="바탕" w:hAnsi="바탕"/>
          <w:lang w:val="en-US" w:eastAsia="ko-KR"/>
        </w:rPr>
        <w:t xml:space="preserve">석사학위논문 초고 요약</w:t>
      </w:r>
    </w:p>
    <w:p>
      <w:pPr>
        <w:keepNext w:val="false"/>
        <w:widowControl/>
        <w:spacing w:after="120" w:before="0" w:line="384"/>
        <w:ind w:firstLine="210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인공지능융합학과 김승민 · 2026년 10월</w:t>
      </w:r>
    </w:p>
    <w:p>
      <w:pPr>
        <w:pStyle w:val="Heading2"/>
        <w:keepNext/>
      </w:pPr>
      <w:r>
        <w:rPr>
          <w:rFonts w:ascii="바탕" w:cs="바탕" w:eastAsia="바탕" w:hAnsi="바탕"/>
          <w:lang w:val="en-US" w:eastAsia="ko-KR"/>
        </w:rPr>
        <w:t xml:space="preserve">한 줄 요약</w:t>
      </w:r>
    </w:p>
    <w:p>
      <w:pPr>
        <w:keepNext w:val="false"/>
        <w:widowControl/>
        <w:spacing w:after="120" w:before="0" w:line="384"/>
        <w:ind w:firstLine="210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사전학습 시계열 모델(TSFM)이 내는 주가 수익률 80% 예측구간의 오차는 금융 데이터의 특성보다 모델과 입력 설정에서 오며, 실측 기반 합성 데이터 실험으로 실제 주가의 커버리지를 미리 가늠할 수 있습니다(10종목 평균 차이 1.0%p). 재학습 없는 사후보정으로 모든 경우 평균 커버리지가 80%로 복원되므로, 분포 정확도가 단순 기준 모형(RW) 수준인 TSFM은 수익률 예측기보다 보정을 거친 위험 측정 도구로 쓰는 것이 적절합니다.</w:t>
      </w:r>
    </w:p>
    <w:p>
      <w:pPr>
        <w:keepNext w:val="false"/>
        <w:widowControl/>
        <w:spacing w:after="120" w:before="0" w:line="384"/>
        <w:ind w:firstLine="210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제목(안): 사전학습 시계열 모델의 금융 수익률 예측구간: 오차의 출처와 재학습 없는 사후보정 (부제: 실측 기반 합성 데이터 통제 실험과 미국·한국 대형주 실증)</w:t>
      </w:r>
    </w:p>
    <w:p>
      <w:pPr>
        <w:pStyle w:val="Heading2"/>
        <w:keepNext/>
      </w:pPr>
      <w:r>
        <w:rPr>
          <w:rFonts w:ascii="바탕" w:cs="바탕" w:eastAsia="바탕" w:hAnsi="바탕"/>
          <w:lang w:val="en-US" w:eastAsia="ko-KR"/>
        </w:rPr>
        <w:t xml:space="preserve">1. 연구 배경과 연구 질문</w:t>
      </w:r>
    </w:p>
    <w:p>
      <w:pPr>
        <w:keepNext/>
        <w:widowControl/>
        <w:spacing w:after="120" w:before="0" w:line="384"/>
        <w:ind w:firstLine="210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시계열 파운데이션 모델(TSFM)을 금융 위험 관리에 활용하려면 예측구간이 명목 확률(예: 80%)을 실제로 지키는지가 중요하나, 기존 금융 TSFM 연구는 점 예측 정확도에 집중해 왔습니다. 본 연구는 다음 세 가지 질문에 답합니다.</w:t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RQ1 (진단): 금융 데이터의 특성(변동성 군집, 두꺼운 꼬리, 국면 전환의 빈도와 크기)이 강해질수록 TSFM 80% 예측구간의 커버리지가 떨어지는가, 아니면 모델과 입력 설정에서 이미 오차가 발생하는가? 특성 중에서는 어떤 것이 가장 불리한가?</w:t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RQ2 (실증 평가): 실제 미국·한국 대형주에서 TSFM 예측구간의 커버리지와 분포 정확도는 어떠하며, 단순 기준 모형(과거 변동성 기반 정규분포, RW)보다 나은가?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RQ3 (처방): 모델을 재학습하지 않는 온라인 사후보정(ACI-CQR)으로 커버리지를 80%로 복원할 수 있는가? 그에 수반되는 구간 폭의 확대는 어느 정도인가?</w:t>
      </w:r>
    </w:p>
    <w:p>
      <w:pPr>
        <w:pStyle w:val="Heading2"/>
        <w:keepNext/>
      </w:pPr>
      <w:r>
        <w:rPr>
          <w:rFonts w:ascii="바탕" w:cs="바탕" w:eastAsia="바탕" w:hAnsi="바탕"/>
          <w:lang w:val="en-US" w:eastAsia="ko-KR"/>
        </w:rPr>
        <w:t xml:space="preserve">2. 연구 설계</w:t>
      </w:r>
    </w:p>
    <w:p>
      <w:pPr>
        <w:keepNext w:val="false"/>
        <w:spacing w:after="60" w:before="120"/>
        <w:jc w:val="center"/>
      </w:pPr>
      <w:r>
        <w:drawing>
          <wp:inline distT="0" distB="0" distL="0" distR="0">
            <wp:extent cx="4143375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합성 데이터 실험: 실제 10종목에서 측정한 특성 강도로 합성 데이터 17개 시나리오를 만들었습니다(특성 없음 1개 + 4개 특성 × 4단계). 같은 난수와 같은 평균 변동을 쓰고 특성 하나만 바꿔, 차이가 그 특성 때문임을 보장합니다. 참 분포를 알기 때문에 오라클 모형(참 분포)으로 채점 절차를 검증했습니다(17개 시나리오 모두 79.3~80.2%).</w:t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실제 주가 실증: 같은 절차를 실제 10종목 24,132건에 적용했습니다.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평가: 80% 구간의 커버리지(실제값이 구간에 들어온 비율, 목표 80%)와 분위수 손실(분포 전체의 정확도).</w:t>
      </w:r>
    </w:p>
    <w:p>
      <w:pPr>
        <w:pStyle w:val="Heading2"/>
        <w:keepNext/>
      </w:pPr>
      <w:r>
        <w:rPr>
          <w:rFonts w:ascii="바탕" w:cs="바탕" w:eastAsia="바탕" w:hAnsi="바탕"/>
          <w:lang w:val="en-US" w:eastAsia="ko-KR"/>
        </w:rPr>
        <w:t xml:space="preserve">3. 주요 결과</w:t>
      </w:r>
    </w:p>
    <w:p>
      <w:pPr>
        <w:pStyle w:val="Heading3"/>
        <w:keepNext/>
      </w:pPr>
      <w:r>
        <w:rPr>
          <w:rFonts w:ascii="바탕" w:cs="바탕" w:eastAsia="바탕" w:hAnsi="바탕"/>
          <w:lang w:val="en-US" w:eastAsia="ko-KR"/>
        </w:rPr>
        <w:t xml:space="preserve">결과 1. 오차는 특성이 아니라 모델·설정에서 온다 (RQ1)</w:t>
      </w:r>
    </w:p>
    <w:p>
      <w:pPr>
        <w:keepNext w:val="false"/>
        <w:spacing w:after="60" w:before="120"/>
        <w:jc w:val="center"/>
      </w:pPr>
      <w:r>
        <w:drawing>
          <wp:inline distT="0" distB="0" distL="0" distR="0">
            <wp:extent cx="414337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특성이 하나도 없는 데이터(맨 윗줄)에서 이미 TSFM 커버리지가 14~88%로 퍼져 있습니다. 같은 모델도 입력 형태에 따라 크게 다릅니다(Chronos-T5: 수익률 입력 15%, 가격 입력 76%).</w:t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특성을 실제 종목 중 가장 강한 수준(L5)으로 설정해도 변화는 대부분 3%p 이내입니다. 그림에서 색은 세로(모델·설정)로 바뀌고 가로(특성)로는 거의 바뀌지 않습니다.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가설과 다른 점: 변동성 군집만 일부 조건에서 커버리지를 낮췄고(실질 하락 2개 조건, −2.0~−2.5%p), 두꺼운 꼬리와 잦은 국면 전환 특성은 오히려 커버리지를 높였습니다(전환 크기는 영향 없음). 이는 꼬리가 두꺼운 분포에서 분산 기반 80% 구간이 넓어지는 수학적 성질로 설명됩니다(정규분포 기반 구간을 t분포 데이터에 적용하면 이론 커버리지 82~87%, 단순 기준 모형이 이 이론값을 그대로 따름). 단, 이 현상은 80% 구간에 한정되며, 99% 구간에서는 반대로 커버리지가 97.8%로 낮아져 한도를 넘는 날이 1%에서 2.2%로 늘어나므로 극단 위험에는 그대로 적용할 수 없습니다(본문 표 4-3).</w:t>
      </w:r>
    </w:p>
    <w:p>
      <w:pPr>
        <w:pStyle w:val="Heading3"/>
        <w:keepNext/>
      </w:pPr>
      <w:r>
        <w:rPr>
          <w:rFonts w:ascii="바탕" w:cs="바탕" w:eastAsia="바탕" w:hAnsi="바탕"/>
          <w:lang w:val="en-US" w:eastAsia="ko-KR"/>
        </w:rPr>
        <w:t xml:space="preserve">결과 2. 합성 데이터 실험 결과가 실제 주가와 일치한다 (RQ2)</w:t>
      </w:r>
    </w:p>
    <w:p>
      <w:pPr>
        <w:keepNext w:val="false"/>
        <w:spacing w:after="60" w:before="120"/>
        <w:jc w:val="center"/>
      </w:pPr>
      <w:r>
        <w:drawing>
          <wp:inline distT="0" distB="0" distL="0" distR="0">
            <wp:extent cx="4143375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특성 없는 합성 데이터의 커버리지와 실제 주가의 커버리지는 평균 1.0%p 차이입니다(구간이 붕괴한 Chronos-T5 수익률 2개를 뺀 17개 조건 기준. 19개 전체로는 평균 1.2%p, 상관은 17개 0.90·19개 0.998). 실제 주가의 오차도 대부분 모델·설정에서 온다는 뜻입니다.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분포 정확도를 나타내는 분위수 손실은 16개 조건 중 13개에서 RW보다 컸고, 가장 나은 조건(Chronos-T5를 제외한 세 모델의 1년·수익률)에서 RW와 같은 수준이었습니다. 점 예측 연구에서 보고된 한계가 분포 예측에서도 나타난 것입니다. 모델 공개 이후 기간만 따로 봐도 같습니다.</w:t>
      </w:r>
    </w:p>
    <w:p>
      <w:pPr>
        <w:pStyle w:val="Heading3"/>
        <w:keepNext/>
      </w:pPr>
      <w:r>
        <w:rPr>
          <w:rFonts w:ascii="바탕" w:cs="바탕" w:eastAsia="바탕" w:hAnsi="바탕"/>
          <w:lang w:val="en-US" w:eastAsia="ko-KR"/>
        </w:rPr>
        <w:t xml:space="preserve">결과 3. 사후보정으로 모든 경우 평균 커버리지 80% 복원 (RQ3)</w:t>
      </w:r>
    </w:p>
    <w:p>
      <w:pPr>
        <w:keepNext w:val="false"/>
        <w:spacing w:after="60" w:before="120"/>
        <w:jc w:val="center"/>
      </w:pPr>
      <w:r>
        <w:drawing>
          <wp:inline distT="0" distB="0" distL="0" distR="0">
            <wp:extent cx="4143375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적응형 콘포멀 분위수 보정(ACI-CQR)으로 합성 340개, 실제 19개 모델·조건 모두 평균 커버리지가 80%로 돌아왔습니다(보정 후 79.7~80.7%). 너무 좁은 구간은 넓히고, 너무 넓은 구간(TimesFM 88%)은 좁혔습니다.</w:t>
      </w:r>
    </w:p>
    <w:p>
      <w:pPr>
        <w:pStyle w:val="ListParagraph"/>
        <w:keepNext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그에 상응하여 보정된 구간의 폭은 이상적인 구간보다 6~48% 넓어졌습니다.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60" w:line="384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탐색 분석(사전등록 밖): 보정 전 구간을 위험 한도(VaR 10%)로 쓰면 Chronos-T5 수익률 입력은 10번 중 4번 안팎으로 한도를 넘었으나, 보정 후 1번으로 돌아왔습니다. 10종목 중 8종목 이상이 위반율 검정을 통과한 조건은 보정 전 7개에서 보정 후 14개로 늘었습니다. 다만 위반이 몰려 오는 문제는 일부 조건(한 달·가격)에 남았습니다. 변동성 목표 전략에서도 의도한 위험 수준을 회복했으며, 예측 중앙값의 부호로 매매하는 단순 규칙은 모두 계속 보유보다 못했습니다.</w:t>
      </w:r>
    </w:p>
    <w:p>
      <w:pPr>
        <w:pStyle w:val="Heading2"/>
        <w:keepNext/>
      </w:pPr>
      <w:r>
        <w:rPr>
          <w:rFonts w:ascii="바탕" w:cs="바탕" w:eastAsia="바탕" w:hAnsi="바탕"/>
          <w:lang w:val="en-US" w:eastAsia="ko-KR"/>
        </w:rPr>
        <w:t xml:space="preserve">4. 한계</w:t>
      </w:r>
    </w:p>
    <w:p>
      <w:pPr>
        <w:keepNext w:val="false"/>
        <w:widowControl/>
        <w:spacing w:after="120" w:before="0" w:line="384"/>
        <w:ind w:firstLine="210"/>
        <w:jc w:val="both"/>
      </w:pPr>
      <w:r>
        <w:rPr>
          <w:rFonts w:ascii="바탕" w:cs="바탕" w:eastAsia="바탕" w:hAnsi="바탕"/>
          <w:sz w:val="21"/>
          <w:szCs w:val="21"/>
          <w:lang w:val="en-US" w:eastAsia="ko-KR"/>
        </w:rPr>
        <w:t xml:space="preserve">80% 구간만 평가하였고(일부 모델이 극단 분위수를 출력하지 않음), 다음 날 예측과 미국·한국 대형주 10종목에 한정됩니다. Chronos-T5는 계산 시간 문제로 base 크기를 사용하였습니다.</w:t>
      </w:r>
    </w:p>
    <w:sectPr>
      <w:footerReference w:type="default" r:id="rId7"/>
      <w:pgSz w:w="11906" w:h="16838" w:orient="portrait"/>
      <w:pgMar w:top="1418" w:right="1418" w:bottom="1418" w:left="1418" w:header="680" w:footer="68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바탕" w:cs="바탕" w:eastAsia="바탕" w:hAnsi="바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1"/>
        <w:szCs w:val="21"/>
        <w:lang w:val="en-US" w:eastAsia="ko-KR"/>
      </w:rPr>
    </w:rPrDefault>
    <w:pPrDefault>
      <w:pPr>
        <w:widowControl/>
        <w:wordWrap w:val="1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ableCaption">
    <w:name w:val="TableCaption"/>
    <w:basedOn w:val="Normal"/>
    <w:next w:val="Normal"/>
    <w:rPr>
      <w:rFonts w:ascii="바탕" w:cs="바탕" w:eastAsia="바탕" w:hAnsi="바탕"/>
      <w:b/>
      <w:bCs/>
      <w:sz w:val="19"/>
      <w:szCs w:val="19"/>
    </w:rPr>
  </w:style>
  <w:style w:type="paragraph" w:styleId="FigureCaption">
    <w:name w:val="FigureCaption"/>
    <w:basedOn w:val="Normal"/>
    <w:next w:val="Normal"/>
    <w:rPr>
      <w:rFonts w:ascii="바탕" w:cs="바탕" w:eastAsia="바탕" w:hAnsi="바탕"/>
      <w:b/>
      <w:bCs/>
      <w:sz w:val="19"/>
      <w:szCs w:val="19"/>
    </w:rPr>
  </w:style>
  <w:style w:type="paragraph" w:styleId="TOC1">
    <w:name w:val="toc 1"/>
    <w:basedOn w:val="Normal"/>
    <w:next w:val="Normal"/>
    <w:pPr>
      <w:spacing w:after="40" w:before="160"/>
    </w:pPr>
    <w:rPr>
      <w:sz w:val="21"/>
      <w:szCs w:val="21"/>
    </w:rPr>
  </w:style>
  <w:style w:type="paragraph" w:styleId="TOC2">
    <w:name w:val="toc 2"/>
    <w:basedOn w:val="Normal"/>
    <w:next w:val="Normal"/>
    <w:pPr>
      <w:spacing w:after="40" w:before="0"/>
      <w:ind w:left="300"/>
    </w:pPr>
    <w:rPr>
      <w:sz w:val="21"/>
      <w:szCs w:val="21"/>
    </w:rPr>
  </w:style>
  <w:style w:type="paragraph" w:styleId="TOC3">
    <w:name w:val="toc 3"/>
    <w:basedOn w:val="Normal"/>
    <w:next w:val="Normal"/>
    <w:pPr>
      <w:spacing w:after="40" w:before="0"/>
      <w:ind w:left="600"/>
    </w:pPr>
    <w:rPr>
      <w:sz w:val="21"/>
      <w:szCs w:val="21"/>
    </w:rPr>
  </w:style>
  <w:style w:type="paragraph" w:styleId="Heading1">
    <w:name w:val="Heading 1"/>
    <w:basedOn w:val="Normal"/>
    <w:next w:val="Normal"/>
    <w:qFormat/>
    <w:pPr>
      <w:spacing w:after="480" w:before="0"/>
      <w:jc w:val="center"/>
      <w:outlineLvl w:val="0"/>
    </w:pPr>
    <w:rPr>
      <w:rFonts w:ascii="바탕" w:cs="바탕" w:eastAsia="바탕" w:hAnsi="바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바탕" w:cs="바탕" w:eastAsia="바탕" w:hAnsi="바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바탕" w:cs="바탕" w:eastAsia="바탕" w:hAnsi="바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2ed7220d61c597463ecd503a95ad742770ca76.png"/><Relationship Id="rId9" Type="http://schemas.openxmlformats.org/officeDocument/2006/relationships/image" Target="media/06f7f16909bde31706c2591fe87a840303ba4ab8.png"/><Relationship Id="rId10" Type="http://schemas.openxmlformats.org/officeDocument/2006/relationships/image" Target="media/b50aeb0e4aef29e03c3d5f6aa7fbc7ec6a90e89c.png"/><Relationship Id="rId11" Type="http://schemas.openxmlformats.org/officeDocument/2006/relationships/image" Target="media/ea92c1ff37d0394c765c29c485d85fa45deed6d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석사학위논문 초고 요약</dc:title>
  <dc:creator>김승민</dc:creator>
  <cp:lastModifiedBy>김승민</cp:lastModifiedBy>
  <cp:revision>1</cp:revision>
  <dcterms:created xsi:type="dcterms:W3CDTF">2026-10-19T23:49:54.454Z</dcterms:created>
  <dcterms:modified xsi:type="dcterms:W3CDTF">2026-10-19T23:49:54.455Z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