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4</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5</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7</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7</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7</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7</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10</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10</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10</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10</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13</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14</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17</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17</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17</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18</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20</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22</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23</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23</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28</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32</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34</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34</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35</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설정 고정과 검산</w:t>
          </w:r>
          <w:r>
            <w:rPr>
              <w:rFonts w:ascii="바탕" w:hAnsi="바탕" w:eastAsia="바탕" w:cs="바탕"/>
              <w:sz w:val="21"/>
              <w:szCs w:val="21"/>
            </w:rPr>
            <w:tab/>
            <w:t>36</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38</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43</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47</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(H6)</w:t>
          </w:r>
          <w:r>
            <w:rPr>
              <w:rFonts w:ascii="바탕" w:hAnsi="바탕" w:eastAsia="바탕" w:cs="바탕"/>
              <w:sz w:val="21"/>
              <w:szCs w:val="21"/>
            </w:rPr>
            <w:tab/>
            <w:t>50</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54</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57</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59</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60</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61</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63</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69</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71</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74</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설정 고정과 재현 정보</w:t>
          </w:r>
          <w:r>
            <w:rPr>
              <w:rFonts w:ascii="바탕" w:hAnsi="바탕" w:eastAsia="바탕" w:cs="바탕"/>
              <w:sz w:val="21"/>
              <w:szCs w:val="21"/>
            </w:rPr>
            <w:tab/>
            <w:t>78</w:t>
          </w:r>
        </w:p>
        <w:p>
          <w:pPr>
            <w:tabs>
              <w:tab w:val="right" w:leader="dot" w:pos="7936"/>
            </w:tabs>
            <w:spacing w:before="0" w:after="40" w:line="300" w:lineRule="auto"/>
            <w:ind w:left="600" w:right="400" w:hanging="0"/>
          </w:pPr>
          <w:r>
            <w:rPr>
              <w:rFonts w:ascii="바탕" w:hAnsi="바탕" w:eastAsia="바탕" w:cs="바탕"/>
              <w:sz w:val="21"/>
              <w:szCs w:val="21"/>
            </w:rPr>
            <w:t xml:space="preserve">A.1 설정 고정과 변경 기록</w:t>
          </w:r>
          <w:r>
            <w:rPr>
              <w:rFonts w:ascii="바탕" w:hAnsi="바탕" w:eastAsia="바탕" w:cs="바탕"/>
              <w:sz w:val="21"/>
              <w:szCs w:val="21"/>
            </w:rPr>
            <w:tab/>
            <w:t>78</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78</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 변경</w:t>
          </w:r>
          <w:r>
            <w:rPr>
              <w:rFonts w:ascii="바탕" w:hAnsi="바탕" w:eastAsia="바탕" w:cs="바탕"/>
              <w:sz w:val="21"/>
              <w:szCs w:val="21"/>
            </w:rPr>
            <w:tab/>
            <w:t>78</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사후 점검</w:t>
          </w:r>
          <w:r>
            <w:rPr>
              <w:rFonts w:ascii="바탕" w:hAnsi="바탕" w:eastAsia="바탕" w:cs="바탕"/>
              <w:sz w:val="21"/>
              <w:szCs w:val="21"/>
            </w:rPr>
            <w:tab/>
            <w:t>80</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81</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82</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84</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23</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27</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32</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35</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38</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4-4. 고강도(L4·L5)에서 특성별 결손 (80% − 커버리지, %p; 양수 = 구간이 좁음)</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57</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63</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65</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68</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70</w:t>
          </w:r>
        </w:p>
        <w:p>
          <w:pPr>
            <w:tabs>
              <w:tab w:val="right" w:leader="dot" w:pos="7936"/>
            </w:tabs>
            <w:spacing w:before="0" w:after="20" w:line="264" w:lineRule="auto"/>
            <w:ind w:left="0" w:right="400" w:hanging="0"/>
          </w:pPr>
          <w:r>
            <w:rPr>
              <w:rFonts w:ascii="바탕" w:hAnsi="바탕" w:eastAsia="바탕" w:cs="바탕"/>
              <w:sz w:val="21"/>
              <w:szCs w:val="21"/>
            </w:rPr>
            <w:t xml:space="preserve">표 A-1. Chronos-T5 수익률 조건의 샘플링 설정 변경 전후</w:t>
          </w:r>
          <w:r>
            <w:rPr>
              <w:rFonts w:ascii="바탕" w:hAnsi="바탕" w:eastAsia="바탕" w:cs="바탕"/>
              <w:sz w:val="21"/>
              <w:szCs w:val="21"/>
            </w:rPr>
            <w:tab/>
            <w:t>79</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81</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83</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9</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11</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15</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19</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개선율(H6)</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60</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64</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고정하였고, 이후 바꾼 Chronos-T5의 샘플링 설정 하나는 경위와 함께 밝혔다.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벗어났고, 같은 모델도 라이브러리 기본 샘플링 설정 하나로 커버리지가 14%까지 무너졌다.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설명된다. 실제 주가의 커버리지는 특성 없는 합성 데이터의 커버리지와 평균 1.1%p(최대 3.6%p) 차이를 보였다. 실제 주식에서 분위수 손실은 16개 조건 중 12개에서 과거 변동성 기반 정규분포(RW)보다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즉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실험 설정, 가설, 판정 기준, 분석 코드는 실행 전에 정해 git 커밋으로 고정하였다. 고정 이후 바꾼 것은 Chronos-T5의 샘플링 설정 한 가지이며, 그 경위와 바꾸기 전의 결과는 부록 A에 밝힌다.</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같은 모델에서도 라이브러리 기본 샘플링 설정 하나가 커버리지를 14%까지 무너뜨렸다. 변동성 군집만 일부 조건에서 커버리지를 낮췄고, 두꺼운 꼬리와 잦은 국면 전환 특성은 오히려 커버리지를 높였으며, 이는 80% 구간이 갖는 수학적 성질로 설명된다.</w:t>
      </w:r>
    </w:p>
    <w:p>
      <w:pPr>
        <w:keepNext/>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차이였다. 실제 데이터에 적용하기 전에 합성 데이터로 잘못된 설정을 미리 찾아낼 수 있다는 뜻이다.</w:t>
      </w:r>
    </w:p>
    <w:p>
      <w:pPr>
        <w:keepNext/>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구간에서는 하락)을 이론 계산으로 보였다.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실험 전에 고정한 절차로 평가하고,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설정 고정 절차를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설정 고정과 검산 절차를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5"/>
        <w:gridCol w:w="4847"/>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기준 연구인 Re(Visiting)도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기준 연구(Noguer)와 같은 종목으로 재현 비교가 목적.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다르지만(기준 연구 재현),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기준 연구에서 평가한 모델과 맞추었다. 이하 표와 본문에서는 Moirai-2.0을 Moirai-2로 줄여 쓴다.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이 설정에서는 입력의 평균 절댓값 대비 다음 값의 퍼짐이 큰 수익률 입력에서 분포의 양 끝이 잘려, 80% 구간의 커버리지가 합성 데이터에서 14~16%, 실제 주가에서 17~18%로 무너졌다. 가격 입력은 다음 값이 마지막 값 근처에 모이므로 이 제한의 영향을 받지 않았다(사후 점검에서 해제 전후 커버리지 차이 0.01%p, 부록 A). 이 붕괴는 모델의 예측 능력이 아니라 샘플링 설정에서 생긴 것이므로, 본 연구는 제한을 해제하고(어휘 전체에서 추출) Chronos-T5의 수익률 조건을 다시 예측하여 평가하였다. 바꾼 것은 이 설정 하나이며, 경위와 기본 설정의 결과는 부록 A에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즉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설정 고정과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설정이나 가설을 바꾸어 원하는 결과를 고르는 일을 막기 위해, 실행 전에 연구 계획(가설·판정 기준)·코드·단계값을 정해 git 커밋으로 고정하고(고정 시점과 실행 환경은 부록 A), 고정 후의 변경은 사유를 기록하고 새 커밋으로만 허용하였다. 예비 실험에서 확인한 설계상의 한계를 보완하여 본 실험을 설계하고 실행 전에 고정하였으며, 고정 전에는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투명성을 위해 다음 사항을 밝힌다. 첫째, 고정 전 전체 규모 사전 시험에서 기준 모형(RW, GARCH-t)의 실제 주가 결과가 함께 산출되었으나, 이를 본 뒤 설정은 바꾸지 않았다. 둘째, 고정 후 검산에서 GARCH-t가 합성 데이터 136,000건 중 2건에서 비정상 값을 낸 것을 발견하였으며, 가설 검정에는 영향이 없고 민감도 분석을 6.5절에 보고한다. 셋째, 고정한 설정 가운데 Chronos-T5의 샘플링 설정 하나는 결과를 본 뒤 바꾸었다(3.4절). 기본 설정에서 수익률 입력의 구간이 무너진 원인을 사후 점검으로 확인한 뒤, 이 설정만 바꾸어 같은 과제·난수 시드·채점 코드로 다시 계산하였다. 다른 모델의 가설 판정은 바뀌지 않았으며, 바꾸기 전과 후의 결과를 부록 A에 함께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좁다. 특히 가격을 넣은 두 조건(75.3%, 75.8%)은 실질 기준(78%)에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Chronos-T5의 샘플링 설정에서도 드러났다. 이 모델을 라이브러리 기본 설정 그대로 쓰면 수익률 입력의 커버리지가 14~15%로 무너졌다(3.4절, 부록 A).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4-4와 같다.</w:t>
      </w:r>
    </w:p>
    <w:p>
      <w:pPr>
        <w:pStyle w:val="TableCaption"/>
        <w:keepNext/>
        <w:spacing w:after="80" w:before="200" w:line="276"/>
        <w:jc w:val="center"/>
      </w:pPr>
      <w:r>
        <w:rPr>
          <w:rFonts w:ascii="바탕" w:cs="바탕" w:eastAsia="바탕" w:hAnsi="바탕"/>
          <w:sz w:val="19"/>
          <w:szCs w:val="19"/>
          <w:lang w:val="en-US" w:eastAsia="ko-KR"/>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026"/>
        <w:gridCol w:w="426"/>
        <w:gridCol w:w="426"/>
        <w:gridCol w:w="760"/>
        <w:gridCol w:w="760"/>
        <w:gridCol w:w="778"/>
        <w:gridCol w:w="826"/>
        <w:gridCol w:w="678"/>
        <w:gridCol w:w="1133"/>
      </w:tblGrid>
      <w:tr>
        <w:trPr>
          <w:cantSplit/>
          <w:tblHeader/>
        </w:trPr>
        <w:tc>
          <w:tcPr>
            <w:tcW w:type="dxa" w:w="112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모델</w:t>
            </w:r>
          </w:p>
        </w:tc>
        <w:tc>
          <w:tcPr>
            <w:tcW w:type="dxa" w:w="1026"/>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426"/>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군집</w:t>
            </w:r>
          </w:p>
        </w:tc>
        <w:tc>
          <w:tcPr>
            <w:tcW w:type="dxa" w:w="426"/>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꼬리</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전환빈도</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전환크기</w:t>
            </w:r>
          </w:p>
        </w:tc>
        <w:tc>
          <w:tcPr>
            <w:tcW w:type="dxa" w:w="7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범위(%p)</w:t>
            </w:r>
          </w:p>
        </w:tc>
        <w:tc>
          <w:tcPr>
            <w:tcW w:type="dxa" w:w="826"/>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 결손</w:t>
            </w:r>
          </w:p>
        </w:tc>
        <w:tc>
          <w:tcPr>
            <w:tcW w:type="dxa" w:w="6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Holm p</w:t>
            </w:r>
          </w:p>
        </w:tc>
        <w:tc>
          <w:tcPr>
            <w:tcW w:type="dxa" w:w="113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판정</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+4.6</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3.1e-06</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1.3e-04</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6.2e-01</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1.1e-04</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4.2e-02</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7.8e-03</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1.1e-04</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2.6e-08</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1.9e-04</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+3.9</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1.4e-07</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1.6e-01</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-7.6</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1.8e-01</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4.1e-04</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3.5e-11</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6.2e-01</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1.0e-03</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4.5</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026"/>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426"/>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826"/>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샘플링 설정 하나가 커버리지를 14%까지 무너뜨리기도 하였다.</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구간에서는 방향이 반대가 되므로, 이 결과를 극단 위험에 그대로 적용할 수는 없다(표 4-3).</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H6,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(H6)</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H6은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개선율(H6)</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H6은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1~10% 컸다.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2.5~5%p 떨어졌는데, 공개 이후 기간이 1,300~1,700건(약 1년)으로 짧고 2025년 하반기 이후의 시장 상황이 함께 반영된 것이어서 원인을 단정할 수 없다. 적어도 "학습 데이터에 들어 있던 기간이라서 좋아 보였다"는 증거는 없다.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19개 중 TimesFM 1년·가격처럼 L1에서 벗어난 조건은 실제 주가에서도 같은 방향, 비슷한 크기로 벗어났다.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4095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제4장의 결론, 즉 예측구간의 오차를 정하는 것은 금융 특성보다 모델과 입력 설정이라는 해석을 실제 데이터가 뒷받침한다는 뜻이다. 또한 실측 기반 합성 데이터 실험이 실제 주가의 커버리지를 평균 1.1%p(최대 3.6%p) 차이로 재현했다는 것은, 새 모델이나 입력 설정을 실제 데이터에 쓰기 전에 합성 데이터 점검으로 잘못된 설정을 걸러낼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미리 고정한 가설 밖의 탐색 분석이다. 분석 규칙은 계산 전에 별도 분석 계획으로 사전 고정하였고,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Chronos-T5의 2개 조건(보정 구간 기준 한 달·가격과 1년·수익률, 원래 구간 기준 한 달·가격)에서는 샤프 비율이 유의하게 낮았다.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같았다(−34%, 부록 A).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중 10종목 중 8종목 이상이 위반율 검정을 통과한 경우는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수준이었다(H6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검증한다(H5).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 고정):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H6)는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9배 가까이 넓혀야 했다(부록 A).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667"/>
        <w:gridCol w:w="2275"/>
      </w:tblGrid>
      <w:tr>
        <w:trPr>
          <w:cantSplit/>
          <w:tblHeader/>
        </w:trPr>
        <w:tc>
          <w:tcPr>
            <w:tcW w:type="dxa" w:w="299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6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고정한 규칙 그대로</w:t>
            </w:r>
          </w:p>
        </w:tc>
        <w:tc>
          <w:tcPr>
            <w:tcW w:type="dxa" w:w="22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대체(사후)</w:t>
            </w:r>
          </w:p>
        </w:tc>
      </w:tr>
      <w:tr>
        <w:trPr>
          <w:cantSplit/>
          <w:trHeight w:val="296" w:hRule="atLeast"/>
        </w:trPr>
        <w:tc>
          <w:tcPr>
            <w:tcW w:type="dxa" w:w="299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6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22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299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6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22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299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6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22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 한편 미리 고정한 가설 밖의 관찰로, 1년·수익률 조건에서는 보정 후 4개 TSFM 모두 위반율 검정(10종목)과 독립성 검정(9~10종목)을 함께 통과하여 보정의 효과가 가장 안정적이었다(표 5-6).</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다만 위반이 몰려 오는 문제는 일부 조건(한 달·가격)에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5"/>
        <w:gridCol w:w="3447"/>
        <w:gridCol w:w="1393"/>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9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H6 TSFM이 RW보다 정확</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H5 보정 후 80% 복원</w:t>
            </w:r>
          </w:p>
        </w:tc>
        <w:tc>
          <w:tcPr>
            <w:tcW w:type="dxa" w:w="34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9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평균 커버리지 기준에서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 특성이 없는 합성 데이터에서 커버리지를 사전에 측정해 보면 실제 주가에서의 커버리지를 평균 1.1%p(최대 3.6%p) 차이로 예측할 수 있었다(본 연구의 10종목, 5.4절). 따라서 실제 데이터에 쓰기 전에 간단한 점검으로 잘못된 설정을 걸러낼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과거 한 달이나 가격 입력에서는 RW보다 손실이 1~10%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80% 구간만 평가하였다.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기준 연구 재현을 위해, 한국은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시간 규칙에 따라 large 대신 base를 사용하였고, Moirai-2.0은 small 크기만 평가하였다. 미세조정이나 금융 데이터로 사전학습한 모델은 다루지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결과(H6)는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 다만 한 모델과 한 가지 변수만 확인한 결과이다. 다만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사후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실험 전에 고정한 가설 밖의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모델과 설정에서 꼬리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모델 자체의 복잡도보다 입력 설정과 사후보정 여부에 의해 좌우된다. 본 연구의 의의는 TSFM이 기존의 단순 모형보다 낫다는 것을 보이는 데 있지 않고, TSFM을 금융 위험 측정에 쓸 때 어떤 설정 오류가 생길 수 있는지(기본 샘플링 설정에서 Chronos-T5 수익률 입력의 실제 커버리지 17~18%)와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입력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설정 고정과 재현 정보</w:t>
      </w:r>
    </w:p>
    <w:p>
      <w:pPr>
        <w:pStyle w:val="Heading3"/>
        <w:keepNext/>
        <w:spacing w:after="160" w:before="360"/>
      </w:pPr>
      <w:r>
        <w:rPr>
          <w:rFonts w:ascii="바탕" w:cs="바탕" w:eastAsia="바탕" w:hAnsi="바탕"/>
          <w:b/>
          <w:bCs/>
          <w:sz w:val="26"/>
          <w:szCs w:val="26"/>
          <w:lang w:val="en-US" w:eastAsia="ko-KR"/>
        </w:rPr>
        <w:t xml:space="preserve">A.1 설정 고정과 변경 기록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사후 발견: GARCH-t 합성 2건(전환크기 L3 계열 79의 66일째, 꼬리 L2 계열 86의 64일째)이 사전 대체 규칙(유한값 아님, 분산 ≤ 0, ν ≤ 2)에 걸리지 않는 비정상 값을 냈다. 민감도는 6.5절.</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설정 변경(Chronos-T5 샘플링, 2026-10-20~21): 본 실행 후 Chronos-T5 수익률 입력의 구간 붕괴 원인을 사후 점검으로 확인하고, 샘플링 제한(top-k)만 해제하여 수익률 조건 2개를 다시 예측하였다. 과제·난수 시드·배치·후처리·채점과 분석 코드는 본 실행과 같다. 본문의 모든 표와 그림은 해제 후 결과이다. 경위와 바꾸기 전의 결과는 A.3에 싣는다.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pStyle w:val="Heading3"/>
        <w:keepNext/>
        <w:spacing w:after="160" w:before="360"/>
      </w:pPr>
      <w:r>
        <w:rPr>
          <w:rFonts w:ascii="바탕" w:cs="바탕" w:eastAsia="바탕" w:hAnsi="바탕"/>
          <w:b/>
          <w:bCs/>
          <w:sz w:val="26"/>
          <w:szCs w:val="26"/>
          <w:lang w:val="en-US" w:eastAsia="ko-KR"/>
        </w:rPr>
        <w:t xml:space="preserve">A.3 Chronos-T5 샘플링 설정 변경</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이를 확인하기 위해 본 실행 후 다음을 점검하였다(합성 L1, 과거 252일, 각 8,000회 예측). 기본 설정의 수익률 입력은 커버리지 14.0%였고, 제한을 해제하면 78.7%로 돌아왔다. 입력을 100배로 키워도 14.0%로 같아 값의 크기와는 무관하였고, 가격 입력은 해제 전후 75.34%와 75.35%로 같았다. 원 논문이 80% 구간이 맞는다고 보고한 독립 정규분포 N(0,1) 계열도 이 설정에서는 13.5%였고, 해제하면 78.6%였다(Ansari 외, 2024의 그림 12a와 설정 차이는 확인하지 못하였다).</w:t>
      </w:r>
    </w:p>
    <w:p>
      <w:pPr>
        <w:keepNext/>
        <w:widowControl/>
        <w:spacing w:after="120" w:before="0" w:line="384"/>
        <w:ind w:firstLine="220"/>
        <w:jc w:val="both"/>
      </w:pPr>
      <w:r>
        <w:rPr>
          <w:rFonts w:ascii="바탕" w:cs="바탕" w:eastAsia="바탕" w:hAnsi="바탕"/>
          <w:sz w:val="22"/>
          <w:szCs w:val="22"/>
          <w:lang w:val="en-US" w:eastAsia="ko-KR"/>
        </w:rPr>
        <w:t xml:space="preserve">표 A-1은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조건(H6)은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A-1. Chronos-T5 수익률 조건의 샘플링 설정 변경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2.23 → 1.13</w:t>
            </w:r>
          </w:p>
        </w:tc>
      </w:tr>
    </w:tbl>
    <w:p>
      <w:pPr>
        <w:spacing w:after="60"/>
      </w:pPr>
    </w:p>
    <w:p>
      <w:pPr>
        <w:pStyle w:val="Heading3"/>
        <w:keepNext/>
        <w:spacing w:after="160" w:before="360"/>
      </w:pPr>
      <w:r>
        <w:rPr>
          <w:rFonts w:ascii="바탕" w:cs="바탕" w:eastAsia="바탕" w:hAnsi="바탕"/>
          <w:b/>
          <w:bCs/>
          <w:sz w:val="26"/>
          <w:szCs w:val="26"/>
          <w:lang w:val="en-US" w:eastAsia="ko-KR"/>
        </w:rPr>
        <w:t xml:space="preserve">A.4 그 밖의 사후 점검</w:t>
      </w:r>
    </w:p>
    <w:p>
      <w:pPr>
        <w:keepNext/>
        <w:widowControl/>
        <w:spacing w:after="120" w:before="0" w:line="384"/>
        <w:ind w:firstLine="220"/>
        <w:jc w:val="both"/>
      </w:pPr>
      <w:r>
        <w:rPr>
          <w:rFonts w:ascii="바탕" w:cs="바탕" w:eastAsia="바탕" w:hAnsi="바탕"/>
          <w:sz w:val="22"/>
          <w:szCs w:val="22"/>
          <w:lang w:val="en-US" w:eastAsia="ko-KR"/>
        </w:rPr>
        <w:t xml:space="preserve">미리 고정한 계획 밖에서 다음 두 가지를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fixed before the experiments; the one later change, the sampling setting of Chronos-T5, is reported with its reason.</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and the default sampling setting of the library alone collapsed one model's coverage to 14%.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Real-stock coverage matched feature-free synthetic coverage within 1.1 percentage points on average (at most 3.6) across all 19 model-settings. On real stocks, quantile loss was larger than that of a historical-volatility Gaussian benchmark in 12 of 16 settings.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5db29d9c2f8af4aa9b2e62890964dd06a9296104.png"/><Relationship Id="rId19" Type="http://schemas.openxmlformats.org/officeDocument/2006/relationships/image" Target="media/d5c809602b70a957ca95d6aeac3af238ffbca1a2.png"/><Relationship Id="rId20" Type="http://schemas.openxmlformats.org/officeDocument/2006/relationships/image" Target="media/ffde52162dae9037e4f8b203196ca8a4c42a3509.png"/><Relationship Id="rId21" Type="http://schemas.openxmlformats.org/officeDocument/2006/relationships/image" Target="media/86bfee041b853111609315f9a70980d433ac85f8.png"/><Relationship Id="rId22" Type="http://schemas.openxmlformats.org/officeDocument/2006/relationships/image" Target="media/407b9c1ff53979d3fa7068c254e673f9df52b04e.png"/><Relationship Id="rId23" Type="http://schemas.openxmlformats.org/officeDocument/2006/relationships/image" Target="media/8d3f1fcf3aec095cdca081de1ff4a9d7fc05d5a6.png"/><Relationship Id="rId24" Type="http://schemas.openxmlformats.org/officeDocument/2006/relationships/image" Target="media/50fce3821f4f050e8c32911508e82f621e34034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2026-10-20T23:32:32.459Z</dcterms:created>
  <dcterms:modified xsi:type="dcterms:W3CDTF">2026-10-20T23:32:32.460Z</dcterms:modified>
</cp:coreProperties>
</file>

<file path=docProps/custom.xml><?xml version="1.0" encoding="utf-8"?>
<Properties xmlns="http://schemas.openxmlformats.org/officeDocument/2006/custom-properties" xmlns:vt="http://schemas.openxmlformats.org/officeDocument/2006/docPropsVTypes"/>
</file>