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있습니다(19개 모델·조건 평균 차이 1.1%p).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75~88%로 퍼져 있고, 16개 조건 중 절반이 실질 기준(80% ± 2%p)을 벗어났습니다. 같은 모델도 입력 형태와 과거 길이에 따라 다릅니다(TimesFM-2.5: 1년·가격 88%, 1년·수익률 79%).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설정 하나의 영향도 큽니다. Chronos-T5를 라이브러리 기본 샘플링 설정(확률 상위 50칸에서만 추출) 그대로 쓰면 수익률 입력의 커버리지가 14%로 무너졌고, 이 제한을 풀면 76~79%였습니다. 본문 결과는 제한을 푼 설정 기준이며, 바꾼 경위와 바꾸기 전 결과는 부록 A에 밝혔습니다.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19개 모델·조건에서 평균 1.1%p(최대 3.6%p) 차이이고, 상관은 0.90입니다.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12개에서 RW보다 컸고, 가장 나은 조건(네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79.8~80.7%).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5~48%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분석(미리 고정한 가설 밖): 보정 전 구간을 위험 한도(VaR 10%)로 쓰면 위반율이 5.5~11.9%로 조건마다 달랐고, 보정 후 8.6~10.8%로 모였습니다. 10종목 중 8종목 이상이 위반율 검정을 통과한 조건은 보정 전 8개에서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2026-10-20T23:32:33.453Z</dcterms:created>
  <dcterms:modified xsi:type="dcterms:W3CDTF">2026-10-20T23:32:33.454Z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