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사전학습 시계열 모델(TSFM)이 내는 주가 수익률 80% 예측구간의 오차는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금융 데이터의 특성보다 모델과 입력 설정에서 오며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재학습 없는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사후보정으로 모든 경우에 80%로 복원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됩니다. 다만 예측 정확도 자체는 과거 변동성 기반 단순 정규분포(RW)를 넘지 못합니다.</w:t>
      </w:r>
    </w:p>
    <w:p>
      <w:pPr>
        <w:keepNext w:val="false"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제목(안)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사전학습 시계열 모델의 금융 수익률 예측구간: 오차의 출처와 재학습 없는 사후보정 (부제: 실측 기반 합성 통제 실험과 미국·한국 대형주 실증)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00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RQ1 (진단)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RQ2 (실증 평가)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RQ3 (처방)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모델을 재학습하지 않는 온라인 사후보정(ACI-CQR)으로 커버리지를 80%로 복원할 수 있는가? 그 대가는 무엇인가?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데이터 실험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실제 주가 실증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평가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특성이 하나도 없는 데이터(맨 윗줄)에서 이미 TSFM 커버리지가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14~88%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특성을 실제 종목 중 가장 강한 수준(L5)으로 설정해도 변화는 대부분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3%p 이내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가설과 다른 점: 군집만 일부 조건에서 커버리지를 낮췄고(실질 하락 2개 조건, −2.0~−2.5%p),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꼬리와 잦은 국면 전환은 오히려 높였습니다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특성 없는 합성 데이터의 커버리지와 실제 주가의 커버리지는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평균 1.0%p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정확도(분위수 손실)는 16개 조건 중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13개에서 RW보다 나빴고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, 가장 좋은 조건도 RW와 같은 수준이었습니다. 모델 공개 이후 기간만 따로 봐도 같습니다.</w:t>
      </w:r>
    </w:p>
    <w:p>
      <w:pPr>
        <w:pStyle w:val="Heading3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적응형 콘포멀 분위수 보정(ACI-CQR)으로 </w:t>
      </w: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합성 340개, 실제 19개 모델·조건 모두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대가는 구간 폭입니다. 보정된 구간은 이상적인 구간보다 6~48% 넓습니다.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넘게 한도를 넘었으나, 보정 후 1번으로 돌아왔습니다. 변동성 목표 전략에서도 의도한 위험 수준을 회복했습니다. 반면 예측 방향으로 매매하는 전략은 모두 계속 보유보다 못했습니다.</w:t>
      </w:r>
    </w:p>
    <w:p>
      <w:pPr>
        <w:pStyle w:val="Heading2"/>
        <w:keepNext/>
      </w:pPr>
      <w:r>
        <w:rPr>
          <w:rFonts w:ascii="Times New Roman" w:cs="Times New Roman" w:eastAsia="바탕" w:hAnsi="Times New Roman"/>
          <w:lang w:val="en-US" w:eastAsia="ko-KR"/>
        </w:rPr>
        <w:t xml:space="preserve">4. 한계와 남은 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한계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80% 구간만 평가(일부 모델이 극단 분위수를 내지 않음), 다음 날 예측만, 대형주 10종목, Chronos-T5는 계산 시간상 base 크기.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Times New Roman" w:cs="Times New Roman" w:eastAsia="바탕" w:hAnsi="Times New Roman"/>
          <w:b/>
          <w:bCs/>
          <w:sz w:val="21"/>
          <w:szCs w:val="21"/>
          <w:lang w:val="en-US" w:eastAsia="ko-KR"/>
        </w:rPr>
        <w:t xml:space="preserve">남은 일</w:t>
      </w:r>
      <w:r>
        <w:rPr>
          <w:rFonts w:ascii="Times New Roman" w:cs="Times New Roman" w:eastAsia="바탕" w:hAnsi="Times New Roman"/>
          <w:sz w:val="21"/>
          <w:szCs w:val="21"/>
          <w:lang w:val="en-US" w:eastAsia="ko-KR"/>
        </w:rPr>
        <w:t xml:space="preserve">: 학교 양식 적용(수식 번호 등), 분량 보강, 부록 보완(보정 후 세부 지표 등). 부록 A(사전등록·재현 정보)·B(특성 강도 비교)·C(종목별 커버리지)는 초고에 포함했고, 2장 인용은 원문 PDF로 대조를 마쳤습니다.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바탕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바탕" w:hAnsi="Times New Roman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Times New Roman" w:cs="Times New Roman" w:eastAsia="바탕" w:hAnsi="Times New Roman"/>
      <w:b/>
      <w:bCs/>
      <w:sz w:val="19"/>
      <w:szCs w:val="19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Times New Roman" w:cs="Times New Roman" w:eastAsia="바탕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Times New Roman" w:cs="Times New Roman" w:eastAsia="바탕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바탕" w:hAnsi="Times New Roman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2026-10-15T06:09:39.105Z</dcterms:created>
  <dcterms:modified xsi:type="dcterms:W3CDTF">2026-10-15T06:09:39.105Z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