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43</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46</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49</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52</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54</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55</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57</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59</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60</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61</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63</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70</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71</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71</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74</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75</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76</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79</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79</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79</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80</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83</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84</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85</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87</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고강도(L4·L5)에서 특성별 결손 (80% − 커버리지, %p; 양수 = 구간이 좁음)</w:t>
          </w:r>
          <w:r>
            <w:rPr>
              <w:rFonts w:ascii="바탕" w:hAnsi="바탕" w:eastAsia="바탕" w:cs="바탕"/>
              <w:sz w:val="21"/>
              <w:szCs w:val="21"/>
            </w:rPr>
            <w:tab/>
            <w:t>44</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47</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57</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63</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65</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68</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69</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71</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80</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81</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설정 변경 전후</w:t>
          </w:r>
          <w:r>
            <w:rPr>
              <w:rFonts w:ascii="바탕" w:hAnsi="바탕" w:eastAsia="바탕" w:cs="바탕"/>
              <w:sz w:val="21"/>
              <w:szCs w:val="21"/>
            </w:rPr>
            <w:tab/>
            <w:t>82</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84</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85</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86</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53</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60</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64</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상승시켰는데, 이러한 상승은 첨도가 높은 분포에서 분산 기반 80% 구간이 갖는 수학적 성질로 설명된다. 실험 과정에서는 Chronos-T5의 라이브러리 기본 샘플링 설정 하나가 수익률 입력의 커버리지를 14%까지 무너뜨리는 것도 발견되어, 설정이 특성보다 큰 차이를 만든다는 점을 뒷받침하였다(본문은 이 설정을 바로잡은 결과). 실제 주가의 커버리지는 특성 없는 합성 데이터의 커버리지와 평균 1.1%p(최대 3.6%p) 차이를 보였다. 실제 주식에서 분위수 손실은 16개 조건 중 12개에서 과거 변동성 기반 정규분포(RW)보다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실측 기반 합성 데이터 실험으로 실제 주식에서의 커버리지를 미리 가늠할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차이로, 모든 조건을 80%로 짐작할 때의 2.1%p보다 가까웠다. 실제 데이터에 적용하기 전에 합성 데이터로 커버리지가 어긋나는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수준이었다.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확인하여, 실제 데이터에 적용하기 전에 입력 설정을 점검하는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구간에서는 하락)을 이론 계산으로 보였다.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걸려, large 하나에만 약 19.4시간이 예상되었다.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발견하여 조치한 사항은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본 연구는 네 모델이 공통으로 내는 0.1~0.9 분위수만 평가했기 때문에 극단 구간을 실험으로 확인하지 못하였다(제7장 한계). 극단 분위수(0.01, 0.99)를 함께 내는 Chronos-2(Ansari 외, 2025)로 이를 확인하는 것은 향후 과제로 남긴다.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4-4와 같다.</w:t>
      </w:r>
    </w:p>
    <w:p>
      <w:pPr>
        <w:pStyle w:val="TableCaption"/>
        <w:keepNext/>
        <w:spacing w:after="80" w:before="200" w:line="276"/>
        <w:jc w:val="center"/>
      </w:pPr>
      <w:r>
        <w:rPr>
          <w:rFonts w:ascii="바탕" w:cs="바탕" w:eastAsia="바탕" w:hAnsi="바탕"/>
          <w:sz w:val="19"/>
          <w:szCs w:val="19"/>
          <w:lang w:val="en-US" w:eastAsia="ko-KR"/>
        </w:rPr>
        <w:t xml:space="preserve">표 4-4.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026"/>
        <w:gridCol w:w="426"/>
        <w:gridCol w:w="426"/>
        <w:gridCol w:w="760"/>
        <w:gridCol w:w="760"/>
        <w:gridCol w:w="778"/>
        <w:gridCol w:w="826"/>
        <w:gridCol w:w="678"/>
        <w:gridCol w:w="1133"/>
      </w:tblGrid>
      <w:tr>
        <w:trPr>
          <w:cantSplit/>
          <w:tblHeader/>
        </w:trPr>
        <w:tc>
          <w:tcPr>
            <w:tcW w:type="dxa" w:w="112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모델</w:t>
            </w:r>
          </w:p>
        </w:tc>
        <w:tc>
          <w:tcPr>
            <w:tcW w:type="dxa" w:w="1026"/>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426"/>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군집</w:t>
            </w:r>
          </w:p>
        </w:tc>
        <w:tc>
          <w:tcPr>
            <w:tcW w:type="dxa" w:w="426"/>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꼬리</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전환빈도</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전환크기</w:t>
            </w:r>
          </w:p>
        </w:tc>
        <w:tc>
          <w:tcPr>
            <w:tcW w:type="dxa" w:w="7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범위(%p)</w:t>
            </w:r>
          </w:p>
        </w:tc>
        <w:tc>
          <w:tcPr>
            <w:tcW w:type="dxa" w:w="826"/>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 결손</w:t>
            </w:r>
          </w:p>
        </w:tc>
        <w:tc>
          <w:tcPr>
            <w:tcW w:type="dxa" w:w="6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Holm p</w:t>
            </w:r>
          </w:p>
        </w:tc>
        <w:tc>
          <w:tcPr>
            <w:tcW w:type="dxa" w:w="113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판정</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+4.6</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3.1e-06</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1.3e-04</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6.2e-01</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1.1e-04</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4.2e-02</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7.8e-03</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1.1e-04</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2.6e-08</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1.9e-04</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+3.9</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1.4e-07</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1.6e-01</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-7.6</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1.8e-01</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4.1e-04</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3.5e-11</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6.2e-01</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1.0e-03</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4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4.5</w:t>
            </w:r>
          </w:p>
        </w:tc>
        <w:tc>
          <w:tcPr>
            <w:tcW w:type="dxa" w:w="826"/>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026"/>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426"/>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426"/>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826"/>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구간에서는 방향이 반대가 되므로, 이 결과를 극단 위험에 그대로 적용할 수는 없다(표 4-3).</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이보다 실제에 가까운 값(1.1%p, 빼면 1.2%p)을 준다.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4095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합성 데이터 점검으로 커버리지가 어긋나는 모델과 설정을 미리 가려낼 수 있다는 뜻이다.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모델 공개 이후 기간만 보아도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615"/>
        <w:gridCol w:w="3447"/>
        <w:gridCol w:w="1393"/>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6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4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9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4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9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4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w:t>
            </w:r>
          </w:p>
        </w:tc>
        <w:tc>
          <w:tcPr>
            <w:tcW w:type="dxa" w:w="139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4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9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4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9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4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9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4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w:t>
            </w:r>
          </w:p>
        </w:tc>
        <w:tc>
          <w:tcPr>
            <w:tcW w:type="dxa" w:w="139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944"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6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4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9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실측 기반 합성 데이터 실험으로 미리 진단할 수 있다. 이 오차는 재학습 없는 사후보정으로 평균 커버리지 기준에서 일관되게 바로잡힌다. 분포의 정확도는 RW 수준이므로,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있었다. 모든 조건을 80%로 짐작할 때(평균 차이 2.1%p)보다 가까운 값이다(본 연구의 10종목, 5.4절). 따라서 실제 데이터에 쓰기 전에 간단한 점검으로 커버리지가 어긋나는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80% 구간만 평가하였다. 일부 모델이 0.1~0.9 분위수만 내기 때문에 99%·95% 같은 극단 구간은 평가하지 못하였다. 4.3.2절의 이론 계산(표 4-3)에서 꼬리가 두꺼울수록 80% 구간은 넓어지지만 99% 구간은 반대로 좁아지고 위반율이 1%에서 최대 2.2%로 늘어나므로,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모델의 크기와 종류가 제한적이다. Chronos-T5는 계산 자원의 제약으로 large 대신 base를 사용하였고, Moirai-2.0은 small 크기만 평가하였다. 미세조정이나 금융 데이터로 사전학습한 모델은 다루지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모델과 설정에서 꼬리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728"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설정 변경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512"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 세 가지를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can anticipate real-stock coverage.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5db29d9c2f8af4aa9b2e62890964dd06a9296104.png"/><Relationship Id="rId19" Type="http://schemas.openxmlformats.org/officeDocument/2006/relationships/image" Target="media/d5c809602b70a957ca95d6aeac3af238ffbca1a2.png"/><Relationship Id="rId20" Type="http://schemas.openxmlformats.org/officeDocument/2006/relationships/image" Target="media/ffde52162dae9037e4f8b203196ca8a4c42a3509.png"/><Relationship Id="rId21" Type="http://schemas.openxmlformats.org/officeDocument/2006/relationships/image" Target="media/86bfee041b853111609315f9a70980d433ac85f8.png"/><Relationship Id="rId22" Type="http://schemas.openxmlformats.org/officeDocument/2006/relationships/image" Target="media/407b9c1ff53979d3fa7068c254e673f9df52b04e.png"/><Relationship Id="rId23" Type="http://schemas.openxmlformats.org/officeDocument/2006/relationships/image" Target="media/8d3f1fcf3aec095cdca081de1ff4a9d7fc05d5a6.png"/><Relationship Id="rId24" Type="http://schemas.openxmlformats.org/officeDocument/2006/relationships/image" Target="media/50fce3821f4f050e8c32911508e82f621e34034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2026-10-21T07:28:52.009Z</dcterms:created>
  <dcterms:modified xsi:type="dcterms:W3CDTF">2026-10-21T07:28:52.018Z</dcterms:modified>
</cp:coreProperties>
</file>

<file path=docProps/custom.xml><?xml version="1.0" encoding="utf-8"?>
<Properties xmlns="http://schemas.openxmlformats.org/officeDocument/2006/custom-properties" xmlns:vt="http://schemas.openxmlformats.org/officeDocument/2006/docPropsVTypes"/>
</file>