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7</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11</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32</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3.7 사전등록과 검산</w:t>
          </w:r>
          <w:r>
            <w:rPr>
              <w:rFonts w:ascii="바탕" w:hAnsi="바탕" w:eastAsia="바탕" w:cs="바탕"/>
              <w:sz w:val="21"/>
              <w:szCs w:val="21"/>
            </w:rPr>
            <w:tab/>
            <w:t>34</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43</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45</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47</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(H6)</w:t>
          </w:r>
          <w:r>
            <w:rPr>
              <w:rFonts w:ascii="바탕" w:hAnsi="바탕" w:eastAsia="바탕" w:cs="바탕"/>
              <w:sz w:val="21"/>
              <w:szCs w:val="21"/>
            </w:rPr>
            <w:tab/>
            <w:t>49</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52</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52</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53</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54</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57</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58</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59</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60</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63</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65</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70</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71</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사전등록 및 재현 정보</w:t>
          </w:r>
          <w:r>
            <w:rPr>
              <w:rFonts w:ascii="바탕" w:hAnsi="바탕" w:eastAsia="바탕" w:cs="바탕"/>
              <w:sz w:val="21"/>
              <w:szCs w:val="21"/>
            </w:rPr>
            <w:tab/>
            <w:t>74</w:t>
          </w:r>
        </w:p>
        <w:p>
          <w:pPr>
            <w:tabs>
              <w:tab w:val="right" w:leader="dot" w:pos="7936"/>
            </w:tabs>
            <w:spacing w:before="0" w:after="40" w:line="300" w:lineRule="auto"/>
            <w:ind w:left="600" w:right="400" w:hanging="0"/>
          </w:pPr>
          <w:r>
            <w:rPr>
              <w:rFonts w:ascii="바탕" w:hAnsi="바탕" w:eastAsia="바탕" w:cs="바탕"/>
              <w:sz w:val="21"/>
              <w:szCs w:val="21"/>
            </w:rPr>
            <w:t xml:space="preserve">A.1 사전등록 동결과 이탈 기록</w:t>
          </w:r>
          <w:r>
            <w:rPr>
              <w:rFonts w:ascii="바탕" w:hAnsi="바탕" w:eastAsia="바탕" w:cs="바탕"/>
              <w:sz w:val="21"/>
              <w:szCs w:val="21"/>
            </w:rPr>
            <w:tab/>
            <w:t>74</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74</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75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76</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78</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33</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고강도(L4·L5)에서 특성별 결손 (80% − 커버리지, %p; 양수 = 구간이 좁음)</w:t>
          </w:r>
          <w:r>
            <w:rPr>
              <w:rFonts w:ascii="바탕" w:hAnsi="바탕" w:eastAsia="바탕" w:cs="바탕"/>
              <w:sz w:val="21"/>
              <w:szCs w:val="21"/>
            </w:rPr>
            <w:tab/>
            <w:t>44</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47</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54</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56</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60</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64</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75</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76</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77</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 CRPS는 예측 누적분포함수와 실제값의 계단 함수 사이의 차이를 적분한 것이며, 모든 분위수 수준에 대한 분위수 손실을 평균한 것과 같다</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개선율(H6)</w:t>
          </w:r>
          <w:r>
            <w:rPr>
              <w:rFonts w:ascii="바탕" w:hAnsi="바탕" w:eastAsia="바탕" w:cs="바탕"/>
              <w:sz w:val="21"/>
              <w:szCs w:val="21"/>
            </w:rPr>
            <w:tab/>
            <w:t>50</w:t>
          </w:r>
        </w:p>
        <w:p>
          <w:pPr>
            <w:tabs>
              <w:tab w:val="right" w:leader="dot" w:pos="7936"/>
            </w:tabs>
            <w:spacing w:before="0" w:after="20" w:line="264" w:lineRule="auto"/>
            <w:ind w:left="0" w:right="400" w:hanging="0"/>
          </w:pPr>
          <w:r>
            <w:rPr>
              <w:rFonts w:ascii="바탕" w:hAnsi="바탕" w:eastAsia="바탕" w:cs="바탕"/>
              <w:sz w:val="21"/>
              <w:szCs w:val="21"/>
            </w:rPr>
            <w:t xml:space="preserve">그림 5-3. 10종목 동일비중 포트폴리오의 누적 수익(2017-02~2026-09, 탐색 분석)</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61</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14~88%로 모델 및 설정마다 다르게 나타났으며,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상승시켰는데, 이러한 상승은 첨도가 높은 분포에서 분산 기반 80% 구간이 갖는 수학적 성질로 설명된다. 실제 주가의 커버리지는 특성 없는 합성 데이터의 커버리지와 평균 1.0%p(붕괴한 2개 조건 제외, 전체 1.2%p) 차이를 보였다. 실제 주식에서 분위수 손실은 16개 조건 중 13개에서 과거 변동성 기반 정규분포(RW)보다 컸다. 적응형 콘포멀 분위수 보정(ACI-CQR)은 합성 340개, 실제 19개 모델·조건 모두에서 커버리지를 80%로 복원하였으며, 그에 상응하여 예측구간의 폭은 이상적인 구간보다 6~48% 넓어졌다. 탐색 분석에서 보정된 구간은 변동성 목표 전략과 VaR 백테스트에서 의도한 위험 수준을 회복시켰다.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실측 기반 합성 데이터 실험으로 실제 주식에서의 커버리지를 미리 가늠할 수 있음을 보여 준다. 분포의 정확도는 단순 기준 모형을 넘지 못하였고, 가장 나은 조건(Chronos-T5를 제외한 세 모델의 1년·수익률)에서 같은 수준에 도달하였다. 따라서 현재의 TSFM은 수익률 예측기보다는 입력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즉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14%에서 88%까지 퍼져 있었고, 특성을 실제 종목 중 가장 강한 수준(L5)으로 설정해도 대부분 3%p 이내로만 움직였다. 변동성 군집만 일부 조건에서 커버리지를 낮췄고, 두꺼운 꼬리와 잦은 국면 전환 특성은 오히려 커버리지를 높였으며, 이는 80% 구간이 갖는 수학적 성질로 설명된다.</w:t>
      </w:r>
    </w:p>
    <w:p>
      <w:pPr>
        <w:keepNext/>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1.0%p(구간이 붕괴한 Chronos-T5 수익률 2개 조건 제외, 19개 전체는 1.2%p, 최대 3.6%p) 차이였다. 실제 데이터에 적용하기 전에 합성 데이터로 잘못된 설정을 미리 찾아낼 수 있다는 뜻이다.</w:t>
      </w:r>
    </w:p>
    <w:p>
      <w:pPr>
        <w:keepNext/>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6~48% 넓어졌다. 탐색 분석에서는 위반율이 40% 안팎이던 VaR 10% 한도가 보정 후 10% 수준으로 돌아왔다.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13개에서 RW보다 컸고, 가장 나은 조건(Chronos-T5를 제외한 세 모델의 1년·수익률)에서 RW와 같은 수준이었다.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1.0%p 차이로 재현됨을 확인하여, 실제 데이터에 적용하기 전에 입력 설정을 점검하는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구간에서는 하락)을 이론 계산으로 보였다.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사전등록 절차로 평가하고,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사전등록 절차를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예를 들어 주가가 10,000원에서 10,200원으로 오르면 단순수익률은 2%, 로그수익률은 ln(1.02) ≈ 1.98%이다.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연구는 네 모델이 공통으로 출력하는 0.1~0.9의 9개 분위수만 사용하였다.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분위수는 자료를 작은 값부터 차례로 늘어놓았을 때 몇 % 지점에 있는 값으로 이해할 수 있다. 100명을 키 순서로 세웠을 때 앞에서 10번째 사람의 키가 0.1 분위수, 50번째가 0.5 분위수(중앙값), 90번째가 0.9 분위수인 것과 같다. 예를 들어 내일 수익률의 예측이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−2%,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 = +2%라면, 내일 수익률이 −2%보다 낮을 확률이 10%, +2%보다 높을 확률이 10%이므로 −2%에서 +2% 사이에 들어올 확률이 80%라는 뜻이다.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분위수를 +2%로 예측했다는 것은 "열 번 중 아홉 번은 실제값이 이보다 낮다"고 주장한 셈이다. 그래서 실제값이 그보다 높게 나오면, 드물다고 한 일이 일어난 것이므로 크게 벌하고, 낮게 나오면 예상한 일이므로 조금만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 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1억 원을 투자했다면 이 한도는 200만 원의 손실에 해당하며,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5"/>
        <w:gridCol w:w="4847"/>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기준 연구인 Re(Visiting)도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사전등록 프로토콜에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기준 연구(Noguer)와 같은 종목으로 재현 비교가 목적.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TSFM 네 개는 기준 연구에서 평가한 모델과 맞추었다.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즉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 후 p &lt; 0.05로 판단하며, Holm 묶음은 가설·비교마다 TSFM 4개 × 조건 4개 = 16개이다.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사전등록과 검산</w:t>
      </w:r>
    </w:p>
    <w:p>
      <w:pPr>
        <w:keepNext/>
        <w:widowControl/>
        <w:spacing w:after="120" w:before="0" w:line="384"/>
        <w:ind w:firstLine="220"/>
        <w:jc w:val="both"/>
      </w:pPr>
      <w:r>
        <w:rPr>
          <w:rFonts w:ascii="바탕" w:cs="바탕" w:eastAsia="바탕" w:hAnsi="바탕"/>
          <w:sz w:val="22"/>
          <w:szCs w:val="22"/>
          <w:lang w:val="en-US" w:eastAsia="ko-KR"/>
        </w:rPr>
        <w:t xml:space="preserve">본 연구의 실험은 실행 전에 연구 계획(가설·판정 기준)·코드·단계값을 git 커밋으로 동결하고(동결 시점과 실행 환경은 부록 A), 동결 후의 변경은 이탈 기록과 새 커밋으로만 허용하는 사전등록 절차를 따랐다. 예비 실험에서 확인한 설계상의 한계를 보완하여 본 실험을 설계하고 실행 전에 동결하였으며, 동결 전에는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[13.8, 15.6]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[13.2, 14.8]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구간화하는데(2.2.3절, 그림 2-2), L1 수익률의 평균 절댓값은 약 1.7%이므로 표현 범위는 약 ±25%로 실제 수익률을 충분히 담는다.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keepNext w:val="false"/>
        <w:widowControl/>
        <w:spacing w:after="120" w:before="0" w:line="384"/>
        <w:ind w:firstLine="220"/>
        <w:jc w:val="both"/>
      </w:pPr>
      <w:r>
        <w:rPr>
          <w:rFonts w:ascii="바탕" w:cs="바탕" w:eastAsia="바탕" w:hAnsi="바탕"/>
          <w:sz w:val="22"/>
          <w:szCs w:val="22"/>
          <w:lang w:val="en-US" w:eastAsia="ko-KR"/>
        </w:rPr>
        <w:t xml:space="preserve">② 과거 길이에 따라서도 달라진다. TimesFM-2.5는 1년·가격에서만 87.6%로 구간이 지나치게 넓고(폭 7.00%p, 필요 폭의 1.3배), 나머지 세 조건에서는 77~79%로 약간 좁다.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9개에서 상승이 유의하였고(4개는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거꾸로 떨어진다.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w:t>
      </w:r>
    </w:p>
    <w:p>
      <w:pPr>
        <w:pStyle w:val="TableCaption"/>
        <w:keepNext/>
        <w:spacing w:after="80" w:before="200" w:line="276"/>
        <w:jc w:val="center"/>
      </w:pPr>
      <w:r>
        <w:rPr>
          <w:rFonts w:ascii="바탕" w:cs="바탕" w:eastAsia="바탕" w:hAnsi="바탕"/>
          <w:sz w:val="19"/>
          <w:szCs w:val="19"/>
          <w:lang w:val="en-US" w:eastAsia="ko-KR"/>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931"/>
        <w:gridCol w:w="510"/>
        <w:gridCol w:w="510"/>
        <w:gridCol w:w="760"/>
        <w:gridCol w:w="760"/>
        <w:gridCol w:w="778"/>
        <w:gridCol w:w="754"/>
        <w:gridCol w:w="678"/>
        <w:gridCol w:w="1132"/>
      </w:tblGrid>
      <w:tr>
        <w:trPr>
          <w:cantSplit/>
          <w:tblHeader/>
        </w:trPr>
        <w:tc>
          <w:tcPr>
            <w:tcW w:type="dxa" w:w="112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모델</w:t>
            </w:r>
          </w:p>
        </w:tc>
        <w:tc>
          <w:tcPr>
            <w:tcW w:type="dxa" w:w="93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군집</w:t>
            </w:r>
          </w:p>
        </w:tc>
        <w:tc>
          <w:tcPr>
            <w:tcW w:type="dxa" w:w="51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꼬리</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전환빈도</w:t>
            </w:r>
          </w:p>
        </w:tc>
        <w:tc>
          <w:tcPr>
            <w:tcW w:type="dxa" w:w="760"/>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전환크기</w:t>
            </w:r>
          </w:p>
        </w:tc>
        <w:tc>
          <w:tcPr>
            <w:tcW w:type="dxa" w:w="7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범위(%p)</w:t>
            </w:r>
          </w:p>
        </w:tc>
        <w:tc>
          <w:tcPr>
            <w:tcW w:type="dxa" w:w="75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 결손</w:t>
            </w:r>
          </w:p>
        </w:tc>
        <w:tc>
          <w:tcPr>
            <w:tcW w:type="dxa" w:w="67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Holm p</w:t>
            </w:r>
          </w:p>
        </w:tc>
        <w:tc>
          <w:tcPr>
            <w:tcW w:type="dxa" w:w="1132"/>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판정</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+65.3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전환빈도</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4.2e-02</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유의하나 작음</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5.4</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2.6e-08</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1.4e-07</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-7.6</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전환크기</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4.7e-04</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+4.2</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3.5e-11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6.4e-01</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미지지</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+0.7</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1.2e-03</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축마다 다름</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93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51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c>
          <w:tcPr>
            <w:tcW w:type="dxa" w:w="760"/>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7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4.5</w:t>
            </w:r>
          </w:p>
        </w:tc>
        <w:tc>
          <w:tcPr>
            <w:tcW w:type="dxa" w:w="75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440" w:hRule="atLeast"/>
        </w:trPr>
        <w:tc>
          <w:tcPr>
            <w:tcW w:type="dxa" w:w="112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93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51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60"/>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w:t>
            </w:r>
          </w:p>
        </w:tc>
        <w:tc>
          <w:tcPr>
            <w:tcW w:type="dxa" w:w="7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w:t>
            </w:r>
          </w:p>
        </w:tc>
        <w:tc>
          <w:tcPr>
            <w:tcW w:type="dxa" w:w="75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군집</w:t>
            </w:r>
          </w:p>
        </w:tc>
        <w:tc>
          <w:tcPr>
            <w:tcW w:type="dxa" w:w="67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c>
          <w:tcPr>
            <w:tcW w:type="dxa" w:w="1132"/>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구간에서는 방향이 반대가 되므로, 이 결과를 극단 위험에 그대로 적용할 수는 없다(표 4-3).</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9개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 [16.2, 17.5]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13.5~22.2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17.6 [16.7, 18.6]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14.4~26.1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수익률 입력은 17~18%로 구간이 붕괴하였다. 종목별로도 14~26%로, 어느 종목에서도 회복되지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13개 TSFM 조건은 76~82%이다. 가장 목표에 가까운 것은 Chronos-2(79~82%)와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Chronos-T5 수익률(한국이 약 4~5%p 높음)을 빼면 모두 2%p 이내이다. 종목별 범위도 대부분 4%p 폭 안에 들어온다. 시장이나 종목보다 모델·조건이 결과를 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(H6)</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H6은 "TSFM이 같은 과거 길이의 RW보다 분위수 손실이 작다"는 가설이다.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3.8e-50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2.7e-18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6.7e-43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1.2e-15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4.3e-05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8.9e-09</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1.8e-01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3.5e-06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개선율(H6)</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H6은 지지되지 않았다. 16개 조건 중 13개에서 TSFM의 분위수 손실이 RW보다 유의하게 컸고(개선율 −0.8 ~ −19.5%), 2개 조건(TimesFM 1년·수익률, Moirai-2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없으므로(5.5절의 자기상관 참조), 정답에 가장 가까운 것은 최근 변동 크기를 기반으로 산출한 분포이며, RW가 바로 이에 해당한다. 둘째, 1년 과거를 수익률로 넣은 조건(Chronos-2, TimesFM, Moirai-2)에서 TSFM은 RW와 같은 수준에 도달하였다. TSFM은 별도 학습 없이도 이 단순하지만 강한 기준과 같은 정확도를 낼 수 있으나, 그보다 나아지지는 않았다. 반대로 과거 한 달만 보거나 가격을 넣은 조건에서는, Chronos-T5를 제외한 9개 조건에서 RW보다 손실이 2~10% 컸다. Chronos-T5는 수익률 입력에서 손실이 16~20% 더 컸는데, 4.2절에서 본 구간 붕괴가 분포 전체의 정확도에도 그대로 나타난 것이다.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 → 16.2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-19.5 → -19.5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 → 15.8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-16.1 → -17.3</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Chronos-T5 수익률의 붕괴(16%), TimesFM 1년·가격의 과대(84%)가 그대로 나타나고, RW 대비 손실은 전체 기간과 비슷하거나 약간 더 크다.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상관은 0.998이다(Chronos-T5 수익률이 극단값이므로 이를 빼도 0.90).</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Chronos-T5 수익률 2개를 뺀 17개 조건에서 두 값의 차이는 평균 1.0%p, 최대 3.6%p(RW 1년: 79.4 → 83.0%)이다. 19개 전체로는 평균 1.2%p이다.</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제4장의 결론, 즉 예측구간의 오차를 정하는 것은 금융 특성보다 모델과 입력 설정이라는 해석을 실제 데이터가 뒷받침한다는 뜻이다. 또한 실측 기반 합성 데이터 실험이 실제 주가의 커버리지를 평균 1.0%p(최대 3.6%p) 차이로 재현했다는 것은, 새 모델이나 입력 설정을 실제 데이터에 쓰기 전에 합성 데이터 점검으로 잘못된 설정을 걸러낼 수 있다는 뜻이다.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사전등록 밖의 탐색 분석이다. 분석 규칙은 계산 전에 별도 분석 계획으로 사전 고정하였고,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-37.4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1.24 / 1.12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-34.0 / -24.3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2.21 / 1.11</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-0.23 [-0.36,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 / 1.17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-34.2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2.23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-0.16 [-0.24, -0.07]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3개 조건(보정 구간 기준; 원래 구간은 한 달·가격 1개 조건)에서는 샤프 비율이 유의하게 낮았다.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5-3.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17~88%로, 특성 없는 합성 데이터(L1)의 커버리지와 평균 1.0%p(구간이 붕괴한 2개 조건 제외, 전체 1.2%p)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13개에서 RW보다 컸고, Chronos-T5를 제외한 세 모델의 1년·수익률 조건에서 RW와 같은 수준이었다(H6 미지지). 모델 공개 이후 기간만 보아도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검증한다(H5). 6.1절은 합성 데이터, 6.2절은 실제 주식, 6.3절은 보정의 비용(구간 폭), 6.4절은 대조군, 6.5절은 GARCH-t 비정상 값 2건의 민감도를 다룬다.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기준(사전등록): 보정 후 커버리지의 90% 신뢰구간이 [77%, 83%] 안에 완전히 들어오면 "복원"이다.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14.1~15.7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81.9~85.1</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8.52~9.44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13.9~15.3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8.03~9.44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각 금융 특성의 강도와 무관하게 모두 80% 수준으로 복원되었다.</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구간을 일률적으로 넓히는 방법이 아니라 실제 이탈 기록에 따라 양방향으로 조정하는 방법이다.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16.9</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[79.7, 81.0]</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80.4 [79.8, 81.1]</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붕괴했던 Chronos-T5 수익률은 7.5~9.4배 넓어졌다.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1.06~1.48배였다. 보정된 구간은 80%를 맞추지만 이상적인 구간보다 6~48% 넓다. 과거 1년 조건(1.06~1.24배)이 한 달 조건(1.17~1.48배)보다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80~84%로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2462"/>
        <w:gridCol w:w="2378"/>
      </w:tblGrid>
      <w:tr>
        <w:trPr>
          <w:cantSplit/>
          <w:tblHeader/>
        </w:trPr>
        <w:tc>
          <w:tcPr>
            <w:tcW w:type="dxa" w:w="30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4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사전등록 그대로</w:t>
            </w:r>
          </w:p>
        </w:tc>
        <w:tc>
          <w:tcPr>
            <w:tcW w:type="dxa" w:w="23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대체(사후)</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0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4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23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0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4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23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 한편 사전등록 밖의 관찰로, 1년·수익률 조건에서는 보정 후 4개 TSFM 모두 위반율 검정(8~10종목)과 독립성 검정(9~10종목)을 함께 통과하여 보정의 효과가 가장 안정적이었다(표 5-6).</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다만 위반이 몰려 오는 문제는 일부 조건(한 달·가격)에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6~48%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커버리지(80~86%)를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611"/>
        <w:gridCol w:w="3460"/>
        <w:gridCol w:w="1384"/>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6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4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방향(9개 조건 유의한 상승). 80% 구간의 수학적 성질로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방향(5개 조건 작은 상승). 혼합분포 효과로 설명</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1개, 작은 상승). 전환 크기는 커버리지에 영향 없음</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9개 지지. 9개 모두 군집이 가장 불리</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944"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6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H6 TSFM이 RW보다 정확</w:t>
            </w:r>
          </w:p>
        </w:tc>
        <w:tc>
          <w:tcPr>
            <w:tcW w:type="dxa" w:w="34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미지지(13개 조건 RW보다 손실 큼, 2개 차이 없음, 1개 작은 우위). Chronos-T5 외 1년·수익률 3개 조건은 RW 수준</w:t>
            </w:r>
          </w:p>
        </w:tc>
        <w:tc>
          <w:tcPr>
            <w:tcW w:type="dxa" w:w="13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−19.5~+0.9%</w:t>
            </w:r>
          </w:p>
        </w:tc>
      </w:tr>
      <w:tr>
        <w:trPr>
          <w:cantSplit/>
          <w:trHeight w:val="944"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6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H5 보정 후 80% 복원</w:t>
            </w:r>
          </w:p>
        </w:tc>
        <w:tc>
          <w:tcPr>
            <w:tcW w:type="dxa" w:w="34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w:t>
            </w:r>
          </w:p>
        </w:tc>
        <w:tc>
          <w:tcPr>
            <w:tcW w:type="dxa" w:w="13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79.7~80.7%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실측 기반 합성 데이터 실험으로 미리 진단할 수 있다. 이 오차는 재학습 없는 사후보정으로 일관되게 바로잡힌다. 분포의 정확도는 RW 수준이므로,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입력 설정을 먼저 점검해야 한다. 선행연구(Rahimikia 외, 2025)처럼 수익률을 그대로 입력하면 Chronos-T5의 80% 구간은 실제 주가에서 17~18%만 맞아, 실제값의 80% 이상이 구간 밖에 놓였다. 같은 모델이라도 입력 형태(수익률·가격)와 과거 구간 길이에 따라 커버리지가 15%에서 88%까지 달라졌다(Chronos-T5 수익률 15% 대 가격 76%, TimesFM-2.5 1년·가격 88% 대 1년·수익률 77~79%). 특성이 없는 합성 데이터에서 커버리지를 사전에 측정해 보면 실제 주가에서의 커버리지를 평균 1.0%p(구간이 붕괴한 2개 조건 제외, 전체 1.2%p, 최대 3.6%p) 차이로 예측할 수 있었다(본 연구의 10종목, 5.4절). 따라서 실제 데이터에 쓰기 전에 간단한 점검으로 잘못된 설정을 걸러낼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가장 나은 설정도 모델마다 달라서, Chronos-T5를 제외한 세 모델은 1년·수익률 조건에서 RW와 같은 정확도를 보였지만 같은 조건에서 Chronos-T5는 구간이 붕괴하였다.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80% 구간만 평가하였다.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keepNext/>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기준 연구 재현을 위해, 한국은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keepLines/>
        <w:widowControl/>
        <w:spacing w:after="60" w:line="384"/>
        <w:ind w:left="360" w:hanging="360"/>
        <w:jc w:val="both"/>
      </w:pPr>
      <w:r>
        <w:rPr>
          <w:rFonts w:ascii="바탕" w:cs="바탕" w:eastAsia="바탕" w:hAnsi="바탕"/>
          <w:sz w:val="22"/>
          <w:szCs w:val="22"/>
          <w:lang w:val="en-US" w:eastAsia="ko-KR"/>
        </w:rPr>
        <w:t xml:space="preserve">3. 평가한 모델의 크기와 종류가 제한적이다. Chronos-T5는 계산 시간 규칙에 따라 large 대신 base를 사용하였고, Moirai-2.0은 small 크기만 평가하였다. 미세조정이나 금융 데이터로 사전학습한 모델은 다루지 않았다.</w:t>
      </w:r>
    </w:p>
    <w:p>
      <w:pPr>
        <w:keepNext/>
        <w:keepLines/>
        <w:widowControl/>
        <w:spacing w:after="60" w:line="384"/>
        <w:ind w:left="360" w:hanging="360"/>
        <w:jc w:val="both"/>
      </w:pPr>
      <w:r>
        <w:rPr>
          <w:rFonts w:ascii="바탕" w:cs="바탕" w:eastAsia="바탕" w:hAnsi="바탕"/>
          <w:sz w:val="22"/>
          <w:szCs w:val="22"/>
          <w:lang w:val="en-US" w:eastAsia="ko-KR"/>
        </w:rPr>
        <w:t xml:space="preserve">4. 사후보정의 적용 범위가 구간 양 끝에 한정된다. 보정은 80% 구간의 양 끝만 조정하므로 분포 전체의 정확도를 높이지 않으며, 위반이 몰려 오는 문제(한 달·가격 조건)는 고치지 못하였다. 또한 사후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경제적 가치 분석은 탐색적이다. 사전등록 밖의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모델과 설정에서 꼬리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Chronos-T5 수익률 입력의 구간 붕괴 원인(입력 크기 조정·구간화 방식) 규명</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모델 자체의 복잡도보다 입력 설정과 사후보정 여부에 의해 좌우된다. 본 연구의 의의는 TSFM이 기존의 단순 모형보다 낫다는 것을 보이는 데 있지 않고, TSFM을 금융 위험 측정에 쓸 때 어떤 설정 오류가 생길 수 있는지(Chronos-T5 수익률 입력의 실제 커버리지 17~18%)와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입력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사전등록 및 재현 정보</w:t>
      </w:r>
    </w:p>
    <w:p>
      <w:pPr>
        <w:pStyle w:val="Heading3"/>
        <w:keepNext/>
        <w:spacing w:after="160" w:before="360"/>
      </w:pPr>
      <w:r>
        <w:rPr>
          <w:rFonts w:ascii="바탕" w:cs="바탕" w:eastAsia="바탕" w:hAnsi="바탕"/>
          <w:b/>
          <w:bCs/>
          <w:sz w:val="26"/>
          <w:szCs w:val="26"/>
          <w:lang w:val="en-US" w:eastAsia="ko-KR"/>
        </w:rPr>
        <w:t xml:space="preserve">A.1 사전등록 동결과 이탈 기록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동결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후의 변경은 사전등록 프로토콜의 이탈 기록 절차(변경 사유 기록과 새 커밋)로만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larger than that of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can anticipate real-stock coverage. Distributional accuracy did not exceed the simple benchmark, reaching parity only in the best settings (one-year return input for the three models other than Chronos-T5). Current TSFMs are therefore better used not as return forecasters but as risk-measurement tools, after checking input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06f7f16909bde31706c2591fe87a840303ba4ab8.png"/><Relationship Id="rId19" Type="http://schemas.openxmlformats.org/officeDocument/2006/relationships/image" Target="media/22f6c454eb88c2a18bd9e135beaf78c5c4a20b56.png"/><Relationship Id="rId20" Type="http://schemas.openxmlformats.org/officeDocument/2006/relationships/image" Target="media/e3af3d9dcf9374c229e114e4088d0045838cf696.png"/><Relationship Id="rId21" Type="http://schemas.openxmlformats.org/officeDocument/2006/relationships/image" Target="media/9da65a902c37aed7893306b3f355beaa45519a52.png"/><Relationship Id="rId22" Type="http://schemas.openxmlformats.org/officeDocument/2006/relationships/image" Target="media/91978210c92ceb80d2706ed180747e2f03fb4a6b.png"/><Relationship Id="rId23" Type="http://schemas.openxmlformats.org/officeDocument/2006/relationships/image" Target="media/ea92c1ff37d0394c765c29c485d85fa45deed6d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2026-10-19T03:59:20.442Z</dcterms:created>
  <dcterms:modified xsi:type="dcterms:W3CDTF">2026-10-19T03:59:20.442Z</dcterms:modified>
</cp:coreProperties>
</file>

<file path=docProps/custom.xml><?xml version="1.0" encoding="utf-8"?>
<Properties xmlns="http://schemas.openxmlformats.org/officeDocument/2006/custom-properties" xmlns:vt="http://schemas.openxmlformats.org/officeDocument/2006/docPropsVTypes"/>
</file>