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79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936"/>
      </w:tblGrid>
      <w:tr>
        <w:trPr>
          <w:cantSplit/>
          <w:trHeight w:val="7296" w:hRule="atLeast"/>
        </w:trPr>
        <w:tc>
          <w:tcPr>
            <w:tcW w:type="dxa" w:w="793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480" w:lineRule="exact"/>
              <w:jc w:val="center"/>
            </w:pPr>
            <w:r>
              <w:rPr>
                <w:rFonts w:ascii="바탕" w:cs="바탕" w:eastAsia="바탕" w:hAnsi="바탕"/>
                <w:sz w:val="32"/>
                <w:szCs w:val="32"/>
                <w:lang w:val="en-US" w:eastAsia="ko-KR"/>
              </w:rPr>
              <w:t xml:space="preserve">석사학위논문</w:t>
            </w:r>
          </w:p>
          <w:p>
            <w:pPr>
              <w:spacing w:after="0" w:before="1701" w:line="540" w:lineRule="exact"/>
              <w:jc w:val="center"/>
            </w:pPr>
            <w:r>
              <w:rPr>
                <w:rFonts w:ascii="바탕" w:cs="바탕" w:eastAsia="바탕" w:hAnsi="바탕"/>
                <w:b/>
                <w:bCs/>
                <w:sz w:val="36"/>
                <w:szCs w:val="36"/>
                <w:lang w:val="en-US" w:eastAsia="ko-KR"/>
              </w:rPr>
              <w:t xml:space="preserve">사전학습 시계열 모델의 금융 수익률 예측구간:</w:t>
            </w:r>
            <w:r>
              <w:br/>
            </w:r>
            <w:r>
              <w:rPr>
                <w:rFonts w:ascii="바탕" w:cs="바탕" w:eastAsia="바탕" w:hAnsi="바탕"/>
                <w:b/>
                <w:bCs/>
                <w:sz w:val="36"/>
                <w:szCs w:val="36"/>
                <w:lang w:val="en-US" w:eastAsia="ko-KR"/>
              </w:rPr>
              <w:t xml:space="preserve">오차의 출처와 재학습 없는 사후보정</w:t>
            </w:r>
          </w:p>
          <w:p>
            <w:pPr>
              <w:spacing w:after="0" w:before="120" w:line="420" w:lineRule="exact"/>
              <w:jc w:val="center"/>
            </w:pPr>
            <w:r>
              <w:rPr>
                <w:rFonts w:ascii="바탕" w:cs="바탕" w:eastAsia="바탕" w:hAnsi="바탕"/>
                <w:sz w:val="28"/>
                <w:szCs w:val="28"/>
                <w:lang w:val="en-US" w:eastAsia="ko-KR"/>
              </w:rPr>
              <w:t xml:space="preserve">- 실측 기반 합성 데이터 통제 실험과 미국·한국 대형주 실증 -</w:t>
            </w:r>
          </w:p>
          <w:p>
            <w:pPr>
              <w:spacing w:after="0" w:before="600" w:line="420" w:lineRule="exact"/>
              <w:jc w:val="center"/>
            </w:pPr>
            <w:r>
              <w:rPr>
                <w:rFonts w:ascii="바탕" w:cs="바탕" w:eastAsia="바탕" w:hAnsi="바탕"/>
                <w:b/>
                <w:bCs/>
                <w:sz w:val="28"/>
                <w:szCs w:val="28"/>
                <w:lang w:val="en-US" w:eastAsia="ko-KR"/>
              </w:rPr>
              <w:t xml:space="preserve">Prediction Intervals of Pretrained Time Series Foundation Models for Financial Returns:</w:t>
            </w:r>
            <w:r>
              <w:br/>
            </w:r>
            <w:r>
              <w:rPr>
                <w:rFonts w:ascii="바탕" w:cs="바탕" w:eastAsia="바탕" w:hAnsi="바탕"/>
                <w:b/>
                <w:bCs/>
                <w:sz w:val="28"/>
                <w:szCs w:val="28"/>
                <w:lang w:val="en-US" w:eastAsia="ko-KR"/>
              </w:rPr>
              <w:t xml:space="preserve">Sources of Error and Training-Free Post-hoc Calibration</w:t>
            </w:r>
          </w:p>
          <w:p>
            <w:pPr>
              <w:spacing w:after="0" w:before="120" w:line="330" w:lineRule="exact"/>
              <w:jc w:val="center"/>
            </w:pPr>
            <w:r>
              <w:rPr>
                <w:rFonts w:ascii="바탕" w:cs="바탕" w:eastAsia="바탕" w:hAnsi="바탕"/>
                <w:sz w:val="22"/>
                <w:szCs w:val="22"/>
                <w:lang w:val="en-US" w:eastAsia="ko-KR"/>
              </w:rPr>
              <w:t xml:space="preserve">- Controlled Experiments on Synthetic Data Calibrated to Real Markets and Evidence from U.S. and Korean Large-Cap Stocks -</w:t>
            </w:r>
          </w:p>
        </w:tc>
      </w:tr>
      <w:tr>
        <w:trPr>
          <w:cantSplit/>
        </w:trPr>
        <w:tc>
          <w:tcPr>
            <w:tcW w:type="dxa" w:w="793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480" w:lineRule="exact"/>
              <w:jc w:val="center"/>
            </w:pPr>
            <w:r>
              <w:rPr>
                <w:rFonts w:ascii="바탕" w:cs="바탕" w:eastAsia="바탕" w:hAnsi="바탕"/>
                <w:sz w:val="32"/>
                <w:szCs w:val="32"/>
                <w:lang w:val="en-US" w:eastAsia="ko-KR"/>
              </w:rPr>
              <w:t xml:space="preserve">김승민</w:t>
            </w:r>
          </w:p>
          <w:p>
            <w:pPr>
              <w:spacing w:after="0" w:before="1825" w:line="480" w:lineRule="exact"/>
              <w:jc w:val="center"/>
            </w:pPr>
            <w:r>
              <w:rPr>
                <w:rFonts w:ascii="바탕" w:cs="바탕" w:eastAsia="바탕" w:hAnsi="바탕"/>
                <w:sz w:val="32"/>
                <w:szCs w:val="32"/>
                <w:lang w:val="en-US" w:eastAsia="ko-KR"/>
              </w:rPr>
              <w:t xml:space="preserve">한양대학교 인공지능융합대학원</w:t>
            </w:r>
          </w:p>
          <w:p>
            <w:pPr>
              <w:spacing w:after="0" w:before="1541" w:line="480" w:lineRule="exact"/>
              <w:jc w:val="center"/>
            </w:pPr>
            <w:r>
              <w:rPr>
                <w:rFonts w:ascii="바탕" w:cs="바탕" w:eastAsia="바탕" w:hAnsi="바탕"/>
                <w:sz w:val="32"/>
                <w:szCs w:val="32"/>
                <w:lang w:val="en-US" w:eastAsia="ko-KR"/>
              </w:rPr>
              <w:t xml:space="preserve">2027년 2월</w:t>
            </w:r>
          </w:p>
        </w:tc>
      </w:tr>
    </w:tbl>
    <w:p>
      <w:pPr>
        <w:spacing w:after="0" w:before="0" w:line="20" w:lineRule="exact"/>
      </w:pPr>
      <w:r>
        <w:rPr>
          <w:sz w:val="2"/>
          <w:szCs w:val="2"/>
        </w:rPr>
        <w:t xml:space="preserve"/>
      </w:r>
    </w:p>
    <w:p>
      <w:pPr>
        <w:sectPr>
          <w:footerReference w:type="default" r:id="rId7"/>
          <w:pgSz w:w="11906" w:h="16838" w:orient="portrait"/>
          <w:pgMar w:top="2268" w:right="1985" w:bottom="2268" w:left="1985" w:header="851" w:footer="851" w:gutter="0"/>
          <w:pgNumType/>
          <w:docGrid w:linePitch="360"/>
        </w:sectPr>
      </w:pPr>
    </w:p>
    <w:p>
      <w:pPr>
        <w:spacing w:after="480"/>
        <w:jc w:val="center"/>
      </w:pPr>
      <w:r>
        <w:rPr>
          <w:rFonts w:ascii="바탕" w:cs="바탕" w:eastAsia="바탕" w:hAnsi="바탕"/>
          <w:b/>
          <w:bCs/>
          <w:sz w:val="32"/>
          <w:szCs w:val="32"/>
          <w:lang w:val="en-US" w:eastAsia="ko-KR"/>
        </w:rPr>
        <w:t xml:space="preserve">차 례</w:t>
      </w:r>
    </w:p>
    <w:sdt>
      <w:sdtPr>
        <w:alias w:val="차례"/>
      </w:sdtPr>
      <w:sdtContent>
        <w:p>
          <w:r>
            <w:fldChar w:fldCharType="begin" w:dirty="true"/>
            <w:instrText xml:space="preserve">TOC \h \o "1-3"</w:instrText>
            <w:fldChar w:fldCharType="separate"/>
          </w:r>
        </w:p>
        <w:p>
          <w:pPr>
            <w:tabs>
              <w:tab w:val="right" w:leader="dot" w:pos="7936"/>
            </w:tabs>
            <w:spacing w:before="160" w:after="40" w:line="300" w:lineRule="auto"/>
            <w:ind w:left="0" w:right="400" w:hanging="0"/>
          </w:pPr>
          <w:r>
            <w:rPr>
              <w:rFonts w:ascii="바탕" w:hAnsi="바탕" w:eastAsia="바탕" w:cs="바탕"/>
              <w:sz w:val="21"/>
              <w:szCs w:val="21"/>
              <w:b/>
            </w:rPr>
            <w:t xml:space="preserve">국문요지</w:t>
          </w:r>
          <w:r>
            <w:rPr>
              <w:rFonts w:ascii="바탕" w:hAnsi="바탕" w:eastAsia="바탕" w:cs="바탕"/>
              <w:sz w:val="21"/>
              <w:szCs w:val="21"/>
            </w:rPr>
            <w:tab/>
            <w:t>vii</w:t>
          </w:r>
        </w:p>
        <w:p>
          <w:pPr>
            <w:tabs>
              <w:tab w:val="right" w:leader="dot" w:pos="7936"/>
            </w:tabs>
            <w:spacing w:before="160" w:after="40" w:line="300" w:lineRule="auto"/>
            <w:ind w:left="0" w:right="400" w:hanging="0"/>
          </w:pPr>
          <w:r>
            <w:rPr>
              <w:rFonts w:ascii="바탕" w:hAnsi="바탕" w:eastAsia="바탕" w:cs="바탕"/>
              <w:sz w:val="21"/>
              <w:szCs w:val="21"/>
              <w:b/>
            </w:rPr>
            <w:t xml:space="preserve">제1장 서론</w:t>
          </w:r>
          <w:r>
            <w:rPr>
              <w:rFonts w:ascii="바탕" w:hAnsi="바탕" w:eastAsia="바탕" w:cs="바탕"/>
              <w:sz w:val="21"/>
              <w:szCs w:val="21"/>
            </w:rPr>
            <w:tab/>
            <w:t>1</w:t>
          </w:r>
        </w:p>
        <w:p>
          <w:pPr>
            <w:tabs>
              <w:tab w:val="right" w:leader="dot" w:pos="7936"/>
            </w:tabs>
            <w:spacing w:before="0" w:after="40" w:line="300" w:lineRule="auto"/>
            <w:ind w:left="300" w:right="400" w:hanging="0"/>
          </w:pPr>
          <w:r>
            <w:rPr>
              <w:rFonts w:ascii="바탕" w:hAnsi="바탕" w:eastAsia="바탕" w:cs="바탕"/>
              <w:sz w:val="21"/>
              <w:szCs w:val="21"/>
            </w:rPr>
            <w:t xml:space="preserve">1.1 연구 배경</w:t>
          </w:r>
          <w:r>
            <w:rPr>
              <w:rFonts w:ascii="바탕" w:hAnsi="바탕" w:eastAsia="바탕" w:cs="바탕"/>
              <w:sz w:val="21"/>
              <w:szCs w:val="21"/>
            </w:rPr>
            <w:tab/>
            <w:t>1</w:t>
          </w:r>
        </w:p>
        <w:p>
          <w:pPr>
            <w:tabs>
              <w:tab w:val="right" w:leader="dot" w:pos="7936"/>
            </w:tabs>
            <w:spacing w:before="0" w:after="40" w:line="300" w:lineRule="auto"/>
            <w:ind w:left="300" w:right="400" w:hanging="0"/>
          </w:pPr>
          <w:r>
            <w:rPr>
              <w:rFonts w:ascii="바탕" w:hAnsi="바탕" w:eastAsia="바탕" w:cs="바탕"/>
              <w:sz w:val="21"/>
              <w:szCs w:val="21"/>
            </w:rPr>
            <w:t xml:space="preserve">1.2 연구 질문</w:t>
          </w:r>
          <w:r>
            <w:rPr>
              <w:rFonts w:ascii="바탕" w:hAnsi="바탕" w:eastAsia="바탕" w:cs="바탕"/>
              <w:sz w:val="21"/>
              <w:szCs w:val="21"/>
            </w:rPr>
            <w:tab/>
            <w:t>2</w:t>
          </w:r>
        </w:p>
        <w:p>
          <w:pPr>
            <w:tabs>
              <w:tab w:val="right" w:leader="dot" w:pos="7936"/>
            </w:tabs>
            <w:spacing w:before="0" w:after="40" w:line="300" w:lineRule="auto"/>
            <w:ind w:left="300" w:right="400" w:hanging="0"/>
          </w:pPr>
          <w:r>
            <w:rPr>
              <w:rFonts w:ascii="바탕" w:hAnsi="바탕" w:eastAsia="바탕" w:cs="바탕"/>
              <w:sz w:val="21"/>
              <w:szCs w:val="21"/>
            </w:rPr>
            <w:t xml:space="preserve">1.3 연구 방법 개요</w:t>
          </w:r>
          <w:r>
            <w:rPr>
              <w:rFonts w:ascii="바탕" w:hAnsi="바탕" w:eastAsia="바탕" w:cs="바탕"/>
              <w:sz w:val="21"/>
              <w:szCs w:val="21"/>
            </w:rPr>
            <w:tab/>
            <w:t>2</w:t>
          </w:r>
        </w:p>
        <w:p>
          <w:pPr>
            <w:tabs>
              <w:tab w:val="right" w:leader="dot" w:pos="7936"/>
            </w:tabs>
            <w:spacing w:before="0" w:after="40" w:line="300" w:lineRule="auto"/>
            <w:ind w:left="300" w:right="400" w:hanging="0"/>
          </w:pPr>
          <w:r>
            <w:rPr>
              <w:rFonts w:ascii="바탕" w:hAnsi="바탕" w:eastAsia="바탕" w:cs="바탕"/>
              <w:sz w:val="21"/>
              <w:szCs w:val="21"/>
            </w:rPr>
            <w:t xml:space="preserve">1.4 주요 결과와 기여</w:t>
          </w:r>
          <w:r>
            <w:rPr>
              <w:rFonts w:ascii="바탕" w:hAnsi="바탕" w:eastAsia="바탕" w:cs="바탕"/>
              <w:sz w:val="21"/>
              <w:szCs w:val="21"/>
            </w:rPr>
            <w:tab/>
            <w:t>3</w:t>
          </w:r>
        </w:p>
        <w:p>
          <w:pPr>
            <w:tabs>
              <w:tab w:val="right" w:leader="dot" w:pos="7936"/>
            </w:tabs>
            <w:spacing w:before="0" w:after="40" w:line="300" w:lineRule="auto"/>
            <w:ind w:left="300" w:right="400" w:hanging="0"/>
          </w:pPr>
          <w:r>
            <w:rPr>
              <w:rFonts w:ascii="바탕" w:hAnsi="바탕" w:eastAsia="바탕" w:cs="바탕"/>
              <w:sz w:val="21"/>
              <w:szCs w:val="21"/>
            </w:rPr>
            <w:t xml:space="preserve">1.5 논문 구성</w:t>
          </w:r>
          <w:r>
            <w:rPr>
              <w:rFonts w:ascii="바탕" w:hAnsi="바탕" w:eastAsia="바탕" w:cs="바탕"/>
              <w:sz w:val="21"/>
              <w:szCs w:val="21"/>
            </w:rPr>
            <w:tab/>
            <w:t>4</w:t>
          </w:r>
        </w:p>
        <w:p>
          <w:pPr>
            <w:tabs>
              <w:tab w:val="right" w:leader="dot" w:pos="7936"/>
            </w:tabs>
            <w:spacing w:before="160" w:after="40" w:line="300" w:lineRule="auto"/>
            <w:ind w:left="0" w:right="400" w:hanging="0"/>
          </w:pPr>
          <w:r>
            <w:rPr>
              <w:rFonts w:ascii="바탕" w:hAnsi="바탕" w:eastAsia="바탕" w:cs="바탕"/>
              <w:sz w:val="21"/>
              <w:szCs w:val="21"/>
              <w:b/>
            </w:rPr>
            <w:t xml:space="preserve">제2장 이론적 배경과 관련 연구</w:t>
          </w:r>
          <w:r>
            <w:rPr>
              <w:rFonts w:ascii="바탕" w:hAnsi="바탕" w:eastAsia="바탕" w:cs="바탕"/>
              <w:sz w:val="21"/>
              <w:szCs w:val="21"/>
            </w:rPr>
            <w:tab/>
            <w:t>6</w:t>
          </w:r>
        </w:p>
        <w:p>
          <w:pPr>
            <w:tabs>
              <w:tab w:val="right" w:leader="dot" w:pos="7936"/>
            </w:tabs>
            <w:spacing w:before="0" w:after="40" w:line="300" w:lineRule="auto"/>
            <w:ind w:left="300" w:right="400" w:hanging="0"/>
          </w:pPr>
          <w:r>
            <w:rPr>
              <w:rFonts w:ascii="바탕" w:hAnsi="바탕" w:eastAsia="바탕" w:cs="바탕"/>
              <w:sz w:val="21"/>
              <w:szCs w:val="21"/>
            </w:rPr>
            <w:t xml:space="preserve">2.1 금융 수익률의 통계적 성질</w:t>
          </w:r>
          <w:r>
            <w:rPr>
              <w:rFonts w:ascii="바탕" w:hAnsi="바탕" w:eastAsia="바탕" w:cs="바탕"/>
              <w:sz w:val="21"/>
              <w:szCs w:val="21"/>
            </w:rPr>
            <w:tab/>
            <w:t>6</w:t>
          </w:r>
        </w:p>
        <w:p>
          <w:pPr>
            <w:tabs>
              <w:tab w:val="right" w:leader="dot" w:pos="7936"/>
            </w:tabs>
            <w:spacing w:before="0" w:after="40" w:line="300" w:lineRule="auto"/>
            <w:ind w:left="600" w:right="400" w:hanging="0"/>
          </w:pPr>
          <w:r>
            <w:rPr>
              <w:rFonts w:ascii="바탕" w:hAnsi="바탕" w:eastAsia="바탕" w:cs="바탕"/>
              <w:sz w:val="21"/>
              <w:szCs w:val="21"/>
            </w:rPr>
            <w:t xml:space="preserve">2.1.1 수익률과 예측 가능성</w:t>
          </w:r>
          <w:r>
            <w:rPr>
              <w:rFonts w:ascii="바탕" w:hAnsi="바탕" w:eastAsia="바탕" w:cs="바탕"/>
              <w:sz w:val="21"/>
              <w:szCs w:val="21"/>
            </w:rPr>
            <w:tab/>
            <w:t>6</w:t>
          </w:r>
        </w:p>
        <w:p>
          <w:pPr>
            <w:tabs>
              <w:tab w:val="right" w:leader="dot" w:pos="7936"/>
            </w:tabs>
            <w:spacing w:before="0" w:after="40" w:line="300" w:lineRule="auto"/>
            <w:ind w:left="600" w:right="400" w:hanging="0"/>
          </w:pPr>
          <w:r>
            <w:rPr>
              <w:rFonts w:ascii="바탕" w:hAnsi="바탕" w:eastAsia="바탕" w:cs="바탕"/>
              <w:sz w:val="21"/>
              <w:szCs w:val="21"/>
            </w:rPr>
            <w:t xml:space="preserve">2.1.2 정형화된 사실</w:t>
          </w:r>
          <w:r>
            <w:rPr>
              <w:rFonts w:ascii="바탕" w:hAnsi="바탕" w:eastAsia="바탕" w:cs="바탕"/>
              <w:sz w:val="21"/>
              <w:szCs w:val="21"/>
            </w:rPr>
            <w:tab/>
            <w:t>6</w:t>
          </w:r>
        </w:p>
        <w:p>
          <w:pPr>
            <w:tabs>
              <w:tab w:val="right" w:leader="dot" w:pos="7936"/>
            </w:tabs>
            <w:spacing w:before="0" w:after="40" w:line="300" w:lineRule="auto"/>
            <w:ind w:left="300" w:right="400" w:hanging="0"/>
          </w:pPr>
          <w:r>
            <w:rPr>
              <w:rFonts w:ascii="바탕" w:hAnsi="바탕" w:eastAsia="바탕" w:cs="바탕"/>
              <w:sz w:val="21"/>
              <w:szCs w:val="21"/>
            </w:rPr>
            <w:t xml:space="preserve">2.2 시계열 예측 모델의 발전</w:t>
          </w:r>
          <w:r>
            <w:rPr>
              <w:rFonts w:ascii="바탕" w:hAnsi="바탕" w:eastAsia="바탕" w:cs="바탕"/>
              <w:sz w:val="21"/>
              <w:szCs w:val="21"/>
            </w:rPr>
            <w:tab/>
            <w:t>9</w:t>
          </w:r>
        </w:p>
        <w:p>
          <w:pPr>
            <w:tabs>
              <w:tab w:val="right" w:leader="dot" w:pos="7936"/>
            </w:tabs>
            <w:spacing w:before="0" w:after="40" w:line="300" w:lineRule="auto"/>
            <w:ind w:left="600" w:right="400" w:hanging="0"/>
          </w:pPr>
          <w:r>
            <w:rPr>
              <w:rFonts w:ascii="바탕" w:hAnsi="바탕" w:eastAsia="바탕" w:cs="바탕"/>
              <w:sz w:val="21"/>
              <w:szCs w:val="21"/>
            </w:rPr>
            <w:t xml:space="preserve">2.2.1 통계적 시계열 모형</w:t>
          </w:r>
          <w:r>
            <w:rPr>
              <w:rFonts w:ascii="바탕" w:hAnsi="바탕" w:eastAsia="바탕" w:cs="바탕"/>
              <w:sz w:val="21"/>
              <w:szCs w:val="21"/>
            </w:rPr>
            <w:tab/>
            <w:t>9</w:t>
          </w:r>
        </w:p>
        <w:p>
          <w:pPr>
            <w:tabs>
              <w:tab w:val="right" w:leader="dot" w:pos="7936"/>
            </w:tabs>
            <w:spacing w:before="0" w:after="40" w:line="300" w:lineRule="auto"/>
            <w:ind w:left="600" w:right="400" w:hanging="0"/>
          </w:pPr>
          <w:r>
            <w:rPr>
              <w:rFonts w:ascii="바탕" w:hAnsi="바탕" w:eastAsia="바탕" w:cs="바탕"/>
              <w:sz w:val="21"/>
              <w:szCs w:val="21"/>
            </w:rPr>
            <w:t xml:space="preserve">2.2.2 딥러닝 예측 모델</w:t>
          </w:r>
          <w:r>
            <w:rPr>
              <w:rFonts w:ascii="바탕" w:hAnsi="바탕" w:eastAsia="바탕" w:cs="바탕"/>
              <w:sz w:val="21"/>
              <w:szCs w:val="21"/>
            </w:rPr>
            <w:tab/>
            <w:t>9</w:t>
          </w:r>
        </w:p>
        <w:p>
          <w:pPr>
            <w:tabs>
              <w:tab w:val="right" w:leader="dot" w:pos="7936"/>
            </w:tabs>
            <w:spacing w:before="0" w:after="40" w:line="300" w:lineRule="auto"/>
            <w:ind w:left="600" w:right="400" w:hanging="0"/>
          </w:pPr>
          <w:r>
            <w:rPr>
              <w:rFonts w:ascii="바탕" w:hAnsi="바탕" w:eastAsia="바탕" w:cs="바탕"/>
              <w:sz w:val="21"/>
              <w:szCs w:val="21"/>
            </w:rPr>
            <w:t xml:space="preserve">2.2.3 시계열 파운데이션 모델</w:t>
          </w:r>
          <w:r>
            <w:rPr>
              <w:rFonts w:ascii="바탕" w:hAnsi="바탕" w:eastAsia="바탕" w:cs="바탕"/>
              <w:sz w:val="21"/>
              <w:szCs w:val="21"/>
            </w:rPr>
            <w:tab/>
            <w:t>9</w:t>
          </w:r>
        </w:p>
        <w:p>
          <w:pPr>
            <w:tabs>
              <w:tab w:val="right" w:leader="dot" w:pos="7936"/>
            </w:tabs>
            <w:spacing w:before="0" w:after="40" w:line="300" w:lineRule="auto"/>
            <w:ind w:left="300" w:right="400" w:hanging="0"/>
          </w:pPr>
          <w:r>
            <w:rPr>
              <w:rFonts w:ascii="바탕" w:hAnsi="바탕" w:eastAsia="바탕" w:cs="바탕"/>
              <w:sz w:val="21"/>
              <w:szCs w:val="21"/>
            </w:rPr>
            <w:t xml:space="preserve">2.3 확률 예측과 예측구간의 평가</w:t>
          </w:r>
          <w:r>
            <w:rPr>
              <w:rFonts w:ascii="바탕" w:hAnsi="바탕" w:eastAsia="바탕" w:cs="바탕"/>
              <w:sz w:val="21"/>
              <w:szCs w:val="21"/>
            </w:rPr>
            <w:tab/>
            <w:t>12</w:t>
          </w:r>
        </w:p>
        <w:p>
          <w:pPr>
            <w:tabs>
              <w:tab w:val="right" w:leader="dot" w:pos="7936"/>
            </w:tabs>
            <w:spacing w:before="0" w:after="40" w:line="300" w:lineRule="auto"/>
            <w:ind w:left="600" w:right="400" w:hanging="0"/>
          </w:pPr>
          <w:r>
            <w:rPr>
              <w:rFonts w:ascii="바탕" w:hAnsi="바탕" w:eastAsia="바탕" w:cs="바탕"/>
              <w:sz w:val="21"/>
              <w:szCs w:val="21"/>
            </w:rPr>
            <w:t xml:space="preserve">2.3.1 점 예측과 확률 예측</w:t>
          </w:r>
          <w:r>
            <w:rPr>
              <w:rFonts w:ascii="바탕" w:hAnsi="바탕" w:eastAsia="바탕" w:cs="바탕"/>
              <w:sz w:val="21"/>
              <w:szCs w:val="21"/>
            </w:rPr>
            <w:tab/>
            <w:t>12</w:t>
          </w:r>
        </w:p>
        <w:p>
          <w:pPr>
            <w:tabs>
              <w:tab w:val="right" w:leader="dot" w:pos="7936"/>
            </w:tabs>
            <w:spacing w:before="0" w:after="40" w:line="300" w:lineRule="auto"/>
            <w:ind w:left="600" w:right="400" w:hanging="0"/>
          </w:pPr>
          <w:r>
            <w:rPr>
              <w:rFonts w:ascii="바탕" w:hAnsi="바탕" w:eastAsia="바탕" w:cs="바탕"/>
              <w:sz w:val="21"/>
              <w:szCs w:val="21"/>
            </w:rPr>
            <w:t xml:space="preserve">2.3.2 보정과 날카로움</w:t>
          </w:r>
          <w:r>
            <w:rPr>
              <w:rFonts w:ascii="바탕" w:hAnsi="바탕" w:eastAsia="바탕" w:cs="바탕"/>
              <w:sz w:val="21"/>
              <w:szCs w:val="21"/>
            </w:rPr>
            <w:tab/>
            <w:t>12</w:t>
          </w:r>
        </w:p>
        <w:p>
          <w:pPr>
            <w:tabs>
              <w:tab w:val="right" w:leader="dot" w:pos="7936"/>
            </w:tabs>
            <w:spacing w:before="0" w:after="40" w:line="300" w:lineRule="auto"/>
            <w:ind w:left="600" w:right="400" w:hanging="0"/>
          </w:pPr>
          <w:r>
            <w:rPr>
              <w:rFonts w:ascii="바탕" w:hAnsi="바탕" w:eastAsia="바탕" w:cs="바탕"/>
              <w:sz w:val="21"/>
              <w:szCs w:val="21"/>
            </w:rPr>
            <w:t xml:space="preserve">2.3.3 적정 점수 규칙</w:t>
          </w:r>
          <w:r>
            <w:rPr>
              <w:rFonts w:ascii="바탕" w:hAnsi="바탕" w:eastAsia="바탕" w:cs="바탕"/>
              <w:sz w:val="21"/>
              <w:szCs w:val="21"/>
            </w:rPr>
            <w:tab/>
            <w:t>13</w:t>
          </w:r>
        </w:p>
        <w:p>
          <w:pPr>
            <w:tabs>
              <w:tab w:val="right" w:leader="dot" w:pos="7936"/>
            </w:tabs>
            <w:spacing w:before="0" w:after="40" w:line="300" w:lineRule="auto"/>
            <w:ind w:left="300" w:right="400" w:hanging="0"/>
          </w:pPr>
          <w:r>
            <w:rPr>
              <w:rFonts w:ascii="바탕" w:hAnsi="바탕" w:eastAsia="바탕" w:cs="바탕"/>
              <w:sz w:val="21"/>
              <w:szCs w:val="21"/>
            </w:rPr>
            <w:t xml:space="preserve">2.4 위험 관리에서의 예측구간</w:t>
          </w:r>
          <w:r>
            <w:rPr>
              <w:rFonts w:ascii="바탕" w:hAnsi="바탕" w:eastAsia="바탕" w:cs="바탕"/>
              <w:sz w:val="21"/>
              <w:szCs w:val="21"/>
            </w:rPr>
            <w:tab/>
            <w:t>14</w:t>
          </w:r>
        </w:p>
        <w:p>
          <w:pPr>
            <w:tabs>
              <w:tab w:val="right" w:leader="dot" w:pos="7936"/>
            </w:tabs>
            <w:spacing w:before="0" w:after="40" w:line="300" w:lineRule="auto"/>
            <w:ind w:left="600" w:right="400" w:hanging="0"/>
          </w:pPr>
          <w:r>
            <w:rPr>
              <w:rFonts w:ascii="바탕" w:hAnsi="바탕" w:eastAsia="바탕" w:cs="바탕"/>
              <w:sz w:val="21"/>
              <w:szCs w:val="21"/>
            </w:rPr>
            <w:t xml:space="preserve">2.4.1 VaR</w:t>
          </w:r>
          <w:r>
            <w:rPr>
              <w:rFonts w:ascii="바탕" w:hAnsi="바탕" w:eastAsia="바탕" w:cs="바탕"/>
              <w:sz w:val="21"/>
              <w:szCs w:val="21"/>
            </w:rPr>
            <w:tab/>
            <w:t>14</w:t>
          </w:r>
        </w:p>
        <w:p>
          <w:pPr>
            <w:tabs>
              <w:tab w:val="right" w:leader="dot" w:pos="7936"/>
            </w:tabs>
            <w:spacing w:before="0" w:after="40" w:line="300" w:lineRule="auto"/>
            <w:ind w:left="600" w:right="400" w:hanging="0"/>
          </w:pPr>
          <w:r>
            <w:rPr>
              <w:rFonts w:ascii="바탕" w:hAnsi="바탕" w:eastAsia="바탕" w:cs="바탕"/>
              <w:sz w:val="21"/>
              <w:szCs w:val="21"/>
            </w:rPr>
            <w:t xml:space="preserve">2.4.2 VaR 백테스트</w:t>
          </w:r>
          <w:r>
            <w:rPr>
              <w:rFonts w:ascii="바탕" w:hAnsi="바탕" w:eastAsia="바탕" w:cs="바탕"/>
              <w:sz w:val="21"/>
              <w:szCs w:val="21"/>
            </w:rPr>
            <w:tab/>
            <w:t>15</w:t>
          </w:r>
        </w:p>
        <w:p>
          <w:pPr>
            <w:tabs>
              <w:tab w:val="right" w:leader="dot" w:pos="7936"/>
            </w:tabs>
            <w:spacing w:before="0" w:after="40" w:line="300" w:lineRule="auto"/>
            <w:ind w:left="600" w:right="400" w:hanging="0"/>
          </w:pPr>
          <w:r>
            <w:rPr>
              <w:rFonts w:ascii="바탕" w:hAnsi="바탕" w:eastAsia="바탕" w:cs="바탕"/>
              <w:sz w:val="21"/>
              <w:szCs w:val="21"/>
            </w:rPr>
            <w:t xml:space="preserve">2.4.3 변동성 목표 전략</w:t>
          </w:r>
          <w:r>
            <w:rPr>
              <w:rFonts w:ascii="바탕" w:hAnsi="바탕" w:eastAsia="바탕" w:cs="바탕"/>
              <w:sz w:val="21"/>
              <w:szCs w:val="21"/>
            </w:rPr>
            <w:tab/>
            <w:t>16</w:t>
          </w:r>
        </w:p>
        <w:p>
          <w:pPr>
            <w:tabs>
              <w:tab w:val="right" w:leader="dot" w:pos="7936"/>
            </w:tabs>
            <w:spacing w:before="0" w:after="40" w:line="300" w:lineRule="auto"/>
            <w:ind w:left="300" w:right="400" w:hanging="0"/>
          </w:pPr>
          <w:r>
            <w:rPr>
              <w:rFonts w:ascii="바탕" w:hAnsi="바탕" w:eastAsia="바탕" w:cs="바탕"/>
              <w:sz w:val="21"/>
              <w:szCs w:val="21"/>
            </w:rPr>
            <w:t xml:space="preserve">2.5 콘포멀 예측과 사후보정</w:t>
          </w:r>
          <w:r>
            <w:rPr>
              <w:rFonts w:ascii="바탕" w:hAnsi="바탕" w:eastAsia="바탕" w:cs="바탕"/>
              <w:sz w:val="21"/>
              <w:szCs w:val="21"/>
            </w:rPr>
            <w:tab/>
            <w:t>16</w:t>
          </w:r>
        </w:p>
        <w:p>
          <w:pPr>
            <w:tabs>
              <w:tab w:val="right" w:leader="dot" w:pos="7936"/>
            </w:tabs>
            <w:spacing w:before="0" w:after="40" w:line="300" w:lineRule="auto"/>
            <w:ind w:left="600" w:right="400" w:hanging="0"/>
          </w:pPr>
          <w:r>
            <w:rPr>
              <w:rFonts w:ascii="바탕" w:hAnsi="바탕" w:eastAsia="바탕" w:cs="바탕"/>
              <w:sz w:val="21"/>
              <w:szCs w:val="21"/>
            </w:rPr>
            <w:t xml:space="preserve">2.5.1 콘포멀 예측</w:t>
          </w:r>
          <w:r>
            <w:rPr>
              <w:rFonts w:ascii="바탕" w:hAnsi="바탕" w:eastAsia="바탕" w:cs="바탕"/>
              <w:sz w:val="21"/>
              <w:szCs w:val="21"/>
            </w:rPr>
            <w:tab/>
            <w:t>16</w:t>
          </w:r>
        </w:p>
        <w:p>
          <w:pPr>
            <w:tabs>
              <w:tab w:val="right" w:leader="dot" w:pos="7936"/>
            </w:tabs>
            <w:spacing w:before="0" w:after="40" w:line="300" w:lineRule="auto"/>
            <w:ind w:left="600" w:right="400" w:hanging="0"/>
          </w:pPr>
          <w:r>
            <w:rPr>
              <w:rFonts w:ascii="바탕" w:hAnsi="바탕" w:eastAsia="바탕" w:cs="바탕"/>
              <w:sz w:val="21"/>
              <w:szCs w:val="21"/>
            </w:rPr>
            <w:t xml:space="preserve">2.5.2 콘포멀 분위수 회귀</w:t>
          </w:r>
          <w:r>
            <w:rPr>
              <w:rFonts w:ascii="바탕" w:hAnsi="바탕" w:eastAsia="바탕" w:cs="바탕"/>
              <w:sz w:val="21"/>
              <w:szCs w:val="21"/>
            </w:rPr>
            <w:tab/>
            <w:t>16</w:t>
          </w:r>
        </w:p>
        <w:p>
          <w:pPr>
            <w:tabs>
              <w:tab w:val="right" w:leader="dot" w:pos="7936"/>
            </w:tabs>
            <w:spacing w:before="0" w:after="40" w:line="300" w:lineRule="auto"/>
            <w:ind w:left="600" w:right="400" w:hanging="0"/>
          </w:pPr>
          <w:r>
            <w:rPr>
              <w:rFonts w:ascii="바탕" w:hAnsi="바탕" w:eastAsia="바탕" w:cs="바탕"/>
              <w:sz w:val="21"/>
              <w:szCs w:val="21"/>
            </w:rPr>
            <w:t xml:space="preserve">2.5.3 적응형 콘포멀 추론</w:t>
          </w:r>
          <w:r>
            <w:rPr>
              <w:rFonts w:ascii="바탕" w:hAnsi="바탕" w:eastAsia="바탕" w:cs="바탕"/>
              <w:sz w:val="21"/>
              <w:szCs w:val="21"/>
            </w:rPr>
            <w:tab/>
            <w:t>17</w:t>
          </w:r>
        </w:p>
        <w:p>
          <w:pPr>
            <w:tabs>
              <w:tab w:val="right" w:leader="dot" w:pos="7936"/>
            </w:tabs>
            <w:spacing w:before="0" w:after="40" w:line="300" w:lineRule="auto"/>
            <w:ind w:left="300" w:right="400" w:hanging="0"/>
          </w:pPr>
          <w:r>
            <w:rPr>
              <w:rFonts w:ascii="바탕" w:hAnsi="바탕" w:eastAsia="바탕" w:cs="바탕"/>
              <w:sz w:val="21"/>
              <w:szCs w:val="21"/>
            </w:rPr>
            <w:t xml:space="preserve">2.6 관련 연구</w:t>
          </w:r>
          <w:r>
            <w:rPr>
              <w:rFonts w:ascii="바탕" w:hAnsi="바탕" w:eastAsia="바탕" w:cs="바탕"/>
              <w:sz w:val="21"/>
              <w:szCs w:val="21"/>
            </w:rPr>
            <w:tab/>
            <w:t>18</w:t>
          </w:r>
        </w:p>
        <w:p>
          <w:pPr>
            <w:tabs>
              <w:tab w:val="right" w:leader="dot" w:pos="7936"/>
            </w:tabs>
            <w:spacing w:before="0" w:after="40" w:line="300" w:lineRule="auto"/>
            <w:ind w:left="600" w:right="400" w:hanging="0"/>
          </w:pPr>
          <w:r>
            <w:rPr>
              <w:rFonts w:ascii="바탕" w:hAnsi="바탕" w:eastAsia="바탕" w:cs="바탕"/>
              <w:sz w:val="21"/>
              <w:szCs w:val="21"/>
            </w:rPr>
            <w:t xml:space="preserve">2.6.1 금융에서의 TSFM 평가</w:t>
          </w:r>
          <w:r>
            <w:rPr>
              <w:rFonts w:ascii="바탕" w:hAnsi="바탕" w:eastAsia="바탕" w:cs="바탕"/>
              <w:sz w:val="21"/>
              <w:szCs w:val="21"/>
            </w:rPr>
            <w:tab/>
            <w:t>18</w:t>
          </w:r>
        </w:p>
        <w:p>
          <w:pPr>
            <w:tabs>
              <w:tab w:val="right" w:leader="dot" w:pos="7936"/>
            </w:tabs>
            <w:spacing w:before="0" w:after="40" w:line="300" w:lineRule="auto"/>
            <w:ind w:left="600" w:right="400" w:hanging="0"/>
          </w:pPr>
          <w:r>
            <w:rPr>
              <w:rFonts w:ascii="바탕" w:hAnsi="바탕" w:eastAsia="바탕" w:cs="바탕"/>
              <w:sz w:val="21"/>
              <w:szCs w:val="21"/>
            </w:rPr>
            <w:t xml:space="preserve">2.6.2 합성 데이터를 이용한 진단</w:t>
          </w:r>
          <w:r>
            <w:rPr>
              <w:rFonts w:ascii="바탕" w:hAnsi="바탕" w:eastAsia="바탕" w:cs="바탕"/>
              <w:sz w:val="21"/>
              <w:szCs w:val="21"/>
            </w:rPr>
            <w:tab/>
            <w:t>19</w:t>
          </w:r>
        </w:p>
        <w:p>
          <w:pPr>
            <w:tabs>
              <w:tab w:val="right" w:leader="dot" w:pos="7936"/>
            </w:tabs>
            <w:spacing w:before="0" w:after="40" w:line="300" w:lineRule="auto"/>
            <w:ind w:left="600" w:right="400" w:hanging="0"/>
          </w:pPr>
          <w:r>
            <w:rPr>
              <w:rFonts w:ascii="바탕" w:hAnsi="바탕" w:eastAsia="바탕" w:cs="바탕"/>
              <w:sz w:val="21"/>
              <w:szCs w:val="21"/>
            </w:rPr>
            <w:t xml:space="preserve">2.6.3 본 연구의 위치</w:t>
          </w:r>
          <w:r>
            <w:rPr>
              <w:rFonts w:ascii="바탕" w:hAnsi="바탕" w:eastAsia="바탕" w:cs="바탕"/>
              <w:sz w:val="21"/>
              <w:szCs w:val="21"/>
            </w:rPr>
            <w:tab/>
            <w:t>21</w:t>
          </w:r>
        </w:p>
        <w:p>
          <w:pPr>
            <w:tabs>
              <w:tab w:val="right" w:leader="dot" w:pos="7936"/>
            </w:tabs>
            <w:spacing w:before="160" w:after="40" w:line="300" w:lineRule="auto"/>
            <w:ind w:left="0" w:right="400" w:hanging="0"/>
          </w:pPr>
          <w:r>
            <w:rPr>
              <w:rFonts w:ascii="바탕" w:hAnsi="바탕" w:eastAsia="바탕" w:cs="바탕"/>
              <w:sz w:val="21"/>
              <w:szCs w:val="21"/>
              <w:b/>
            </w:rPr>
            <w:t xml:space="preserve">제3장 연구 설계</w:t>
          </w:r>
          <w:r>
            <w:rPr>
              <w:rFonts w:ascii="바탕" w:hAnsi="바탕" w:eastAsia="바탕" w:cs="바탕"/>
              <w:sz w:val="21"/>
              <w:szCs w:val="21"/>
            </w:rPr>
            <w:tab/>
            <w:t>22</w:t>
          </w:r>
        </w:p>
        <w:p>
          <w:pPr>
            <w:tabs>
              <w:tab w:val="right" w:leader="dot" w:pos="7936"/>
            </w:tabs>
            <w:spacing w:before="0" w:after="40" w:line="300" w:lineRule="auto"/>
            <w:ind w:left="300" w:right="400" w:hanging="0"/>
          </w:pPr>
          <w:r>
            <w:rPr>
              <w:rFonts w:ascii="바탕" w:hAnsi="바탕" w:eastAsia="바탕" w:cs="바탕"/>
              <w:sz w:val="21"/>
              <w:szCs w:val="21"/>
            </w:rPr>
            <w:t xml:space="preserve">3.1 예측 문제</w:t>
          </w:r>
          <w:r>
            <w:rPr>
              <w:rFonts w:ascii="바탕" w:hAnsi="바탕" w:eastAsia="바탕" w:cs="바탕"/>
              <w:sz w:val="21"/>
              <w:szCs w:val="21"/>
            </w:rPr>
            <w:tab/>
            <w:t>22</w:t>
          </w:r>
        </w:p>
        <w:p>
          <w:pPr>
            <w:tabs>
              <w:tab w:val="right" w:leader="dot" w:pos="7936"/>
            </w:tabs>
            <w:spacing w:before="0" w:after="40" w:line="300" w:lineRule="auto"/>
            <w:ind w:left="300" w:right="400" w:hanging="0"/>
          </w:pPr>
          <w:r>
            <w:rPr>
              <w:rFonts w:ascii="바탕" w:hAnsi="바탕" w:eastAsia="바탕" w:cs="바탕"/>
              <w:sz w:val="21"/>
              <w:szCs w:val="21"/>
            </w:rPr>
            <w:t xml:space="preserve">3.2 실측 기반 합성 데이터</w:t>
          </w:r>
          <w:r>
            <w:rPr>
              <w:rFonts w:ascii="바탕" w:hAnsi="바탕" w:eastAsia="바탕" w:cs="바탕"/>
              <w:sz w:val="21"/>
              <w:szCs w:val="21"/>
            </w:rPr>
            <w:tab/>
            <w:t>23</w:t>
          </w:r>
        </w:p>
        <w:p>
          <w:pPr>
            <w:tabs>
              <w:tab w:val="right" w:leader="dot" w:pos="7936"/>
            </w:tabs>
            <w:spacing w:before="0" w:after="40" w:line="300" w:lineRule="auto"/>
            <w:ind w:left="600" w:right="400" w:hanging="0"/>
          </w:pPr>
          <w:r>
            <w:rPr>
              <w:rFonts w:ascii="바탕" w:hAnsi="바탕" w:eastAsia="바탕" w:cs="바탕"/>
              <w:sz w:val="21"/>
              <w:szCs w:val="21"/>
            </w:rPr>
            <w:t xml:space="preserve">3.2.1 설계 원칙</w:t>
          </w:r>
          <w:r>
            <w:rPr>
              <w:rFonts w:ascii="바탕" w:hAnsi="바탕" w:eastAsia="바탕" w:cs="바탕"/>
              <w:sz w:val="21"/>
              <w:szCs w:val="21"/>
            </w:rPr>
            <w:tab/>
            <w:t>23</w:t>
          </w:r>
        </w:p>
        <w:p>
          <w:pPr>
            <w:tabs>
              <w:tab w:val="right" w:leader="dot" w:pos="7936"/>
            </w:tabs>
            <w:spacing w:before="0" w:after="40" w:line="300" w:lineRule="auto"/>
            <w:ind w:left="600" w:right="400" w:hanging="0"/>
          </w:pPr>
          <w:r>
            <w:rPr>
              <w:rFonts w:ascii="바탕" w:hAnsi="바탕" w:eastAsia="바탕" w:cs="바탕"/>
              <w:sz w:val="21"/>
              <w:szCs w:val="21"/>
            </w:rPr>
            <w:t xml:space="preserve">3.2.2 금융 데이터의 세 가지 특성</w:t>
          </w:r>
          <w:r>
            <w:rPr>
              <w:rFonts w:ascii="바탕" w:hAnsi="바탕" w:eastAsia="바탕" w:cs="바탕"/>
              <w:sz w:val="21"/>
              <w:szCs w:val="21"/>
            </w:rPr>
            <w:tab/>
            <w:t>24</w:t>
          </w:r>
        </w:p>
        <w:p>
          <w:pPr>
            <w:tabs>
              <w:tab w:val="right" w:leader="dot" w:pos="7936"/>
            </w:tabs>
            <w:spacing w:before="0" w:after="40" w:line="300" w:lineRule="auto"/>
            <w:ind w:left="600" w:right="400" w:hanging="0"/>
          </w:pPr>
          <w:r>
            <w:rPr>
              <w:rFonts w:ascii="바탕" w:hAnsi="바탕" w:eastAsia="바탕" w:cs="바탕"/>
              <w:sz w:val="21"/>
              <w:szCs w:val="21"/>
            </w:rPr>
            <w:t xml:space="preserve">3.2.3 실제 10종목에서 특성 강도 측정</w:t>
          </w:r>
          <w:r>
            <w:rPr>
              <w:rFonts w:ascii="바탕" w:hAnsi="바탕" w:eastAsia="바탕" w:cs="바탕"/>
              <w:sz w:val="21"/>
              <w:szCs w:val="21"/>
            </w:rPr>
            <w:tab/>
            <w:t>25</w:t>
          </w:r>
        </w:p>
        <w:p>
          <w:pPr>
            <w:tabs>
              <w:tab w:val="right" w:leader="dot" w:pos="7936"/>
            </w:tabs>
            <w:spacing w:before="0" w:after="40" w:line="300" w:lineRule="auto"/>
            <w:ind w:left="600" w:right="400" w:hanging="0"/>
          </w:pPr>
          <w:r>
            <w:rPr>
              <w:rFonts w:ascii="바탕" w:hAnsi="바탕" w:eastAsia="바탕" w:cs="바탕"/>
              <w:sz w:val="21"/>
              <w:szCs w:val="21"/>
            </w:rPr>
            <w:t xml:space="preserve">3.2.4 단계 규칙과 확정 단계값</w:t>
          </w:r>
          <w:r>
            <w:rPr>
              <w:rFonts w:ascii="바탕" w:hAnsi="바탕" w:eastAsia="바탕" w:cs="바탕"/>
              <w:sz w:val="21"/>
              <w:szCs w:val="21"/>
            </w:rPr>
            <w:tab/>
            <w:t>26</w:t>
          </w:r>
        </w:p>
        <w:p>
          <w:pPr>
            <w:tabs>
              <w:tab w:val="right" w:leader="dot" w:pos="7936"/>
            </w:tabs>
            <w:spacing w:before="0" w:after="40" w:line="300" w:lineRule="auto"/>
            <w:ind w:left="600" w:right="400" w:hanging="0"/>
          </w:pPr>
          <w:r>
            <w:rPr>
              <w:rFonts w:ascii="바탕" w:hAnsi="바탕" w:eastAsia="바탕" w:cs="바탕"/>
              <w:sz w:val="21"/>
              <w:szCs w:val="21"/>
            </w:rPr>
            <w:t xml:space="preserve">3.2.5 생성식</w:t>
          </w:r>
          <w:r>
            <w:rPr>
              <w:rFonts w:ascii="바탕" w:hAnsi="바탕" w:eastAsia="바탕" w:cs="바탕"/>
              <w:sz w:val="21"/>
              <w:szCs w:val="21"/>
            </w:rPr>
            <w:tab/>
            <w:t>27</w:t>
          </w:r>
        </w:p>
        <w:p>
          <w:pPr>
            <w:tabs>
              <w:tab w:val="right" w:leader="dot" w:pos="7936"/>
            </w:tabs>
            <w:spacing w:before="0" w:after="40" w:line="300" w:lineRule="auto"/>
            <w:ind w:left="600" w:right="400" w:hanging="0"/>
          </w:pPr>
          <w:r>
            <w:rPr>
              <w:rFonts w:ascii="바탕" w:hAnsi="바탕" w:eastAsia="바탕" w:cs="바탕"/>
              <w:sz w:val="21"/>
              <w:szCs w:val="21"/>
            </w:rPr>
            <w:t xml:space="preserve">3.2.6 생성 검증</w:t>
          </w:r>
          <w:r>
            <w:rPr>
              <w:rFonts w:ascii="바탕" w:hAnsi="바탕" w:eastAsia="바탕" w:cs="바탕"/>
              <w:sz w:val="21"/>
              <w:szCs w:val="21"/>
            </w:rPr>
            <w:tab/>
            <w:t>29</w:t>
          </w:r>
        </w:p>
        <w:p>
          <w:pPr>
            <w:tabs>
              <w:tab w:val="right" w:leader="dot" w:pos="7936"/>
            </w:tabs>
            <w:spacing w:before="0" w:after="40" w:line="300" w:lineRule="auto"/>
            <w:ind w:left="300" w:right="400" w:hanging="0"/>
          </w:pPr>
          <w:r>
            <w:rPr>
              <w:rFonts w:ascii="바탕" w:hAnsi="바탕" w:eastAsia="바탕" w:cs="바탕"/>
              <w:sz w:val="21"/>
              <w:szCs w:val="21"/>
            </w:rPr>
            <w:t xml:space="preserve">3.3 실제 주식 데이터</w:t>
          </w:r>
          <w:r>
            <w:rPr>
              <w:rFonts w:ascii="바탕" w:hAnsi="바탕" w:eastAsia="바탕" w:cs="바탕"/>
              <w:sz w:val="21"/>
              <w:szCs w:val="21"/>
            </w:rPr>
            <w:tab/>
            <w:t>30</w:t>
          </w:r>
        </w:p>
        <w:p>
          <w:pPr>
            <w:tabs>
              <w:tab w:val="right" w:leader="dot" w:pos="7936"/>
            </w:tabs>
            <w:spacing w:before="0" w:after="40" w:line="300" w:lineRule="auto"/>
            <w:ind w:left="300" w:right="400" w:hanging="0"/>
          </w:pPr>
          <w:r>
            <w:rPr>
              <w:rFonts w:ascii="바탕" w:hAnsi="바탕" w:eastAsia="바탕" w:cs="바탕"/>
              <w:sz w:val="21"/>
              <w:szCs w:val="21"/>
            </w:rPr>
            <w:t xml:space="preserve">3.4 비교 모델</w:t>
          </w:r>
          <w:r>
            <w:rPr>
              <w:rFonts w:ascii="바탕" w:hAnsi="바탕" w:eastAsia="바탕" w:cs="바탕"/>
              <w:sz w:val="21"/>
              <w:szCs w:val="21"/>
            </w:rPr>
            <w:tab/>
            <w:t>31</w:t>
          </w:r>
        </w:p>
        <w:p>
          <w:pPr>
            <w:tabs>
              <w:tab w:val="right" w:leader="dot" w:pos="7936"/>
            </w:tabs>
            <w:spacing w:before="0" w:after="40" w:line="300" w:lineRule="auto"/>
            <w:ind w:left="300" w:right="400" w:hanging="0"/>
          </w:pPr>
          <w:r>
            <w:rPr>
              <w:rFonts w:ascii="바탕" w:hAnsi="바탕" w:eastAsia="바탕" w:cs="바탕"/>
              <w:sz w:val="21"/>
              <w:szCs w:val="21"/>
            </w:rPr>
            <w:t xml:space="preserve">3.5 사후보정</w:t>
          </w:r>
          <w:r>
            <w:rPr>
              <w:rFonts w:ascii="바탕" w:hAnsi="바탕" w:eastAsia="바탕" w:cs="바탕"/>
              <w:sz w:val="21"/>
              <w:szCs w:val="21"/>
            </w:rPr>
            <w:tab/>
            <w:t>32</w:t>
          </w:r>
        </w:p>
        <w:p>
          <w:pPr>
            <w:tabs>
              <w:tab w:val="right" w:leader="dot" w:pos="7936"/>
            </w:tabs>
            <w:spacing w:before="0" w:after="40" w:line="300" w:lineRule="auto"/>
            <w:ind w:left="600" w:right="400" w:hanging="0"/>
          </w:pPr>
          <w:r>
            <w:rPr>
              <w:rFonts w:ascii="바탕" w:hAnsi="바탕" w:eastAsia="바탕" w:cs="바탕"/>
              <w:sz w:val="21"/>
              <w:szCs w:val="21"/>
            </w:rPr>
            <w:t xml:space="preserve">3.5.1 ACI-CQR</w:t>
          </w:r>
          <w:r>
            <w:rPr>
              <w:rFonts w:ascii="바탕" w:hAnsi="바탕" w:eastAsia="바탕" w:cs="바탕"/>
              <w:sz w:val="21"/>
              <w:szCs w:val="21"/>
            </w:rPr>
            <w:tab/>
            <w:t>32</w:t>
          </w:r>
        </w:p>
        <w:p>
          <w:pPr>
            <w:tabs>
              <w:tab w:val="right" w:leader="dot" w:pos="7936"/>
            </w:tabs>
            <w:spacing w:before="0" w:after="40" w:line="300" w:lineRule="auto"/>
            <w:ind w:left="600" w:right="400" w:hanging="0"/>
          </w:pPr>
          <w:r>
            <w:rPr>
              <w:rFonts w:ascii="바탕" w:hAnsi="바탕" w:eastAsia="바탕" w:cs="바탕"/>
              <w:sz w:val="21"/>
              <w:szCs w:val="21"/>
            </w:rPr>
            <w:t xml:space="preserve">3.5.2 대조군</w:t>
          </w:r>
          <w:r>
            <w:rPr>
              <w:rFonts w:ascii="바탕" w:hAnsi="바탕" w:eastAsia="바탕" w:cs="바탕"/>
              <w:sz w:val="21"/>
              <w:szCs w:val="21"/>
            </w:rPr>
            <w:tab/>
            <w:t>33</w:t>
          </w:r>
        </w:p>
        <w:p>
          <w:pPr>
            <w:tabs>
              <w:tab w:val="right" w:leader="dot" w:pos="7936"/>
            </w:tabs>
            <w:spacing w:before="0" w:after="40" w:line="300" w:lineRule="auto"/>
            <w:ind w:left="300" w:right="400" w:hanging="0"/>
          </w:pPr>
          <w:r>
            <w:rPr>
              <w:rFonts w:ascii="바탕" w:hAnsi="바탕" w:eastAsia="바탕" w:cs="바탕"/>
              <w:sz w:val="21"/>
              <w:szCs w:val="21"/>
            </w:rPr>
            <w:t xml:space="preserve">3.6 평가 지표와 가설 검정</w:t>
          </w:r>
          <w:r>
            <w:rPr>
              <w:rFonts w:ascii="바탕" w:hAnsi="바탕" w:eastAsia="바탕" w:cs="바탕"/>
              <w:sz w:val="21"/>
              <w:szCs w:val="21"/>
            </w:rPr>
            <w:tab/>
            <w:t>33</w:t>
          </w:r>
        </w:p>
        <w:p>
          <w:pPr>
            <w:tabs>
              <w:tab w:val="right" w:leader="dot" w:pos="7936"/>
            </w:tabs>
            <w:spacing w:before="0" w:after="40" w:line="300" w:lineRule="auto"/>
            <w:ind w:left="600" w:right="400" w:hanging="0"/>
          </w:pPr>
          <w:r>
            <w:rPr>
              <w:rFonts w:ascii="바탕" w:hAnsi="바탕" w:eastAsia="바탕" w:cs="바탕"/>
              <w:sz w:val="21"/>
              <w:szCs w:val="21"/>
            </w:rPr>
            <w:t xml:space="preserve">3.6.1 지표</w:t>
          </w:r>
          <w:r>
            <w:rPr>
              <w:rFonts w:ascii="바탕" w:hAnsi="바탕" w:eastAsia="바탕" w:cs="바탕"/>
              <w:sz w:val="21"/>
              <w:szCs w:val="21"/>
            </w:rPr>
            <w:tab/>
            <w:t>33</w:t>
          </w:r>
        </w:p>
        <w:p>
          <w:pPr>
            <w:tabs>
              <w:tab w:val="right" w:leader="dot" w:pos="7936"/>
            </w:tabs>
            <w:spacing w:before="0" w:after="40" w:line="300" w:lineRule="auto"/>
            <w:ind w:left="600" w:right="400" w:hanging="0"/>
          </w:pPr>
          <w:r>
            <w:rPr>
              <w:rFonts w:ascii="바탕" w:hAnsi="바탕" w:eastAsia="바탕" w:cs="바탕"/>
              <w:sz w:val="21"/>
              <w:szCs w:val="21"/>
            </w:rPr>
            <w:t xml:space="preserve">3.6.2 연구 질문과 가설</w:t>
          </w:r>
          <w:r>
            <w:rPr>
              <w:rFonts w:ascii="바탕" w:hAnsi="바탕" w:eastAsia="바탕" w:cs="바탕"/>
              <w:sz w:val="21"/>
              <w:szCs w:val="21"/>
            </w:rPr>
            <w:tab/>
            <w:t>34</w:t>
          </w:r>
        </w:p>
        <w:p>
          <w:pPr>
            <w:tabs>
              <w:tab w:val="right" w:leader="dot" w:pos="7936"/>
            </w:tabs>
            <w:spacing w:before="0" w:after="40" w:line="300" w:lineRule="auto"/>
            <w:ind w:left="300" w:right="400" w:hanging="0"/>
          </w:pPr>
          <w:r>
            <w:rPr>
              <w:rFonts w:ascii="바탕" w:hAnsi="바탕" w:eastAsia="바탕" w:cs="바탕"/>
              <w:sz w:val="21"/>
              <w:szCs w:val="21"/>
            </w:rPr>
            <w:t xml:space="preserve">3.7 실험 절차와 검산</w:t>
          </w:r>
          <w:r>
            <w:rPr>
              <w:rFonts w:ascii="바탕" w:hAnsi="바탕" w:eastAsia="바탕" w:cs="바탕"/>
              <w:sz w:val="21"/>
              <w:szCs w:val="21"/>
            </w:rPr>
            <w:tab/>
            <w:t>35</w:t>
          </w:r>
        </w:p>
        <w:p>
          <w:pPr>
            <w:tabs>
              <w:tab w:val="right" w:leader="dot" w:pos="7936"/>
            </w:tabs>
            <w:spacing w:before="160" w:after="40" w:line="300" w:lineRule="auto"/>
            <w:ind w:left="0" w:right="400" w:hanging="0"/>
          </w:pPr>
          <w:r>
            <w:rPr>
              <w:rFonts w:ascii="바탕" w:hAnsi="바탕" w:eastAsia="바탕" w:cs="바탕"/>
              <w:sz w:val="21"/>
              <w:szCs w:val="21"/>
              <w:b/>
            </w:rPr>
            <w:t xml:space="preserve">제4장 금융 특성이 예측구간에 미치는 영향 (RQ1)</w:t>
          </w:r>
          <w:r>
            <w:rPr>
              <w:rFonts w:ascii="바탕" w:hAnsi="바탕" w:eastAsia="바탕" w:cs="바탕"/>
              <w:sz w:val="21"/>
              <w:szCs w:val="21"/>
            </w:rPr>
            <w:tab/>
            <w:t>36</w:t>
          </w:r>
        </w:p>
        <w:p>
          <w:pPr>
            <w:tabs>
              <w:tab w:val="right" w:leader="dot" w:pos="7936"/>
            </w:tabs>
            <w:spacing w:before="0" w:after="40" w:line="300" w:lineRule="auto"/>
            <w:ind w:left="300" w:right="400" w:hanging="0"/>
          </w:pPr>
          <w:r>
            <w:rPr>
              <w:rFonts w:ascii="바탕" w:hAnsi="바탕" w:eastAsia="바탕" w:cs="바탕"/>
              <w:sz w:val="21"/>
              <w:szCs w:val="21"/>
            </w:rPr>
            <w:t xml:space="preserve">4.1 실험 절차 점검</w:t>
          </w:r>
          <w:r>
            <w:rPr>
              <w:rFonts w:ascii="바탕" w:hAnsi="바탕" w:eastAsia="바탕" w:cs="바탕"/>
              <w:sz w:val="21"/>
              <w:szCs w:val="21"/>
            </w:rPr>
            <w:tab/>
            <w:t>36</w:t>
          </w:r>
        </w:p>
        <w:p>
          <w:pPr>
            <w:tabs>
              <w:tab w:val="right" w:leader="dot" w:pos="7936"/>
            </w:tabs>
            <w:spacing w:before="0" w:after="40" w:line="300" w:lineRule="auto"/>
            <w:ind w:left="300" w:right="400" w:hanging="0"/>
          </w:pPr>
          <w:r>
            <w:rPr>
              <w:rFonts w:ascii="바탕" w:hAnsi="바탕" w:eastAsia="바탕" w:cs="바탕"/>
              <w:sz w:val="21"/>
              <w:szCs w:val="21"/>
            </w:rPr>
            <w:t xml:space="preserve">4.2 기준 상태(L1)의 보정 전 커버리지</w:t>
          </w:r>
          <w:r>
            <w:rPr>
              <w:rFonts w:ascii="바탕" w:hAnsi="바탕" w:eastAsia="바탕" w:cs="바탕"/>
              <w:sz w:val="21"/>
              <w:szCs w:val="21"/>
            </w:rPr>
            <w:tab/>
            <w:t>37</w:t>
          </w:r>
        </w:p>
        <w:p>
          <w:pPr>
            <w:tabs>
              <w:tab w:val="right" w:leader="dot" w:pos="7936"/>
            </w:tabs>
            <w:spacing w:before="0" w:after="40" w:line="300" w:lineRule="auto"/>
            <w:ind w:left="300" w:right="400" w:hanging="0"/>
          </w:pPr>
          <w:r>
            <w:rPr>
              <w:rFonts w:ascii="바탕" w:hAnsi="바탕" w:eastAsia="바탕" w:cs="바탕"/>
              <w:sz w:val="21"/>
              <w:szCs w:val="21"/>
            </w:rPr>
            <w:t xml:space="preserve">4.3 특성 강도에 따른 커버리지 변화 (H1~H3b)</w:t>
          </w:r>
          <w:r>
            <w:rPr>
              <w:rFonts w:ascii="바탕" w:hAnsi="바탕" w:eastAsia="바탕" w:cs="바탕"/>
              <w:sz w:val="21"/>
              <w:szCs w:val="21"/>
            </w:rPr>
            <w:tab/>
            <w:t>40</w:t>
          </w:r>
        </w:p>
        <w:p>
          <w:pPr>
            <w:tabs>
              <w:tab w:val="right" w:leader="dot" w:pos="7936"/>
            </w:tabs>
            <w:spacing w:before="0" w:after="40" w:line="300" w:lineRule="auto"/>
            <w:ind w:left="600" w:right="400" w:hanging="0"/>
          </w:pPr>
          <w:r>
            <w:rPr>
              <w:rFonts w:ascii="바탕" w:hAnsi="바탕" w:eastAsia="바탕" w:cs="바탕"/>
              <w:sz w:val="21"/>
              <w:szCs w:val="21"/>
            </w:rPr>
            <w:t xml:space="preserve">4.3.1 변동성 군집(H1)의 영향</w:t>
          </w:r>
          <w:r>
            <w:rPr>
              <w:rFonts w:ascii="바탕" w:hAnsi="바탕" w:eastAsia="바탕" w:cs="바탕"/>
              <w:sz w:val="21"/>
              <w:szCs w:val="21"/>
            </w:rPr>
            <w:tab/>
            <w:t>41</w:t>
          </w:r>
        </w:p>
        <w:p>
          <w:pPr>
            <w:tabs>
              <w:tab w:val="right" w:leader="dot" w:pos="7936"/>
            </w:tabs>
            <w:spacing w:before="0" w:after="40" w:line="300" w:lineRule="auto"/>
            <w:ind w:left="600" w:right="400" w:hanging="0"/>
          </w:pPr>
          <w:r>
            <w:rPr>
              <w:rFonts w:ascii="바탕" w:hAnsi="바탕" w:eastAsia="바탕" w:cs="바탕"/>
              <w:sz w:val="21"/>
              <w:szCs w:val="21"/>
            </w:rPr>
            <w:t xml:space="preserve">4.3.2 두꺼운 꼬리(H2)의 영향</w:t>
          </w:r>
          <w:r>
            <w:rPr>
              <w:rFonts w:ascii="바탕" w:hAnsi="바탕" w:eastAsia="바탕" w:cs="바탕"/>
              <w:sz w:val="21"/>
              <w:szCs w:val="21"/>
            </w:rPr>
            <w:tab/>
            <w:t>42</w:t>
          </w:r>
        </w:p>
        <w:p>
          <w:pPr>
            <w:tabs>
              <w:tab w:val="right" w:leader="dot" w:pos="7936"/>
            </w:tabs>
            <w:spacing w:before="0" w:after="40" w:line="300" w:lineRule="auto"/>
            <w:ind w:left="600" w:right="400" w:hanging="0"/>
          </w:pPr>
          <w:r>
            <w:rPr>
              <w:rFonts w:ascii="바탕" w:hAnsi="바탕" w:eastAsia="바탕" w:cs="바탕"/>
              <w:sz w:val="21"/>
              <w:szCs w:val="21"/>
            </w:rPr>
            <w:t xml:space="preserve">4.3.3 국면 전환 빈도(H3a)와 크기(H3b)의 영향</w:t>
          </w:r>
          <w:r>
            <w:rPr>
              <w:rFonts w:ascii="바탕" w:hAnsi="바탕" w:eastAsia="바탕" w:cs="바탕"/>
              <w:sz w:val="21"/>
              <w:szCs w:val="21"/>
            </w:rPr>
            <w:tab/>
            <w:t>44</w:t>
          </w:r>
        </w:p>
        <w:p>
          <w:pPr>
            <w:tabs>
              <w:tab w:val="right" w:leader="dot" w:pos="7936"/>
            </w:tabs>
            <w:spacing w:before="0" w:after="40" w:line="300" w:lineRule="auto"/>
            <w:ind w:left="300" w:right="400" w:hanging="0"/>
          </w:pPr>
          <w:r>
            <w:rPr>
              <w:rFonts w:ascii="바탕" w:hAnsi="바탕" w:eastAsia="바탕" w:cs="바탕"/>
              <w:sz w:val="21"/>
              <w:szCs w:val="21"/>
            </w:rPr>
            <w:t xml:space="preserve">4.4 특성 간 결손 비교 (H4)</w:t>
          </w:r>
          <w:r>
            <w:rPr>
              <w:rFonts w:ascii="바탕" w:hAnsi="바탕" w:eastAsia="바탕" w:cs="바탕"/>
              <w:sz w:val="21"/>
              <w:szCs w:val="21"/>
            </w:rPr>
            <w:tab/>
            <w:t>45</w:t>
          </w:r>
        </w:p>
        <w:p>
          <w:pPr>
            <w:tabs>
              <w:tab w:val="right" w:leader="dot" w:pos="7936"/>
            </w:tabs>
            <w:spacing w:before="0" w:after="40" w:line="300" w:lineRule="auto"/>
            <w:ind w:left="300" w:right="400" w:hanging="0"/>
          </w:pPr>
          <w:r>
            <w:rPr>
              <w:rFonts w:ascii="바탕" w:hAnsi="바탕" w:eastAsia="바탕" w:cs="바탕"/>
              <w:sz w:val="21"/>
              <w:szCs w:val="21"/>
            </w:rPr>
            <w:t xml:space="preserve">4.5 소결</w:t>
          </w:r>
          <w:r>
            <w:rPr>
              <w:rFonts w:ascii="바탕" w:hAnsi="바탕" w:eastAsia="바탕" w:cs="바탕"/>
              <w:sz w:val="21"/>
              <w:szCs w:val="21"/>
            </w:rPr>
            <w:tab/>
            <w:t>47</w:t>
          </w:r>
        </w:p>
        <w:p>
          <w:pPr>
            <w:tabs>
              <w:tab w:val="right" w:leader="dot" w:pos="7936"/>
            </w:tabs>
            <w:spacing w:before="160" w:after="40" w:line="300" w:lineRule="auto"/>
            <w:ind w:left="0" w:right="400" w:hanging="0"/>
          </w:pPr>
          <w:r>
            <w:rPr>
              <w:rFonts w:ascii="바탕" w:hAnsi="바탕" w:eastAsia="바탕" w:cs="바탕"/>
              <w:sz w:val="21"/>
              <w:szCs w:val="21"/>
              <w:b/>
            </w:rPr>
            <w:t xml:space="preserve">제5장 실제 주가에서의 예측구간 평가 (RQ2)</w:t>
          </w:r>
          <w:r>
            <w:rPr>
              <w:rFonts w:ascii="바탕" w:hAnsi="바탕" w:eastAsia="바탕" w:cs="바탕"/>
              <w:sz w:val="21"/>
              <w:szCs w:val="21"/>
            </w:rPr>
            <w:tab/>
            <w:t>48</w:t>
          </w:r>
        </w:p>
        <w:p>
          <w:pPr>
            <w:tabs>
              <w:tab w:val="right" w:leader="dot" w:pos="7936"/>
            </w:tabs>
            <w:spacing w:before="0" w:after="40" w:line="300" w:lineRule="auto"/>
            <w:ind w:left="300" w:right="400" w:hanging="0"/>
          </w:pPr>
          <w:r>
            <w:rPr>
              <w:rFonts w:ascii="바탕" w:hAnsi="바탕" w:eastAsia="바탕" w:cs="바탕"/>
              <w:sz w:val="21"/>
              <w:szCs w:val="21"/>
            </w:rPr>
            <w:t xml:space="preserve">5.1 보정 전 커버리지</w:t>
          </w:r>
          <w:r>
            <w:rPr>
              <w:rFonts w:ascii="바탕" w:hAnsi="바탕" w:eastAsia="바탕" w:cs="바탕"/>
              <w:sz w:val="21"/>
              <w:szCs w:val="21"/>
            </w:rPr>
            <w:tab/>
            <w:t>48</w:t>
          </w:r>
        </w:p>
        <w:p>
          <w:pPr>
            <w:tabs>
              <w:tab w:val="right" w:leader="dot" w:pos="7936"/>
            </w:tabs>
            <w:spacing w:before="0" w:after="40" w:line="300" w:lineRule="auto"/>
            <w:ind w:left="300" w:right="400" w:hanging="0"/>
          </w:pPr>
          <w:r>
            <w:rPr>
              <w:rFonts w:ascii="바탕" w:hAnsi="바탕" w:eastAsia="바탕" w:cs="바탕"/>
              <w:sz w:val="21"/>
              <w:szCs w:val="21"/>
            </w:rPr>
            <w:t xml:space="preserve">5.2 과거변동(RW) 대비 분위수 손실 (H5)</w:t>
          </w:r>
          <w:r>
            <w:rPr>
              <w:rFonts w:ascii="바탕" w:hAnsi="바탕" w:eastAsia="바탕" w:cs="바탕"/>
              <w:sz w:val="21"/>
              <w:szCs w:val="21"/>
            </w:rPr>
            <w:tab/>
            <w:t>51</w:t>
          </w:r>
        </w:p>
        <w:p>
          <w:pPr>
            <w:tabs>
              <w:tab w:val="right" w:leader="dot" w:pos="7936"/>
            </w:tabs>
            <w:spacing w:before="0" w:after="40" w:line="300" w:lineRule="auto"/>
            <w:ind w:left="300" w:right="400" w:hanging="0"/>
          </w:pPr>
          <w:r>
            <w:rPr>
              <w:rFonts w:ascii="바탕" w:hAnsi="바탕" w:eastAsia="바탕" w:cs="바탕"/>
              <w:sz w:val="21"/>
              <w:szCs w:val="21"/>
            </w:rPr>
            <w:t xml:space="preserve">5.3 모델 공개 이후 기간 점검</w:t>
          </w:r>
          <w:r>
            <w:rPr>
              <w:rFonts w:ascii="바탕" w:hAnsi="바탕" w:eastAsia="바탕" w:cs="바탕"/>
              <w:sz w:val="21"/>
              <w:szCs w:val="21"/>
            </w:rPr>
            <w:tab/>
            <w:t>53</w:t>
          </w:r>
        </w:p>
        <w:p>
          <w:pPr>
            <w:tabs>
              <w:tab w:val="right" w:leader="dot" w:pos="7936"/>
            </w:tabs>
            <w:spacing w:before="0" w:after="40" w:line="300" w:lineRule="auto"/>
            <w:ind w:left="300" w:right="400" w:hanging="0"/>
          </w:pPr>
          <w:r>
            <w:rPr>
              <w:rFonts w:ascii="바탕" w:hAnsi="바탕" w:eastAsia="바탕" w:cs="바탕"/>
              <w:sz w:val="21"/>
              <w:szCs w:val="21"/>
            </w:rPr>
            <w:t xml:space="preserve">5.4 합성 데이터 실험과 실증 결과의 대응</w:t>
          </w:r>
          <w:r>
            <w:rPr>
              <w:rFonts w:ascii="바탕" w:hAnsi="바탕" w:eastAsia="바탕" w:cs="바탕"/>
              <w:sz w:val="21"/>
              <w:szCs w:val="21"/>
            </w:rPr>
            <w:tab/>
            <w:t>54</w:t>
          </w:r>
        </w:p>
        <w:p>
          <w:pPr>
            <w:tabs>
              <w:tab w:val="right" w:leader="dot" w:pos="7936"/>
            </w:tabs>
            <w:spacing w:before="0" w:after="40" w:line="300" w:lineRule="auto"/>
            <w:ind w:left="300" w:right="400" w:hanging="0"/>
          </w:pPr>
          <w:r>
            <w:rPr>
              <w:rFonts w:ascii="바탕" w:hAnsi="바탕" w:eastAsia="바탕" w:cs="바탕"/>
              <w:sz w:val="21"/>
              <w:szCs w:val="21"/>
            </w:rPr>
            <w:t xml:space="preserve">5.5 탐색 분석: 예측구간과 투자 성과</w:t>
          </w:r>
          <w:r>
            <w:rPr>
              <w:rFonts w:ascii="바탕" w:hAnsi="바탕" w:eastAsia="바탕" w:cs="바탕"/>
              <w:sz w:val="21"/>
              <w:szCs w:val="21"/>
            </w:rPr>
            <w:tab/>
            <w:t>56</w:t>
          </w:r>
        </w:p>
        <w:p>
          <w:pPr>
            <w:tabs>
              <w:tab w:val="right" w:leader="dot" w:pos="7936"/>
            </w:tabs>
            <w:spacing w:before="0" w:after="40" w:line="300" w:lineRule="auto"/>
            <w:ind w:left="600" w:right="400" w:hanging="0"/>
          </w:pPr>
          <w:r>
            <w:rPr>
              <w:rFonts w:ascii="바탕" w:hAnsi="바탕" w:eastAsia="바탕" w:cs="바탕"/>
              <w:sz w:val="21"/>
              <w:szCs w:val="21"/>
            </w:rPr>
            <w:t xml:space="preserve">5.5.1 방향 매매</w:t>
          </w:r>
          <w:r>
            <w:rPr>
              <w:rFonts w:ascii="바탕" w:hAnsi="바탕" w:eastAsia="바탕" w:cs="바탕"/>
              <w:sz w:val="21"/>
              <w:szCs w:val="21"/>
            </w:rPr>
            <w:tab/>
            <w:t>57</w:t>
          </w:r>
        </w:p>
        <w:p>
          <w:pPr>
            <w:tabs>
              <w:tab w:val="right" w:leader="dot" w:pos="7936"/>
            </w:tabs>
            <w:spacing w:before="0" w:after="40" w:line="300" w:lineRule="auto"/>
            <w:ind w:left="600" w:right="400" w:hanging="0"/>
          </w:pPr>
          <w:r>
            <w:rPr>
              <w:rFonts w:ascii="바탕" w:hAnsi="바탕" w:eastAsia="바탕" w:cs="바탕"/>
              <w:sz w:val="21"/>
              <w:szCs w:val="21"/>
            </w:rPr>
            <w:t xml:space="preserve">5.5.2 변동성 목표 비중 조절</w:t>
          </w:r>
          <w:r>
            <w:rPr>
              <w:rFonts w:ascii="바탕" w:hAnsi="바탕" w:eastAsia="바탕" w:cs="바탕"/>
              <w:sz w:val="21"/>
              <w:szCs w:val="21"/>
            </w:rPr>
            <w:tab/>
            <w:t>59</w:t>
          </w:r>
        </w:p>
        <w:p>
          <w:pPr>
            <w:tabs>
              <w:tab w:val="right" w:leader="dot" w:pos="7936"/>
            </w:tabs>
            <w:spacing w:before="0" w:after="40" w:line="300" w:lineRule="auto"/>
            <w:ind w:left="600" w:right="400" w:hanging="0"/>
          </w:pPr>
          <w:r>
            <w:rPr>
              <w:rFonts w:ascii="바탕" w:hAnsi="바탕" w:eastAsia="바탕" w:cs="바탕"/>
              <w:sz w:val="21"/>
              <w:szCs w:val="21"/>
            </w:rPr>
            <w:t xml:space="preserve">5.5.3 VaR 10% 백테스트</w:t>
          </w:r>
          <w:r>
            <w:rPr>
              <w:rFonts w:ascii="바탕" w:hAnsi="바탕" w:eastAsia="바탕" w:cs="바탕"/>
              <w:sz w:val="21"/>
              <w:szCs w:val="21"/>
            </w:rPr>
            <w:tab/>
            <w:t>61</w:t>
          </w:r>
        </w:p>
        <w:p>
          <w:pPr>
            <w:tabs>
              <w:tab w:val="right" w:leader="dot" w:pos="7936"/>
            </w:tabs>
            <w:spacing w:before="0" w:after="40" w:line="300" w:lineRule="auto"/>
            <w:ind w:left="600" w:right="400" w:hanging="0"/>
          </w:pPr>
          <w:r>
            <w:rPr>
              <w:rFonts w:ascii="바탕" w:hAnsi="바탕" w:eastAsia="바탕" w:cs="바탕"/>
              <w:sz w:val="21"/>
              <w:szCs w:val="21"/>
            </w:rPr>
            <w:t xml:space="preserve">5.5.4 해석과 한계</w:t>
          </w:r>
          <w:r>
            <w:rPr>
              <w:rFonts w:ascii="바탕" w:hAnsi="바탕" w:eastAsia="바탕" w:cs="바탕"/>
              <w:sz w:val="21"/>
              <w:szCs w:val="21"/>
            </w:rPr>
            <w:tab/>
            <w:t>62</w:t>
          </w:r>
        </w:p>
        <w:p>
          <w:pPr>
            <w:tabs>
              <w:tab w:val="right" w:leader="dot" w:pos="7936"/>
            </w:tabs>
            <w:spacing w:before="0" w:after="40" w:line="300" w:lineRule="auto"/>
            <w:ind w:left="300" w:right="400" w:hanging="0"/>
          </w:pPr>
          <w:r>
            <w:rPr>
              <w:rFonts w:ascii="바탕" w:hAnsi="바탕" w:eastAsia="바탕" w:cs="바탕"/>
              <w:sz w:val="21"/>
              <w:szCs w:val="21"/>
            </w:rPr>
            <w:t xml:space="preserve">5.6 소결</w:t>
          </w:r>
          <w:r>
            <w:rPr>
              <w:rFonts w:ascii="바탕" w:hAnsi="바탕" w:eastAsia="바탕" w:cs="바탕"/>
              <w:sz w:val="21"/>
              <w:szCs w:val="21"/>
            </w:rPr>
            <w:tab/>
            <w:t>63</w:t>
          </w:r>
        </w:p>
        <w:p>
          <w:pPr>
            <w:tabs>
              <w:tab w:val="right" w:leader="dot" w:pos="7936"/>
            </w:tabs>
            <w:spacing w:before="160" w:after="40" w:line="300" w:lineRule="auto"/>
            <w:ind w:left="0" w:right="400" w:hanging="0"/>
          </w:pPr>
          <w:r>
            <w:rPr>
              <w:rFonts w:ascii="바탕" w:hAnsi="바탕" w:eastAsia="바탕" w:cs="바탕"/>
              <w:sz w:val="21"/>
              <w:szCs w:val="21"/>
              <w:b/>
            </w:rPr>
            <w:t xml:space="preserve">제6장 사후보정을 통한 커버리지 복원 (RQ3)</w:t>
          </w:r>
          <w:r>
            <w:rPr>
              <w:rFonts w:ascii="바탕" w:hAnsi="바탕" w:eastAsia="바탕" w:cs="바탕"/>
              <w:sz w:val="21"/>
              <w:szCs w:val="21"/>
            </w:rPr>
            <w:tab/>
            <w:t>64</w:t>
          </w:r>
        </w:p>
        <w:p>
          <w:pPr>
            <w:tabs>
              <w:tab w:val="right" w:leader="dot" w:pos="7936"/>
            </w:tabs>
            <w:spacing w:before="0" w:after="40" w:line="300" w:lineRule="auto"/>
            <w:ind w:left="300" w:right="400" w:hanging="0"/>
          </w:pPr>
          <w:r>
            <w:rPr>
              <w:rFonts w:ascii="바탕" w:hAnsi="바탕" w:eastAsia="바탕" w:cs="바탕"/>
              <w:sz w:val="21"/>
              <w:szCs w:val="21"/>
            </w:rPr>
            <w:t xml:space="preserve">6.1 합성 데이터에서의 보정 결과</w:t>
          </w:r>
          <w:r>
            <w:rPr>
              <w:rFonts w:ascii="바탕" w:hAnsi="바탕" w:eastAsia="바탕" w:cs="바탕"/>
              <w:sz w:val="21"/>
              <w:szCs w:val="21"/>
            </w:rPr>
            <w:tab/>
            <w:t>65</w:t>
          </w:r>
        </w:p>
        <w:p>
          <w:pPr>
            <w:tabs>
              <w:tab w:val="right" w:leader="dot" w:pos="7936"/>
            </w:tabs>
            <w:spacing w:before="0" w:after="40" w:line="300" w:lineRule="auto"/>
            <w:ind w:left="300" w:right="400" w:hanging="0"/>
          </w:pPr>
          <w:r>
            <w:rPr>
              <w:rFonts w:ascii="바탕" w:hAnsi="바탕" w:eastAsia="바탕" w:cs="바탕"/>
              <w:sz w:val="21"/>
              <w:szCs w:val="21"/>
            </w:rPr>
            <w:t xml:space="preserve">6.2 실제 주식에서의 보정 결과</w:t>
          </w:r>
          <w:r>
            <w:rPr>
              <w:rFonts w:ascii="바탕" w:hAnsi="바탕" w:eastAsia="바탕" w:cs="바탕"/>
              <w:sz w:val="21"/>
              <w:szCs w:val="21"/>
            </w:rPr>
            <w:tab/>
            <w:t>67</w:t>
          </w:r>
        </w:p>
        <w:p>
          <w:pPr>
            <w:tabs>
              <w:tab w:val="right" w:leader="dot" w:pos="7936"/>
            </w:tabs>
            <w:spacing w:before="0" w:after="40" w:line="300" w:lineRule="auto"/>
            <w:ind w:left="300" w:right="400" w:hanging="0"/>
          </w:pPr>
          <w:r>
            <w:rPr>
              <w:rFonts w:ascii="바탕" w:hAnsi="바탕" w:eastAsia="바탕" w:cs="바탕"/>
              <w:sz w:val="21"/>
              <w:szCs w:val="21"/>
            </w:rPr>
            <w:t xml:space="preserve">6.3 보정에 따른 구간 폭 변화</w:t>
          </w:r>
          <w:r>
            <w:rPr>
              <w:rFonts w:ascii="바탕" w:hAnsi="바탕" w:eastAsia="바탕" w:cs="바탕"/>
              <w:sz w:val="21"/>
              <w:szCs w:val="21"/>
            </w:rPr>
            <w:tab/>
            <w:t>68</w:t>
          </w:r>
        </w:p>
        <w:p>
          <w:pPr>
            <w:tabs>
              <w:tab w:val="right" w:leader="dot" w:pos="7936"/>
            </w:tabs>
            <w:spacing w:before="0" w:after="40" w:line="300" w:lineRule="auto"/>
            <w:ind w:left="300" w:right="400" w:hanging="0"/>
          </w:pPr>
          <w:r>
            <w:rPr>
              <w:rFonts w:ascii="바탕" w:hAnsi="바탕" w:eastAsia="바탕" w:cs="바탕"/>
              <w:sz w:val="21"/>
              <w:szCs w:val="21"/>
            </w:rPr>
            <w:t xml:space="preserve">6.4 일괄 확대 대조군과의 비교</w:t>
          </w:r>
          <w:r>
            <w:rPr>
              <w:rFonts w:ascii="바탕" w:hAnsi="바탕" w:eastAsia="바탕" w:cs="바탕"/>
              <w:sz w:val="21"/>
              <w:szCs w:val="21"/>
            </w:rPr>
            <w:tab/>
            <w:t>69</w:t>
          </w:r>
        </w:p>
        <w:p>
          <w:pPr>
            <w:tabs>
              <w:tab w:val="right" w:leader="dot" w:pos="7936"/>
            </w:tabs>
            <w:spacing w:before="0" w:after="40" w:line="300" w:lineRule="auto"/>
            <w:ind w:left="300" w:right="400" w:hanging="0"/>
          </w:pPr>
          <w:r>
            <w:rPr>
              <w:rFonts w:ascii="바탕" w:hAnsi="바탕" w:eastAsia="바탕" w:cs="바탕"/>
              <w:sz w:val="21"/>
              <w:szCs w:val="21"/>
            </w:rPr>
            <w:t xml:space="preserve">6.5 GARCH-t 비정상 값에 대한 민감도 분석</w:t>
          </w:r>
          <w:r>
            <w:rPr>
              <w:rFonts w:ascii="바탕" w:hAnsi="바탕" w:eastAsia="바탕" w:cs="바탕"/>
              <w:sz w:val="21"/>
              <w:szCs w:val="21"/>
            </w:rPr>
            <w:tab/>
            <w:t>70</w:t>
          </w:r>
        </w:p>
        <w:p>
          <w:pPr>
            <w:tabs>
              <w:tab w:val="right" w:leader="dot" w:pos="7936"/>
            </w:tabs>
            <w:spacing w:before="0" w:after="40" w:line="300" w:lineRule="auto"/>
            <w:ind w:left="300" w:right="400" w:hanging="0"/>
          </w:pPr>
          <w:r>
            <w:rPr>
              <w:rFonts w:ascii="바탕" w:hAnsi="바탕" w:eastAsia="바탕" w:cs="바탕"/>
              <w:sz w:val="21"/>
              <w:szCs w:val="21"/>
            </w:rPr>
            <w:t xml:space="preserve">6.6 실무적 의미</w:t>
          </w:r>
          <w:r>
            <w:rPr>
              <w:rFonts w:ascii="바탕" w:hAnsi="바탕" w:eastAsia="바탕" w:cs="바탕"/>
              <w:sz w:val="21"/>
              <w:szCs w:val="21"/>
            </w:rPr>
            <w:tab/>
            <w:t>70</w:t>
          </w:r>
        </w:p>
        <w:p>
          <w:pPr>
            <w:tabs>
              <w:tab w:val="right" w:leader="dot" w:pos="7936"/>
            </w:tabs>
            <w:spacing w:before="0" w:after="40" w:line="300" w:lineRule="auto"/>
            <w:ind w:left="300" w:right="400" w:hanging="0"/>
          </w:pPr>
          <w:r>
            <w:rPr>
              <w:rFonts w:ascii="바탕" w:hAnsi="바탕" w:eastAsia="바탕" w:cs="바탕"/>
              <w:sz w:val="21"/>
              <w:szCs w:val="21"/>
            </w:rPr>
            <w:t xml:space="preserve">6.7 소결</w:t>
          </w:r>
          <w:r>
            <w:rPr>
              <w:rFonts w:ascii="바탕" w:hAnsi="바탕" w:eastAsia="바탕" w:cs="바탕"/>
              <w:sz w:val="21"/>
              <w:szCs w:val="21"/>
            </w:rPr>
            <w:tab/>
            <w:t>72</w:t>
          </w:r>
        </w:p>
        <w:p>
          <w:pPr>
            <w:tabs>
              <w:tab w:val="right" w:leader="dot" w:pos="7936"/>
            </w:tabs>
            <w:spacing w:before="160" w:after="40" w:line="300" w:lineRule="auto"/>
            <w:ind w:left="0" w:right="400" w:hanging="0"/>
          </w:pPr>
          <w:r>
            <w:rPr>
              <w:rFonts w:ascii="바탕" w:hAnsi="바탕" w:eastAsia="바탕" w:cs="바탕"/>
              <w:sz w:val="21"/>
              <w:szCs w:val="21"/>
              <w:b/>
            </w:rPr>
            <w:t xml:space="preserve">제7장 결론</w:t>
          </w:r>
          <w:r>
            <w:rPr>
              <w:rFonts w:ascii="바탕" w:hAnsi="바탕" w:eastAsia="바탕" w:cs="바탕"/>
              <w:sz w:val="21"/>
              <w:szCs w:val="21"/>
            </w:rPr>
            <w:tab/>
            <w:t>73</w:t>
          </w:r>
        </w:p>
        <w:p>
          <w:pPr>
            <w:tabs>
              <w:tab w:val="right" w:leader="dot" w:pos="7936"/>
            </w:tabs>
            <w:spacing w:before="0" w:after="40" w:line="300" w:lineRule="auto"/>
            <w:ind w:left="300" w:right="400" w:hanging="0"/>
          </w:pPr>
          <w:r>
            <w:rPr>
              <w:rFonts w:ascii="바탕" w:hAnsi="바탕" w:eastAsia="바탕" w:cs="바탕"/>
              <w:sz w:val="21"/>
              <w:szCs w:val="21"/>
            </w:rPr>
            <w:t xml:space="preserve">7.1 연구 요약</w:t>
          </w:r>
          <w:r>
            <w:rPr>
              <w:rFonts w:ascii="바탕" w:hAnsi="바탕" w:eastAsia="바탕" w:cs="바탕"/>
              <w:sz w:val="21"/>
              <w:szCs w:val="21"/>
            </w:rPr>
            <w:tab/>
            <w:t>73</w:t>
          </w:r>
        </w:p>
        <w:p>
          <w:pPr>
            <w:tabs>
              <w:tab w:val="right" w:leader="dot" w:pos="7936"/>
            </w:tabs>
            <w:spacing w:before="0" w:after="40" w:line="300" w:lineRule="auto"/>
            <w:ind w:left="300" w:right="400" w:hanging="0"/>
          </w:pPr>
          <w:r>
            <w:rPr>
              <w:rFonts w:ascii="바탕" w:hAnsi="바탕" w:eastAsia="바탕" w:cs="바탕"/>
              <w:sz w:val="21"/>
              <w:szCs w:val="21"/>
            </w:rPr>
            <w:t xml:space="preserve">7.2 실무적 시사점</w:t>
          </w:r>
          <w:r>
            <w:rPr>
              <w:rFonts w:ascii="바탕" w:hAnsi="바탕" w:eastAsia="바탕" w:cs="바탕"/>
              <w:sz w:val="21"/>
              <w:szCs w:val="21"/>
            </w:rPr>
            <w:tab/>
            <w:t>74</w:t>
          </w:r>
        </w:p>
        <w:p>
          <w:pPr>
            <w:tabs>
              <w:tab w:val="right" w:leader="dot" w:pos="7936"/>
            </w:tabs>
            <w:spacing w:before="0" w:after="40" w:line="300" w:lineRule="auto"/>
            <w:ind w:left="300" w:right="400" w:hanging="0"/>
          </w:pPr>
          <w:r>
            <w:rPr>
              <w:rFonts w:ascii="바탕" w:hAnsi="바탕" w:eastAsia="바탕" w:cs="바탕"/>
              <w:sz w:val="21"/>
              <w:szCs w:val="21"/>
            </w:rPr>
            <w:t xml:space="preserve">7.3 한계</w:t>
          </w:r>
          <w:r>
            <w:rPr>
              <w:rFonts w:ascii="바탕" w:hAnsi="바탕" w:eastAsia="바탕" w:cs="바탕"/>
              <w:sz w:val="21"/>
              <w:szCs w:val="21"/>
            </w:rPr>
            <w:tab/>
            <w:t>75</w:t>
          </w:r>
        </w:p>
        <w:p>
          <w:pPr>
            <w:tabs>
              <w:tab w:val="right" w:leader="dot" w:pos="7936"/>
            </w:tabs>
            <w:spacing w:before="0" w:after="40" w:line="300" w:lineRule="auto"/>
            <w:ind w:left="300" w:right="400" w:hanging="0"/>
          </w:pPr>
          <w:r>
            <w:rPr>
              <w:rFonts w:ascii="바탕" w:hAnsi="바탕" w:eastAsia="바탕" w:cs="바탕"/>
              <w:sz w:val="21"/>
              <w:szCs w:val="21"/>
            </w:rPr>
            <w:t xml:space="preserve">7.4 향후 연구</w:t>
          </w:r>
          <w:r>
            <w:rPr>
              <w:rFonts w:ascii="바탕" w:hAnsi="바탕" w:eastAsia="바탕" w:cs="바탕"/>
              <w:sz w:val="21"/>
              <w:szCs w:val="21"/>
            </w:rPr>
            <w:tab/>
            <w:t>76</w:t>
          </w:r>
        </w:p>
        <w:p>
          <w:pPr>
            <w:tabs>
              <w:tab w:val="right" w:leader="dot" w:pos="7936"/>
            </w:tabs>
            <w:spacing w:before="0" w:after="40" w:line="300" w:lineRule="auto"/>
            <w:ind w:left="300" w:right="400" w:hanging="0"/>
          </w:pPr>
          <w:r>
            <w:rPr>
              <w:rFonts w:ascii="바탕" w:hAnsi="바탕" w:eastAsia="바탕" w:cs="바탕"/>
              <w:sz w:val="21"/>
              <w:szCs w:val="21"/>
            </w:rPr>
            <w:t xml:space="preserve">7.5 맺음말</w:t>
          </w:r>
          <w:r>
            <w:rPr>
              <w:rFonts w:ascii="바탕" w:hAnsi="바탕" w:eastAsia="바탕" w:cs="바탕"/>
              <w:sz w:val="21"/>
              <w:szCs w:val="21"/>
            </w:rPr>
            <w:tab/>
            <w:t>77</w:t>
          </w:r>
        </w:p>
        <w:p>
          <w:pPr>
            <w:tabs>
              <w:tab w:val="right" w:leader="dot" w:pos="7936"/>
            </w:tabs>
            <w:spacing w:before="160" w:after="40" w:line="300" w:lineRule="auto"/>
            <w:ind w:left="0" w:right="400" w:hanging="0"/>
          </w:pPr>
          <w:r>
            <w:rPr>
              <w:rFonts w:ascii="바탕" w:hAnsi="바탕" w:eastAsia="바탕" w:cs="바탕"/>
              <w:sz w:val="21"/>
              <w:szCs w:val="21"/>
              <w:b/>
            </w:rPr>
            <w:t xml:space="preserve">참고문헌</w:t>
          </w:r>
          <w:r>
            <w:rPr>
              <w:rFonts w:ascii="바탕" w:hAnsi="바탕" w:eastAsia="바탕" w:cs="바탕"/>
              <w:sz w:val="21"/>
              <w:szCs w:val="21"/>
            </w:rPr>
            <w:tab/>
            <w:t>78</w:t>
          </w:r>
        </w:p>
        <w:p>
          <w:pPr>
            <w:tabs>
              <w:tab w:val="right" w:leader="dot" w:pos="7936"/>
            </w:tabs>
            <w:spacing w:before="160" w:after="40" w:line="300" w:lineRule="auto"/>
            <w:ind w:left="0" w:right="400" w:hanging="0"/>
          </w:pPr>
          <w:r>
            <w:rPr>
              <w:rFonts w:ascii="바탕" w:hAnsi="바탕" w:eastAsia="바탕" w:cs="바탕"/>
              <w:sz w:val="21"/>
              <w:szCs w:val="21"/>
              <w:b/>
            </w:rPr>
            <w:t xml:space="preserve">부록 A. 실험 절차와 재현 정보</w:t>
          </w:r>
          <w:r>
            <w:rPr>
              <w:rFonts w:ascii="바탕" w:hAnsi="바탕" w:eastAsia="바탕" w:cs="바탕"/>
              <w:sz w:val="21"/>
              <w:szCs w:val="21"/>
            </w:rPr>
            <w:tab/>
            <w:t>81</w:t>
          </w:r>
        </w:p>
        <w:p>
          <w:pPr>
            <w:tabs>
              <w:tab w:val="right" w:leader="dot" w:pos="7936"/>
            </w:tabs>
            <w:spacing w:before="0" w:after="40" w:line="300" w:lineRule="auto"/>
            <w:ind w:left="600" w:right="400" w:hanging="0"/>
          </w:pPr>
          <w:r>
            <w:rPr>
              <w:rFonts w:ascii="바탕" w:hAnsi="바탕" w:eastAsia="바탕" w:cs="바탕"/>
              <w:sz w:val="21"/>
              <w:szCs w:val="21"/>
            </w:rPr>
            <w:t xml:space="preserve">A.1 실험 기록과 조치</w:t>
          </w:r>
          <w:r>
            <w:rPr>
              <w:rFonts w:ascii="바탕" w:hAnsi="바탕" w:eastAsia="바탕" w:cs="바탕"/>
              <w:sz w:val="21"/>
              <w:szCs w:val="21"/>
            </w:rPr>
            <w:tab/>
            <w:t>81</w:t>
          </w:r>
        </w:p>
        <w:p>
          <w:pPr>
            <w:tabs>
              <w:tab w:val="right" w:leader="dot" w:pos="7936"/>
            </w:tabs>
            <w:spacing w:before="0" w:after="40" w:line="300" w:lineRule="auto"/>
            <w:ind w:left="600" w:right="400" w:hanging="0"/>
          </w:pPr>
          <w:r>
            <w:rPr>
              <w:rFonts w:ascii="바탕" w:hAnsi="바탕" w:eastAsia="바탕" w:cs="바탕"/>
              <w:sz w:val="21"/>
              <w:szCs w:val="21"/>
            </w:rPr>
            <w:t xml:space="preserve">A.2 실행 환경 및 패키지 버전</w:t>
          </w:r>
          <w:r>
            <w:rPr>
              <w:rFonts w:ascii="바탕" w:hAnsi="바탕" w:eastAsia="바탕" w:cs="바탕"/>
              <w:sz w:val="21"/>
              <w:szCs w:val="21"/>
            </w:rPr>
            <w:tab/>
            <w:t>81</w:t>
          </w:r>
        </w:p>
        <w:p>
          <w:pPr>
            <w:tabs>
              <w:tab w:val="right" w:leader="dot" w:pos="7936"/>
            </w:tabs>
            <w:spacing w:before="0" w:after="40" w:line="300" w:lineRule="auto"/>
            <w:ind w:left="600" w:right="400" w:hanging="0"/>
          </w:pPr>
          <w:r>
            <w:rPr>
              <w:rFonts w:ascii="바탕" w:hAnsi="바탕" w:eastAsia="바탕" w:cs="바탕"/>
              <w:sz w:val="21"/>
              <w:szCs w:val="21"/>
            </w:rPr>
            <w:t xml:space="preserve">A.3 Chronos-T5 샘플링 설정의 점검과 조치</w:t>
          </w:r>
          <w:r>
            <w:rPr>
              <w:rFonts w:ascii="바탕" w:hAnsi="바탕" w:eastAsia="바탕" w:cs="바탕"/>
              <w:sz w:val="21"/>
              <w:szCs w:val="21"/>
            </w:rPr>
            <w:tab/>
            <w:t>82</w:t>
          </w:r>
        </w:p>
        <w:p>
          <w:pPr>
            <w:tabs>
              <w:tab w:val="right" w:leader="dot" w:pos="7936"/>
            </w:tabs>
            <w:spacing w:before="0" w:after="40" w:line="300" w:lineRule="auto"/>
            <w:ind w:left="600" w:right="400" w:hanging="0"/>
          </w:pPr>
          <w:r>
            <w:rPr>
              <w:rFonts w:ascii="바탕" w:hAnsi="바탕" w:eastAsia="바탕" w:cs="바탕"/>
              <w:sz w:val="21"/>
              <w:szCs w:val="21"/>
            </w:rPr>
            <w:t xml:space="preserve">A.4 그 밖의 추가 점검</w:t>
          </w:r>
          <w:r>
            <w:rPr>
              <w:rFonts w:ascii="바탕" w:hAnsi="바탕" w:eastAsia="바탕" w:cs="바탕"/>
              <w:sz w:val="21"/>
              <w:szCs w:val="21"/>
            </w:rPr>
            <w:tab/>
            <w:t>85</w:t>
          </w:r>
        </w:p>
        <w:p>
          <w:pPr>
            <w:tabs>
              <w:tab w:val="right" w:leader="dot" w:pos="7936"/>
            </w:tabs>
            <w:spacing w:before="160" w:after="40" w:line="300" w:lineRule="auto"/>
            <w:ind w:left="0" w:right="400" w:hanging="0"/>
          </w:pPr>
          <w:r>
            <w:rPr>
              <w:rFonts w:ascii="바탕" w:hAnsi="바탕" w:eastAsia="바탕" w:cs="바탕"/>
              <w:sz w:val="21"/>
              <w:szCs w:val="21"/>
              <w:b/>
            </w:rPr>
            <w:t xml:space="preserve">부록 B. 특성 강도 비교(L5 − L3)</w:t>
          </w:r>
          <w:r>
            <w:rPr>
              <w:rFonts w:ascii="바탕" w:hAnsi="바탕" w:eastAsia="바탕" w:cs="바탕"/>
              <w:sz w:val="21"/>
              <w:szCs w:val="21"/>
            </w:rPr>
            <w:tab/>
            <w:t>87</w:t>
          </w:r>
        </w:p>
        <w:p>
          <w:pPr>
            <w:tabs>
              <w:tab w:val="right" w:leader="dot" w:pos="7936"/>
            </w:tabs>
            <w:spacing w:before="160" w:after="40" w:line="300" w:lineRule="auto"/>
            <w:ind w:left="0" w:right="400" w:hanging="0"/>
          </w:pPr>
          <w:r>
            <w:rPr>
              <w:rFonts w:ascii="바탕" w:hAnsi="바탕" w:eastAsia="바탕" w:cs="바탕"/>
              <w:sz w:val="21"/>
              <w:szCs w:val="21"/>
              <w:b/>
            </w:rPr>
            <w:t xml:space="preserve">부록 C. 종목별 실제 커버리지</w:t>
          </w:r>
          <w:r>
            <w:rPr>
              <w:rFonts w:ascii="바탕" w:hAnsi="바탕" w:eastAsia="바탕" w:cs="바탕"/>
              <w:sz w:val="21"/>
              <w:szCs w:val="21"/>
            </w:rPr>
            <w:tab/>
            <w:t>88</w:t>
          </w:r>
        </w:p>
        <w:p>
          <w:pPr>
            <w:tabs>
              <w:tab w:val="right" w:leader="dot" w:pos="7936"/>
            </w:tabs>
            <w:spacing w:before="160" w:after="40" w:line="300" w:lineRule="auto"/>
            <w:ind w:left="0" w:right="400" w:hanging="0"/>
          </w:pPr>
          <w:r>
            <w:rPr>
              <w:rFonts w:ascii="바탕" w:hAnsi="바탕" w:eastAsia="바탕" w:cs="바탕"/>
              <w:sz w:val="21"/>
              <w:szCs w:val="21"/>
              <w:b/>
            </w:rPr>
            <w:t xml:space="preserve">ABSTRACT</w:t>
          </w:r>
          <w:r>
            <w:rPr>
              <w:rFonts w:ascii="바탕" w:hAnsi="바탕" w:eastAsia="바탕" w:cs="바탕"/>
              <w:sz w:val="21"/>
              <w:szCs w:val="21"/>
            </w:rPr>
            <w:tab/>
            <w:t>90</w:t>
          </w:r>
        </w:p>
        <w:p>
          <w:r>
            <w:fldChar w:fldCharType="end"/>
          </w:r>
        </w:p>
      </w:sdtContent>
    </w:sdt>
    <w:p>
      <w:pPr>
        <w:pageBreakBefore/>
        <w:spacing w:after="480"/>
        <w:jc w:val="center"/>
      </w:pPr>
      <w:r>
        <w:rPr>
          <w:rFonts w:ascii="바탕" w:cs="바탕" w:eastAsia="바탕" w:hAnsi="바탕"/>
          <w:b/>
          <w:bCs/>
          <w:sz w:val="32"/>
          <w:szCs w:val="32"/>
          <w:lang w:val="en-US" w:eastAsia="ko-KR"/>
        </w:rPr>
        <w:t xml:space="preserve">표 차례</w:t>
      </w:r>
    </w:p>
    <w:sdt>
      <w:sdtPr>
        <w:alias w:val="표 차례"/>
      </w:sdtPr>
      <w:sdtContent>
        <w:p>
          <w:r>
            <w:fldChar w:fldCharType="begin" w:dirty="true"/>
            <w:instrText xml:space="preserve">TOC \h \t "TableCaption,1"</w:instrText>
            <w:fldChar w:fldCharType="separate"/>
          </w:r>
        </w:p>
        <w:p>
          <w:pPr>
            <w:tabs>
              <w:tab w:val="right" w:leader="dot" w:pos="7936"/>
            </w:tabs>
            <w:spacing w:before="0" w:after="20" w:line="264" w:lineRule="auto"/>
            <w:ind w:left="0" w:right="400" w:hanging="0"/>
          </w:pPr>
          <w:r>
            <w:rPr>
              <w:rFonts w:ascii="바탕" w:hAnsi="바탕" w:eastAsia="바탕" w:cs="바탕"/>
              <w:sz w:val="21"/>
              <w:szCs w:val="21"/>
            </w:rPr>
            <w:t xml:space="preserve">표 2-1. 관련 연구 비교</w:t>
          </w:r>
          <w:r>
            <w:rPr>
              <w:rFonts w:ascii="바탕" w:hAnsi="바탕" w:eastAsia="바탕" w:cs="바탕"/>
              <w:sz w:val="21"/>
              <w:szCs w:val="21"/>
            </w:rPr>
            <w:tab/>
            <w:t>21</w:t>
          </w:r>
        </w:p>
        <w:p>
          <w:pPr>
            <w:tabs>
              <w:tab w:val="right" w:leader="dot" w:pos="7936"/>
            </w:tabs>
            <w:spacing w:before="0" w:after="20" w:line="264" w:lineRule="auto"/>
            <w:ind w:left="0" w:right="400" w:hanging="0"/>
          </w:pPr>
          <w:r>
            <w:rPr>
              <w:rFonts w:ascii="바탕" w:hAnsi="바탕" w:eastAsia="바탕" w:cs="바탕"/>
              <w:sz w:val="21"/>
              <w:szCs w:val="21"/>
            </w:rPr>
            <w:t xml:space="preserve">표 3-1. 예측 문제 설정</w:t>
          </w:r>
          <w:r>
            <w:rPr>
              <w:rFonts w:ascii="바탕" w:hAnsi="바탕" w:eastAsia="바탕" w:cs="바탕"/>
              <w:sz w:val="21"/>
              <w:szCs w:val="21"/>
            </w:rPr>
            <w:tab/>
            <w:t>22</w:t>
          </w:r>
        </w:p>
        <w:p>
          <w:pPr>
            <w:tabs>
              <w:tab w:val="right" w:leader="dot" w:pos="7936"/>
            </w:tabs>
            <w:spacing w:before="0" w:after="20" w:line="264" w:lineRule="auto"/>
            <w:ind w:left="0" w:right="400" w:hanging="0"/>
          </w:pPr>
          <w:r>
            <w:rPr>
              <w:rFonts w:ascii="바탕" w:hAnsi="바탕" w:eastAsia="바탕" w:cs="바탕"/>
              <w:sz w:val="21"/>
              <w:szCs w:val="21"/>
            </w:rPr>
            <w:t xml:space="preserve">표 3-2. 실제 10종목의 특성 측정값</w:t>
          </w:r>
          <w:r>
            <w:rPr>
              <w:rFonts w:ascii="바탕" w:hAnsi="바탕" w:eastAsia="바탕" w:cs="바탕"/>
              <w:sz w:val="21"/>
              <w:szCs w:val="21"/>
            </w:rPr>
            <w:tab/>
            <w:t>25</w:t>
          </w:r>
        </w:p>
        <w:p>
          <w:pPr>
            <w:tabs>
              <w:tab w:val="right" w:leader="dot" w:pos="7936"/>
            </w:tabs>
            <w:spacing w:before="0" w:after="20" w:line="264" w:lineRule="auto"/>
            <w:ind w:left="0" w:right="400" w:hanging="0"/>
          </w:pPr>
          <w:r>
            <w:rPr>
              <w:rFonts w:ascii="바탕" w:hAnsi="바탕" w:eastAsia="바탕" w:cs="바탕"/>
              <w:sz w:val="21"/>
              <w:szCs w:val="21"/>
            </w:rPr>
            <w:t xml:space="preserve">표 3-3. 합성 데이터 단계값</w:t>
          </w:r>
          <w:r>
            <w:rPr>
              <w:rFonts w:ascii="바탕" w:hAnsi="바탕" w:eastAsia="바탕" w:cs="바탕"/>
              <w:sz w:val="21"/>
              <w:szCs w:val="21"/>
            </w:rPr>
            <w:tab/>
            <w:t>26</w:t>
          </w:r>
        </w:p>
        <w:p>
          <w:pPr>
            <w:tabs>
              <w:tab w:val="right" w:leader="dot" w:pos="7936"/>
            </w:tabs>
            <w:spacing w:before="0" w:after="20" w:line="264" w:lineRule="auto"/>
            <w:ind w:left="0" w:right="400" w:hanging="0"/>
          </w:pPr>
          <w:r>
            <w:rPr>
              <w:rFonts w:ascii="바탕" w:hAnsi="바탕" w:eastAsia="바탕" w:cs="바탕"/>
              <w:sz w:val="21"/>
              <w:szCs w:val="21"/>
            </w:rPr>
            <w:t xml:space="preserve">표 3-4. 합성 데이터 생성 검증</w:t>
          </w:r>
          <w:r>
            <w:rPr>
              <w:rFonts w:ascii="바탕" w:hAnsi="바탕" w:eastAsia="바탕" w:cs="바탕"/>
              <w:sz w:val="21"/>
              <w:szCs w:val="21"/>
            </w:rPr>
            <w:tab/>
            <w:t>29</w:t>
          </w:r>
        </w:p>
        <w:p>
          <w:pPr>
            <w:tabs>
              <w:tab w:val="right" w:leader="dot" w:pos="7936"/>
            </w:tabs>
            <w:spacing w:before="0" w:after="20" w:line="264" w:lineRule="auto"/>
            <w:ind w:left="0" w:right="400" w:hanging="0"/>
          </w:pPr>
          <w:r>
            <w:rPr>
              <w:rFonts w:ascii="바탕" w:hAnsi="바탕" w:eastAsia="바탕" w:cs="바탕"/>
              <w:sz w:val="21"/>
              <w:szCs w:val="21"/>
            </w:rPr>
            <w:t xml:space="preserve">표 3-5. 실제 주식 데이터</w:t>
          </w:r>
          <w:r>
            <w:rPr>
              <w:rFonts w:ascii="바탕" w:hAnsi="바탕" w:eastAsia="바탕" w:cs="바탕"/>
              <w:sz w:val="21"/>
              <w:szCs w:val="21"/>
            </w:rPr>
            <w:tab/>
            <w:t>30</w:t>
          </w:r>
        </w:p>
        <w:p>
          <w:pPr>
            <w:tabs>
              <w:tab w:val="right" w:leader="dot" w:pos="7936"/>
            </w:tabs>
            <w:spacing w:before="0" w:after="20" w:line="264" w:lineRule="auto"/>
            <w:ind w:left="0" w:right="400" w:hanging="0"/>
          </w:pPr>
          <w:r>
            <w:rPr>
              <w:rFonts w:ascii="바탕" w:hAnsi="바탕" w:eastAsia="바탕" w:cs="바탕"/>
              <w:sz w:val="21"/>
              <w:szCs w:val="21"/>
            </w:rPr>
            <w:t xml:space="preserve">표 3-6. 비교 모델</w:t>
          </w:r>
          <w:r>
            <w:rPr>
              <w:rFonts w:ascii="바탕" w:hAnsi="바탕" w:eastAsia="바탕" w:cs="바탕"/>
              <w:sz w:val="21"/>
              <w:szCs w:val="21"/>
            </w:rPr>
            <w:tab/>
            <w:t>31</w:t>
          </w:r>
        </w:p>
        <w:p>
          <w:pPr>
            <w:tabs>
              <w:tab w:val="right" w:leader="dot" w:pos="7936"/>
            </w:tabs>
            <w:spacing w:before="0" w:after="20" w:line="264" w:lineRule="auto"/>
            <w:ind w:left="0" w:right="400" w:hanging="0"/>
          </w:pPr>
          <w:r>
            <w:rPr>
              <w:rFonts w:ascii="바탕" w:hAnsi="바탕" w:eastAsia="바탕" w:cs="바탕"/>
              <w:sz w:val="21"/>
              <w:szCs w:val="21"/>
            </w:rPr>
            <w:t xml:space="preserve">표 3-7. 가설과 검정</w:t>
          </w:r>
          <w:r>
            <w:rPr>
              <w:rFonts w:ascii="바탕" w:hAnsi="바탕" w:eastAsia="바탕" w:cs="바탕"/>
              <w:sz w:val="21"/>
              <w:szCs w:val="21"/>
            </w:rPr>
            <w:tab/>
            <w:t>34</w:t>
          </w:r>
        </w:p>
        <w:p>
          <w:pPr>
            <w:tabs>
              <w:tab w:val="right" w:leader="dot" w:pos="7936"/>
            </w:tabs>
            <w:spacing w:before="0" w:after="20" w:line="264" w:lineRule="auto"/>
            <w:ind w:left="0" w:right="400" w:hanging="0"/>
          </w:pPr>
          <w:r>
            <w:rPr>
              <w:rFonts w:ascii="바탕" w:hAnsi="바탕" w:eastAsia="바탕" w:cs="바탕"/>
              <w:sz w:val="21"/>
              <w:szCs w:val="21"/>
            </w:rPr>
            <w:t xml:space="preserve">표 4-1. 기준 상태(L1)와 전체 시나리오의 보정 전 커버리지</w:t>
          </w:r>
          <w:r>
            <w:rPr>
              <w:rFonts w:ascii="바탕" w:hAnsi="바탕" w:eastAsia="바탕" w:cs="바탕"/>
              <w:sz w:val="21"/>
              <w:szCs w:val="21"/>
            </w:rPr>
            <w:tab/>
            <w:t>37</w:t>
          </w:r>
        </w:p>
        <w:p>
          <w:pPr>
            <w:tabs>
              <w:tab w:val="right" w:leader="dot" w:pos="7936"/>
            </w:tabs>
            <w:spacing w:before="0" w:after="20" w:line="264" w:lineRule="auto"/>
            <w:ind w:left="0" w:right="400" w:hanging="0"/>
          </w:pPr>
          <w:r>
            <w:rPr>
              <w:rFonts w:ascii="바탕" w:hAnsi="바탕" w:eastAsia="바탕" w:cs="바탕"/>
              <w:sz w:val="21"/>
              <w:szCs w:val="21"/>
            </w:rPr>
            <w:t xml:space="preserve">표 4-2. 특성을 가장 강하게 설정했을 때(L5)의 커버리지 변화 (L5 − L1, %p)</w:t>
          </w:r>
          <w:r>
            <w:rPr>
              <w:rFonts w:ascii="바탕" w:hAnsi="바탕" w:eastAsia="바탕" w:cs="바탕"/>
              <w:sz w:val="21"/>
              <w:szCs w:val="21"/>
            </w:rPr>
            <w:tab/>
            <w:t>40</w:t>
          </w:r>
        </w:p>
        <w:p>
          <w:pPr>
            <w:tabs>
              <w:tab w:val="right" w:leader="dot" w:pos="7936"/>
            </w:tabs>
            <w:spacing w:before="0" w:after="20" w:line="264" w:lineRule="auto"/>
            <w:ind w:left="0" w:right="400" w:hanging="0"/>
          </w:pPr>
          <w:r>
            <w:rPr>
              <w:rFonts w:ascii="바탕" w:hAnsi="바탕" w:eastAsia="바탕" w:cs="바탕"/>
              <w:sz w:val="21"/>
              <w:szCs w:val="21"/>
            </w:rPr>
            <w:t xml:space="preserve">표 4-3. 분산이 같은 정규분포 기반 구간을 t분포 데이터에 적용했을 때의 이론 커버리지 (%)</w:t>
          </w:r>
          <w:r>
            <w:rPr>
              <w:rFonts w:ascii="바탕" w:hAnsi="바탕" w:eastAsia="바탕" w:cs="바탕"/>
              <w:sz w:val="21"/>
              <w:szCs w:val="21"/>
            </w:rPr>
            <w:tab/>
            <w:t>42</w:t>
          </w:r>
        </w:p>
        <w:p>
          <w:pPr>
            <w:tabs>
              <w:tab w:val="right" w:leader="dot" w:pos="7936"/>
            </w:tabs>
            <w:spacing w:before="0" w:after="20" w:line="264" w:lineRule="auto"/>
            <w:ind w:left="0" w:right="400" w:hanging="0"/>
          </w:pPr>
          <w:r>
            <w:rPr>
              <w:rFonts w:ascii="바탕" w:hAnsi="바탕" w:eastAsia="바탕" w:cs="바탕"/>
              <w:sz w:val="21"/>
              <w:szCs w:val="21"/>
            </w:rPr>
            <w:t xml:space="preserve">표 4-4. Chronos-2의 구간 수준별 커버리지와 특성 강화의 효과 (합성 데이터, %)</w:t>
          </w:r>
          <w:r>
            <w:rPr>
              <w:rFonts w:ascii="바탕" w:hAnsi="바탕" w:eastAsia="바탕" w:cs="바탕"/>
              <w:sz w:val="21"/>
              <w:szCs w:val="21"/>
            </w:rPr>
            <w:tab/>
            <w:t>43</w:t>
          </w:r>
        </w:p>
        <w:p>
          <w:pPr>
            <w:tabs>
              <w:tab w:val="right" w:leader="dot" w:pos="7936"/>
            </w:tabs>
            <w:spacing w:before="0" w:after="20" w:line="264" w:lineRule="auto"/>
            <w:ind w:left="0" w:right="400" w:hanging="0"/>
          </w:pPr>
          <w:r>
            <w:rPr>
              <w:rFonts w:ascii="바탕" w:hAnsi="바탕" w:eastAsia="바탕" w:cs="바탕"/>
              <w:sz w:val="21"/>
              <w:szCs w:val="21"/>
            </w:rPr>
            <w:t xml:space="preserve">표 4-5. 고강도(L4·L5)에서 특성별 결손 (80% − 커버리지, %p; 양수 = 구간이 좁음)</w:t>
          </w:r>
          <w:r>
            <w:rPr>
              <w:rFonts w:ascii="바탕" w:hAnsi="바탕" w:eastAsia="바탕" w:cs="바탕"/>
              <w:sz w:val="21"/>
              <w:szCs w:val="21"/>
            </w:rPr>
            <w:tab/>
            <w:t>45</w:t>
          </w:r>
        </w:p>
        <w:p>
          <w:pPr>
            <w:tabs>
              <w:tab w:val="right" w:leader="dot" w:pos="7936"/>
            </w:tabs>
            <w:spacing w:before="0" w:after="20" w:line="264" w:lineRule="auto"/>
            <w:ind w:left="0" w:right="400" w:hanging="0"/>
          </w:pPr>
          <w:r>
            <w:rPr>
              <w:rFonts w:ascii="바탕" w:hAnsi="바탕" w:eastAsia="바탕" w:cs="바탕"/>
              <w:sz w:val="21"/>
              <w:szCs w:val="21"/>
            </w:rPr>
            <w:t xml:space="preserve">표 5-1. 실제 10종목의 보정 전 커버리지 (채점 17,700건)</w:t>
          </w:r>
          <w:r>
            <w:rPr>
              <w:rFonts w:ascii="바탕" w:hAnsi="바탕" w:eastAsia="바탕" w:cs="바탕"/>
              <w:sz w:val="21"/>
              <w:szCs w:val="21"/>
            </w:rPr>
            <w:tab/>
            <w:t>48</w:t>
          </w:r>
        </w:p>
        <w:p>
          <w:pPr>
            <w:tabs>
              <w:tab w:val="right" w:leader="dot" w:pos="7936"/>
            </w:tabs>
            <w:spacing w:before="0" w:after="20" w:line="264" w:lineRule="auto"/>
            <w:ind w:left="0" w:right="400" w:hanging="0"/>
          </w:pPr>
          <w:r>
            <w:rPr>
              <w:rFonts w:ascii="바탕" w:hAnsi="바탕" w:eastAsia="바탕" w:cs="바탕"/>
              <w:sz w:val="21"/>
              <w:szCs w:val="21"/>
            </w:rPr>
            <w:t xml:space="preserve">표 5-2. RW 대비 분위수 손실 개선율 (양수 = TSFM이 나음)</w:t>
          </w:r>
          <w:r>
            <w:rPr>
              <w:rFonts w:ascii="바탕" w:hAnsi="바탕" w:eastAsia="바탕" w:cs="바탕"/>
              <w:sz w:val="21"/>
              <w:szCs w:val="21"/>
            </w:rPr>
            <w:tab/>
            <w:t>51</w:t>
          </w:r>
        </w:p>
        <w:p>
          <w:pPr>
            <w:tabs>
              <w:tab w:val="right" w:leader="dot" w:pos="7936"/>
            </w:tabs>
            <w:spacing w:before="0" w:after="20" w:line="264" w:lineRule="auto"/>
            <w:ind w:left="0" w:right="400" w:hanging="0"/>
          </w:pPr>
          <w:r>
            <w:rPr>
              <w:rFonts w:ascii="바탕" w:hAnsi="바탕" w:eastAsia="바탕" w:cs="바탕"/>
              <w:sz w:val="21"/>
              <w:szCs w:val="21"/>
            </w:rPr>
            <w:t xml:space="preserve">표 5-3. 모델 공개 이후 기간의 결과</w:t>
          </w:r>
          <w:r>
            <w:rPr>
              <w:rFonts w:ascii="바탕" w:hAnsi="바탕" w:eastAsia="바탕" w:cs="바탕"/>
              <w:sz w:val="21"/>
              <w:szCs w:val="21"/>
            </w:rPr>
            <w:tab/>
            <w:t>53</w:t>
          </w:r>
        </w:p>
        <w:p>
          <w:pPr>
            <w:tabs>
              <w:tab w:val="right" w:leader="dot" w:pos="7936"/>
            </w:tabs>
            <w:spacing w:before="0" w:after="20" w:line="264" w:lineRule="auto"/>
            <w:ind w:left="0" w:right="400" w:hanging="0"/>
          </w:pPr>
          <w:r>
            <w:rPr>
              <w:rFonts w:ascii="바탕" w:hAnsi="바탕" w:eastAsia="바탕" w:cs="바탕"/>
              <w:sz w:val="21"/>
              <w:szCs w:val="21"/>
            </w:rPr>
            <w:t xml:space="preserve">표 5-4. 방향 매매 결과 (10종목 동일비중 포트폴리오)</w:t>
          </w:r>
          <w:r>
            <w:rPr>
              <w:rFonts w:ascii="바탕" w:hAnsi="바탕" w:eastAsia="바탕" w:cs="바탕"/>
              <w:sz w:val="21"/>
              <w:szCs w:val="21"/>
            </w:rPr>
            <w:tab/>
            <w:t>57</w:t>
          </w:r>
        </w:p>
        <w:p>
          <w:pPr>
            <w:tabs>
              <w:tab w:val="right" w:leader="dot" w:pos="7936"/>
            </w:tabs>
            <w:spacing w:before="0" w:after="20" w:line="264" w:lineRule="auto"/>
            <w:ind w:left="0" w:right="400" w:hanging="0"/>
          </w:pPr>
          <w:r>
            <w:rPr>
              <w:rFonts w:ascii="바탕" w:hAnsi="바탕" w:eastAsia="바탕" w:cs="바탕"/>
              <w:sz w:val="21"/>
              <w:szCs w:val="21"/>
            </w:rPr>
            <w:t xml:space="preserve">표 5-5. 비중 조절(변동성 목표 1%) 결과 (비용 반영, 원래 구간 / 보정 구간)</w:t>
          </w:r>
          <w:r>
            <w:rPr>
              <w:rFonts w:ascii="바탕" w:hAnsi="바탕" w:eastAsia="바탕" w:cs="바탕"/>
              <w:sz w:val="21"/>
              <w:szCs w:val="21"/>
            </w:rPr>
            <w:tab/>
            <w:t>59</w:t>
          </w:r>
        </w:p>
        <w:p>
          <w:pPr>
            <w:tabs>
              <w:tab w:val="right" w:leader="dot" w:pos="7936"/>
            </w:tabs>
            <w:spacing w:before="0" w:after="20" w:line="264" w:lineRule="auto"/>
            <w:ind w:left="0" w:right="400" w:hanging="0"/>
          </w:pPr>
          <w:r>
            <w:rPr>
              <w:rFonts w:ascii="바탕" w:hAnsi="바탕" w:eastAsia="바탕" w:cs="바탕"/>
              <w:sz w:val="21"/>
              <w:szCs w:val="21"/>
            </w:rPr>
            <w:t xml:space="preserve">표 5-6. 위험 한도(VaR 10%) 백테스트 (보정 전 → 보정 후)</w:t>
          </w:r>
          <w:r>
            <w:rPr>
              <w:rFonts w:ascii="바탕" w:hAnsi="바탕" w:eastAsia="바탕" w:cs="바탕"/>
              <w:sz w:val="21"/>
              <w:szCs w:val="21"/>
            </w:rPr>
            <w:tab/>
            <w:t>61</w:t>
          </w:r>
        </w:p>
        <w:p>
          <w:pPr>
            <w:tabs>
              <w:tab w:val="right" w:leader="dot" w:pos="7936"/>
            </w:tabs>
            <w:spacing w:before="0" w:after="20" w:line="264" w:lineRule="auto"/>
            <w:ind w:left="0" w:right="400" w:hanging="0"/>
          </w:pPr>
          <w:r>
            <w:rPr>
              <w:rFonts w:ascii="바탕" w:hAnsi="바탕" w:eastAsia="바탕" w:cs="바탕"/>
              <w:sz w:val="21"/>
              <w:szCs w:val="21"/>
            </w:rPr>
            <w:t xml:space="preserve">표 6-1. 합성 데이터의 보정 전후 커버리지 (17개 시나리오의 범위)</w:t>
          </w:r>
          <w:r>
            <w:rPr>
              <w:rFonts w:ascii="바탕" w:hAnsi="바탕" w:eastAsia="바탕" w:cs="바탕"/>
              <w:sz w:val="21"/>
              <w:szCs w:val="21"/>
            </w:rPr>
            <w:tab/>
            <w:t>65</w:t>
          </w:r>
        </w:p>
        <w:p>
          <w:pPr>
            <w:tabs>
              <w:tab w:val="right" w:leader="dot" w:pos="7936"/>
            </w:tabs>
            <w:spacing w:before="0" w:after="20" w:line="264" w:lineRule="auto"/>
            <w:ind w:left="0" w:right="400" w:hanging="0"/>
          </w:pPr>
          <w:r>
            <w:rPr>
              <w:rFonts w:ascii="바탕" w:hAnsi="바탕" w:eastAsia="바탕" w:cs="바탕"/>
              <w:sz w:val="21"/>
              <w:szCs w:val="21"/>
            </w:rPr>
            <w:t xml:space="preserve">표 6-2. 실제 10종목의 보정 전후 커버리지</w:t>
          </w:r>
          <w:r>
            <w:rPr>
              <w:rFonts w:ascii="바탕" w:hAnsi="바탕" w:eastAsia="바탕" w:cs="바탕"/>
              <w:sz w:val="21"/>
              <w:szCs w:val="21"/>
            </w:rPr>
            <w:tab/>
            <w:t>67</w:t>
          </w:r>
        </w:p>
        <w:p>
          <w:pPr>
            <w:tabs>
              <w:tab w:val="right" w:leader="dot" w:pos="7936"/>
            </w:tabs>
            <w:spacing w:before="0" w:after="20" w:line="264" w:lineRule="auto"/>
            <w:ind w:left="0" w:right="400" w:hanging="0"/>
          </w:pPr>
          <w:r>
            <w:rPr>
              <w:rFonts w:ascii="바탕" w:hAnsi="바탕" w:eastAsia="바탕" w:cs="바탕"/>
              <w:sz w:val="21"/>
              <w:szCs w:val="21"/>
            </w:rPr>
            <w:t xml:space="preserve">표 6-3. GARCH-t 비정상 값 2건 대체 전후 비교 (합성 데이터 17개 시나리오 전체)</w:t>
          </w:r>
          <w:r>
            <w:rPr>
              <w:rFonts w:ascii="바탕" w:hAnsi="바탕" w:eastAsia="바탕" w:cs="바탕"/>
              <w:sz w:val="21"/>
              <w:szCs w:val="21"/>
            </w:rPr>
            <w:tab/>
            <w:t>70</w:t>
          </w:r>
        </w:p>
        <w:p>
          <w:pPr>
            <w:tabs>
              <w:tab w:val="right" w:leader="dot" w:pos="7936"/>
            </w:tabs>
            <w:spacing w:before="0" w:after="20" w:line="264" w:lineRule="auto"/>
            <w:ind w:left="0" w:right="400" w:hanging="0"/>
          </w:pPr>
          <w:r>
            <w:rPr>
              <w:rFonts w:ascii="바탕" w:hAnsi="바탕" w:eastAsia="바탕" w:cs="바탕"/>
              <w:sz w:val="21"/>
              <w:szCs w:val="21"/>
            </w:rPr>
            <w:t xml:space="preserve">표 6-4. 변동성 수준별 보정 전후 커버리지 (실제 10종목, %)</w:t>
          </w:r>
          <w:r>
            <w:rPr>
              <w:rFonts w:ascii="바탕" w:hAnsi="바탕" w:eastAsia="바탕" w:cs="바탕"/>
              <w:sz w:val="21"/>
              <w:szCs w:val="21"/>
            </w:rPr>
            <w:tab/>
            <w:t>71</w:t>
          </w:r>
        </w:p>
        <w:p>
          <w:pPr>
            <w:tabs>
              <w:tab w:val="right" w:leader="dot" w:pos="7936"/>
            </w:tabs>
            <w:spacing w:before="0" w:after="20" w:line="264" w:lineRule="auto"/>
            <w:ind w:left="0" w:right="400" w:hanging="0"/>
          </w:pPr>
          <w:r>
            <w:rPr>
              <w:rFonts w:ascii="바탕" w:hAnsi="바탕" w:eastAsia="바탕" w:cs="바탕"/>
              <w:sz w:val="21"/>
              <w:szCs w:val="21"/>
            </w:rPr>
            <w:t xml:space="preserve">표 7-1. 연구 질문별 가설 판정과 발견</w:t>
          </w:r>
          <w:r>
            <w:rPr>
              <w:rFonts w:ascii="바탕" w:hAnsi="바탕" w:eastAsia="바탕" w:cs="바탕"/>
              <w:sz w:val="21"/>
              <w:szCs w:val="21"/>
            </w:rPr>
            <w:tab/>
            <w:t>73</w:t>
          </w:r>
        </w:p>
        <w:p>
          <w:pPr>
            <w:tabs>
              <w:tab w:val="right" w:leader="dot" w:pos="7936"/>
            </w:tabs>
            <w:spacing w:before="0" w:after="20" w:line="264" w:lineRule="auto"/>
            <w:ind w:left="0" w:right="400" w:hanging="0"/>
          </w:pPr>
          <w:r>
            <w:rPr>
              <w:rFonts w:ascii="바탕" w:hAnsi="바탕" w:eastAsia="바탕" w:cs="바탕"/>
              <w:sz w:val="21"/>
              <w:szCs w:val="21"/>
            </w:rPr>
            <w:t xml:space="preserve">표 A-1. 모델별 추론 설정</w:t>
          </w:r>
          <w:r>
            <w:rPr>
              <w:rFonts w:ascii="바탕" w:hAnsi="바탕" w:eastAsia="바탕" w:cs="바탕"/>
              <w:sz w:val="21"/>
              <w:szCs w:val="21"/>
            </w:rPr>
            <w:tab/>
            <w:t>82</w:t>
          </w:r>
        </w:p>
        <w:p>
          <w:pPr>
            <w:tabs>
              <w:tab w:val="right" w:leader="dot" w:pos="7936"/>
            </w:tabs>
            <w:spacing w:before="0" w:after="20" w:line="264" w:lineRule="auto"/>
            <w:ind w:left="0" w:right="400" w:hanging="0"/>
          </w:pPr>
          <w:r>
            <w:rPr>
              <w:rFonts w:ascii="바탕" w:hAnsi="바탕" w:eastAsia="바탕" w:cs="바탕"/>
              <w:sz w:val="21"/>
              <w:szCs w:val="21"/>
            </w:rPr>
            <w:t xml:space="preserve">표 A-2. Chronos-T5 샘플링 설정 점검(합성 데이터, 80% 구간 커버리지)</w:t>
          </w:r>
          <w:r>
            <w:rPr>
              <w:rFonts w:ascii="바탕" w:hAnsi="바탕" w:eastAsia="바탕" w:cs="바탕"/>
              <w:sz w:val="21"/>
              <w:szCs w:val="21"/>
            </w:rPr>
            <w:tab/>
            <w:t>83</w:t>
          </w:r>
        </w:p>
        <w:p>
          <w:pPr>
            <w:tabs>
              <w:tab w:val="right" w:leader="dot" w:pos="7936"/>
            </w:tabs>
            <w:spacing w:before="0" w:after="20" w:line="264" w:lineRule="auto"/>
            <w:ind w:left="0" w:right="400" w:hanging="0"/>
          </w:pPr>
          <w:r>
            <w:rPr>
              <w:rFonts w:ascii="바탕" w:hAnsi="바탕" w:eastAsia="바탕" w:cs="바탕"/>
              <w:sz w:val="21"/>
              <w:szCs w:val="21"/>
            </w:rPr>
            <w:t xml:space="preserve">표 A-3. Chronos-T5 수익률 조건의 샘플링 제한 해제 전후</w:t>
          </w:r>
          <w:r>
            <w:rPr>
              <w:rFonts w:ascii="바탕" w:hAnsi="바탕" w:eastAsia="바탕" w:cs="바탕"/>
              <w:sz w:val="21"/>
              <w:szCs w:val="21"/>
            </w:rPr>
            <w:tab/>
            <w:t>84</w:t>
          </w:r>
        </w:p>
        <w:p>
          <w:pPr>
            <w:tabs>
              <w:tab w:val="right" w:leader="dot" w:pos="7936"/>
            </w:tabs>
            <w:spacing w:before="0" w:after="20" w:line="264" w:lineRule="auto"/>
            <w:ind w:left="0" w:right="400" w:hanging="0"/>
          </w:pPr>
          <w:r>
            <w:rPr>
              <w:rFonts w:ascii="바탕" w:hAnsi="바탕" w:eastAsia="바탕" w:cs="바탕"/>
              <w:sz w:val="21"/>
              <w:szCs w:val="21"/>
            </w:rPr>
            <w:t xml:space="preserve">표 B-1. 특성을 L3에서 L5로 강하게 설정했을 때의 커버리지 변화 (L5 − L3, %p)</w:t>
          </w:r>
          <w:r>
            <w:rPr>
              <w:rFonts w:ascii="바탕" w:hAnsi="바탕" w:eastAsia="바탕" w:cs="바탕"/>
              <w:sz w:val="21"/>
              <w:szCs w:val="21"/>
            </w:rPr>
            <w:tab/>
            <w:t>87</w:t>
          </w:r>
        </w:p>
        <w:p>
          <w:pPr>
            <w:tabs>
              <w:tab w:val="right" w:leader="dot" w:pos="7936"/>
            </w:tabs>
            <w:spacing w:before="0" w:after="20" w:line="264" w:lineRule="auto"/>
            <w:ind w:left="0" w:right="400" w:hanging="0"/>
          </w:pPr>
          <w:r>
            <w:rPr>
              <w:rFonts w:ascii="바탕" w:hAnsi="바탕" w:eastAsia="바탕" w:cs="바탕"/>
              <w:sz w:val="21"/>
              <w:szCs w:val="21"/>
            </w:rPr>
            <w:t xml:space="preserve">표 C-1. 미국 종목별 보정 전 커버리지 (%)</w:t>
          </w:r>
          <w:r>
            <w:rPr>
              <w:rFonts w:ascii="바탕" w:hAnsi="바탕" w:eastAsia="바탕" w:cs="바탕"/>
              <w:sz w:val="21"/>
              <w:szCs w:val="21"/>
            </w:rPr>
            <w:tab/>
            <w:t>88</w:t>
          </w:r>
        </w:p>
        <w:p>
          <w:pPr>
            <w:tabs>
              <w:tab w:val="right" w:leader="dot" w:pos="7936"/>
            </w:tabs>
            <w:spacing w:before="0" w:after="20" w:line="264" w:lineRule="auto"/>
            <w:ind w:left="0" w:right="400" w:hanging="0"/>
          </w:pPr>
          <w:r>
            <w:rPr>
              <w:rFonts w:ascii="바탕" w:hAnsi="바탕" w:eastAsia="바탕" w:cs="바탕"/>
              <w:sz w:val="21"/>
              <w:szCs w:val="21"/>
            </w:rPr>
            <w:t xml:space="preserve">표 C-2. 한국 종목별 보정 전 커버리지 (%)</w:t>
          </w:r>
          <w:r>
            <w:rPr>
              <w:rFonts w:ascii="바탕" w:hAnsi="바탕" w:eastAsia="바탕" w:cs="바탕"/>
              <w:sz w:val="21"/>
              <w:szCs w:val="21"/>
            </w:rPr>
            <w:tab/>
            <w:t>89</w:t>
          </w:r>
        </w:p>
        <w:p>
          <w:r>
            <w:fldChar w:fldCharType="end"/>
          </w:r>
        </w:p>
      </w:sdtContent>
    </w:sdt>
    <w:p>
      <w:pPr>
        <w:pageBreakBefore/>
        <w:spacing w:after="480"/>
        <w:jc w:val="center"/>
      </w:pPr>
      <w:r>
        <w:rPr>
          <w:rFonts w:ascii="바탕" w:cs="바탕" w:eastAsia="바탕" w:hAnsi="바탕"/>
          <w:b/>
          <w:bCs/>
          <w:sz w:val="32"/>
          <w:szCs w:val="32"/>
          <w:lang w:val="en-US" w:eastAsia="ko-KR"/>
        </w:rPr>
        <w:t xml:space="preserve">그림 차례</w:t>
      </w:r>
    </w:p>
    <w:sdt>
      <w:sdtPr>
        <w:alias w:val="그림 차례"/>
      </w:sdtPr>
      <w:sdtContent>
        <w:p>
          <w:r>
            <w:fldChar w:fldCharType="begin" w:dirty="true"/>
            <w:instrText xml:space="preserve">TOC \h \t "FigureCaption,1"</w:instrText>
            <w:fldChar w:fldCharType="separate"/>
          </w:r>
        </w:p>
        <w:p>
          <w:pPr>
            <w:tabs>
              <w:tab w:val="right" w:leader="dot" w:pos="7936"/>
            </w:tabs>
            <w:spacing w:before="0" w:after="20" w:line="264" w:lineRule="auto"/>
            <w:ind w:left="0" w:right="400" w:hanging="0"/>
          </w:pPr>
          <w:r>
            <w:rPr>
              <w:rFonts w:ascii="바탕" w:hAnsi="바탕" w:eastAsia="바탕" w:cs="바탕"/>
              <w:sz w:val="21"/>
              <w:szCs w:val="21"/>
            </w:rPr>
            <w:t xml:space="preserve">그림 2-1. 분산이 같은 정규분포와 t분포(ν = 5)의 확률밀도</w:t>
          </w:r>
          <w:r>
            <w:rPr>
              <w:rFonts w:ascii="바탕" w:hAnsi="바탕" w:eastAsia="바탕" w:cs="바탕"/>
              <w:sz w:val="21"/>
              <w:szCs w:val="21"/>
            </w:rPr>
            <w:tab/>
            <w:t>8</w:t>
          </w:r>
        </w:p>
        <w:p>
          <w:pPr>
            <w:tabs>
              <w:tab w:val="right" w:leader="dot" w:pos="7936"/>
            </w:tabs>
            <w:spacing w:before="0" w:after="20" w:line="264" w:lineRule="auto"/>
            <w:ind w:left="0" w:right="400" w:hanging="0"/>
          </w:pPr>
          <w:r>
            <w:rPr>
              <w:rFonts w:ascii="바탕" w:hAnsi="바탕" w:eastAsia="바탕" w:cs="바탕"/>
              <w:sz w:val="21"/>
              <w:szCs w:val="21"/>
            </w:rPr>
            <w:t xml:space="preserve">그림 2-2. 시계열 파운데이션 모델의 두 가지 입력 방식</w:t>
          </w:r>
          <w:r>
            <w:rPr>
              <w:rFonts w:ascii="바탕" w:hAnsi="바탕" w:eastAsia="바탕" w:cs="바탕"/>
              <w:sz w:val="21"/>
              <w:szCs w:val="21"/>
            </w:rPr>
            <w:tab/>
            <w:t>10</w:t>
          </w:r>
        </w:p>
        <w:p>
          <w:pPr>
            <w:tabs>
              <w:tab w:val="right" w:leader="dot" w:pos="7936"/>
            </w:tabs>
            <w:spacing w:before="0" w:after="20" w:line="264" w:lineRule="auto"/>
            <w:ind w:left="0" w:right="400" w:hanging="0"/>
          </w:pPr>
          <w:r>
            <w:rPr>
              <w:rFonts w:ascii="바탕" w:hAnsi="바탕" w:eastAsia="바탕" w:cs="바탕"/>
              <w:sz w:val="21"/>
              <w:szCs w:val="21"/>
            </w:rPr>
            <w:t xml:space="preserve">그림 2-3. 분위수, 80% 예측구간, VaR 10%의 관계</w:t>
          </w:r>
          <w:r>
            <w:rPr>
              <w:rFonts w:ascii="바탕" w:hAnsi="바탕" w:eastAsia="바탕" w:cs="바탕"/>
              <w:sz w:val="21"/>
              <w:szCs w:val="21"/>
            </w:rPr>
            <w:tab/>
            <w:t>12</w:t>
          </w:r>
        </w:p>
        <w:p>
          <w:pPr>
            <w:tabs>
              <w:tab w:val="right" w:leader="dot" w:pos="7936"/>
            </w:tabs>
            <w:spacing w:before="0" w:after="20" w:line="264" w:lineRule="auto"/>
            <w:ind w:left="0" w:right="400" w:hanging="0"/>
          </w:pPr>
          <w:r>
            <w:rPr>
              <w:rFonts w:ascii="바탕" w:hAnsi="바탕" w:eastAsia="바탕" w:cs="바탕"/>
              <w:sz w:val="21"/>
              <w:szCs w:val="21"/>
            </w:rPr>
            <w:t xml:space="preserve">그림 2-4. 예측구간과 커버리지의 예(가상 자료 40일)</w:t>
          </w:r>
          <w:r>
            <w:rPr>
              <w:rFonts w:ascii="바탕" w:hAnsi="바탕" w:eastAsia="바탕" w:cs="바탕"/>
              <w:sz w:val="21"/>
              <w:szCs w:val="21"/>
            </w:rPr>
            <w:tab/>
            <w:t>13</w:t>
          </w:r>
        </w:p>
        <w:p>
          <w:pPr>
            <w:tabs>
              <w:tab w:val="right" w:leader="dot" w:pos="7936"/>
            </w:tabs>
            <w:spacing w:before="0" w:after="20" w:line="264" w:lineRule="auto"/>
            <w:ind w:left="0" w:right="400" w:hanging="0"/>
          </w:pPr>
          <w:r>
            <w:rPr>
              <w:rFonts w:ascii="바탕" w:hAnsi="바탕" w:eastAsia="바탕" w:cs="바탕"/>
              <w:sz w:val="21"/>
              <w:szCs w:val="21"/>
            </w:rPr>
            <w:t xml:space="preserve">그림 2-5. 분위수 수준에 따른 분위수 손실의 모양</w:t>
          </w:r>
          <w:r>
            <w:rPr>
              <w:rFonts w:ascii="바탕" w:hAnsi="바탕" w:eastAsia="바탕" w:cs="바탕"/>
              <w:sz w:val="21"/>
              <w:szCs w:val="21"/>
            </w:rPr>
            <w:tab/>
            <w:t>14</w:t>
          </w:r>
        </w:p>
        <w:p>
          <w:pPr>
            <w:tabs>
              <w:tab w:val="right" w:leader="dot" w:pos="7936"/>
            </w:tabs>
            <w:spacing w:before="0" w:after="20" w:line="264" w:lineRule="auto"/>
            <w:ind w:left="0" w:right="400" w:hanging="0"/>
          </w:pPr>
          <w:r>
            <w:rPr>
              <w:rFonts w:ascii="바탕" w:hAnsi="바탕" w:eastAsia="바탕" w:cs="바탕"/>
              <w:sz w:val="21"/>
              <w:szCs w:val="21"/>
            </w:rPr>
            <w:t xml:space="preserve">그림 2-6. 적응형 콘포멀 추론에 따른 구간 조정의 예(가상 자료)</w:t>
          </w:r>
          <w:r>
            <w:rPr>
              <w:rFonts w:ascii="바탕" w:hAnsi="바탕" w:eastAsia="바탕" w:cs="바탕"/>
              <w:sz w:val="21"/>
              <w:szCs w:val="21"/>
            </w:rPr>
            <w:tab/>
            <w:t>18</w:t>
          </w:r>
        </w:p>
        <w:p>
          <w:pPr>
            <w:tabs>
              <w:tab w:val="right" w:leader="dot" w:pos="7936"/>
            </w:tabs>
            <w:spacing w:before="0" w:after="20" w:line="264" w:lineRule="auto"/>
            <w:ind w:left="0" w:right="400" w:hanging="0"/>
          </w:pPr>
          <w:r>
            <w:rPr>
              <w:rFonts w:ascii="바탕" w:hAnsi="바탕" w:eastAsia="바탕" w:cs="바탕"/>
              <w:sz w:val="21"/>
              <w:szCs w:val="21"/>
            </w:rPr>
            <w:t xml:space="preserve">그림 3-1. 실제 주식의 하루 수익률(2019-07 ~ 2021-06)</w:t>
          </w:r>
          <w:r>
            <w:rPr>
              <w:rFonts w:ascii="바탕" w:hAnsi="바탕" w:eastAsia="바탕" w:cs="바탕"/>
              <w:sz w:val="21"/>
              <w:szCs w:val="21"/>
            </w:rPr>
            <w:tab/>
            <w:t>24</w:t>
          </w:r>
        </w:p>
        <w:p>
          <w:pPr>
            <w:tabs>
              <w:tab w:val="right" w:leader="dot" w:pos="7936"/>
            </w:tabs>
            <w:spacing w:before="0" w:after="20" w:line="264" w:lineRule="auto"/>
            <w:ind w:left="0" w:right="400" w:hanging="0"/>
          </w:pPr>
          <w:r>
            <w:rPr>
              <w:rFonts w:ascii="바탕" w:hAnsi="바탕" w:eastAsia="바탕" w:cs="바탕"/>
              <w:sz w:val="21"/>
              <w:szCs w:val="21"/>
            </w:rPr>
            <w:t xml:space="preserve">그림 3-2. 같은 난수로 만든 계열의 L1과 축별 L5</w:t>
          </w:r>
          <w:r>
            <w:rPr>
              <w:rFonts w:ascii="바탕" w:hAnsi="바탕" w:eastAsia="바탕" w:cs="바탕"/>
              <w:sz w:val="21"/>
              <w:szCs w:val="21"/>
            </w:rPr>
            <w:tab/>
            <w:t>28</w:t>
          </w:r>
        </w:p>
        <w:p>
          <w:pPr>
            <w:tabs>
              <w:tab w:val="right" w:leader="dot" w:pos="7936"/>
            </w:tabs>
            <w:spacing w:before="0" w:after="20" w:line="264" w:lineRule="auto"/>
            <w:ind w:left="0" w:right="400" w:hanging="0"/>
          </w:pPr>
          <w:r>
            <w:rPr>
              <w:rFonts w:ascii="바탕" w:hAnsi="바탕" w:eastAsia="바탕" w:cs="바탕"/>
              <w:sz w:val="21"/>
              <w:szCs w:val="21"/>
            </w:rPr>
            <w:t xml:space="preserve">그림 4-1. 합성 데이터 시나리오별 보정 전 커버리지(%, 시나리오당 100계열 × 채점 60일)</w:t>
          </w:r>
          <w:r>
            <w:rPr>
              <w:rFonts w:ascii="바탕" w:hAnsi="바탕" w:eastAsia="바탕" w:cs="바탕"/>
              <w:sz w:val="21"/>
              <w:szCs w:val="21"/>
            </w:rPr>
            <w:tab/>
            <w:t>39</w:t>
          </w:r>
        </w:p>
        <w:p>
          <w:pPr>
            <w:tabs>
              <w:tab w:val="right" w:leader="dot" w:pos="7936"/>
            </w:tabs>
            <w:spacing w:before="0" w:after="20" w:line="264" w:lineRule="auto"/>
            <w:ind w:left="0" w:right="400" w:hanging="0"/>
          </w:pPr>
          <w:r>
            <w:rPr>
              <w:rFonts w:ascii="바탕" w:hAnsi="바탕" w:eastAsia="바탕" w:cs="바탕"/>
              <w:sz w:val="21"/>
              <w:szCs w:val="21"/>
            </w:rPr>
            <w:t xml:space="preserve">그림 4-2. 특성 강도에 따른 커버리지 변화(L1 대비, %p)</w:t>
          </w:r>
          <w:r>
            <w:rPr>
              <w:rFonts w:ascii="바탕" w:hAnsi="바탕" w:eastAsia="바탕" w:cs="바탕"/>
              <w:sz w:val="21"/>
              <w:szCs w:val="21"/>
            </w:rPr>
            <w:tab/>
            <w:t>41</w:t>
          </w:r>
        </w:p>
        <w:p>
          <w:pPr>
            <w:tabs>
              <w:tab w:val="right" w:leader="dot" w:pos="7936"/>
            </w:tabs>
            <w:spacing w:before="0" w:after="20" w:line="264" w:lineRule="auto"/>
            <w:ind w:left="0" w:right="400" w:hanging="0"/>
          </w:pPr>
          <w:r>
            <w:rPr>
              <w:rFonts w:ascii="바탕" w:hAnsi="바탕" w:eastAsia="바탕" w:cs="바탕"/>
              <w:sz w:val="21"/>
              <w:szCs w:val="21"/>
            </w:rPr>
            <w:t xml:space="preserve">그림 5-1. 실제 10종목의 보정 전 커버리지(2017~2026, 17,700건)</w:t>
          </w:r>
          <w:r>
            <w:rPr>
              <w:rFonts w:ascii="바탕" w:hAnsi="바탕" w:eastAsia="바탕" w:cs="바탕"/>
              <w:sz w:val="21"/>
              <w:szCs w:val="21"/>
            </w:rPr>
            <w:tab/>
            <w:t>49</w:t>
          </w:r>
        </w:p>
        <w:p>
          <w:pPr>
            <w:tabs>
              <w:tab w:val="right" w:leader="dot" w:pos="7936"/>
            </w:tabs>
            <w:spacing w:before="0" w:after="20" w:line="264" w:lineRule="auto"/>
            <w:ind w:left="0" w:right="400" w:hanging="0"/>
          </w:pPr>
          <w:r>
            <w:rPr>
              <w:rFonts w:ascii="바탕" w:hAnsi="바탕" w:eastAsia="바탕" w:cs="바탕"/>
              <w:sz w:val="21"/>
              <w:szCs w:val="21"/>
            </w:rPr>
            <w:t xml:space="preserve">그림 5-2. 과거변동(RW) 대비 분위수 손실 개선율(H5)</w:t>
          </w:r>
          <w:r>
            <w:rPr>
              <w:rFonts w:ascii="바탕" w:hAnsi="바탕" w:eastAsia="바탕" w:cs="바탕"/>
              <w:sz w:val="21"/>
              <w:szCs w:val="21"/>
            </w:rPr>
            <w:tab/>
            <w:t>52</w:t>
          </w:r>
        </w:p>
        <w:p>
          <w:pPr>
            <w:tabs>
              <w:tab w:val="right" w:leader="dot" w:pos="7936"/>
            </w:tabs>
            <w:spacing w:before="0" w:after="20" w:line="264" w:lineRule="auto"/>
            <w:ind w:left="0" w:right="400" w:hanging="0"/>
          </w:pPr>
          <w:r>
            <w:rPr>
              <w:rFonts w:ascii="바탕" w:hAnsi="바탕" w:eastAsia="바탕" w:cs="바탕"/>
              <w:sz w:val="21"/>
              <w:szCs w:val="21"/>
            </w:rPr>
            <w:t xml:space="preserve">그림 5-3. 특성 없는 합성 데이터(L1)와 실제 10종목의 보정 전 커버리지 비교</w:t>
          </w:r>
          <w:r>
            <w:rPr>
              <w:rFonts w:ascii="바탕" w:hAnsi="바탕" w:eastAsia="바탕" w:cs="바탕"/>
              <w:sz w:val="21"/>
              <w:szCs w:val="21"/>
            </w:rPr>
            <w:tab/>
            <w:t>55</w:t>
          </w:r>
        </w:p>
        <w:p>
          <w:pPr>
            <w:tabs>
              <w:tab w:val="right" w:leader="dot" w:pos="7936"/>
            </w:tabs>
            <w:spacing w:before="0" w:after="20" w:line="264" w:lineRule="auto"/>
            <w:ind w:left="0" w:right="400" w:hanging="0"/>
          </w:pPr>
          <w:r>
            <w:rPr>
              <w:rFonts w:ascii="바탕" w:hAnsi="바탕" w:eastAsia="바탕" w:cs="바탕"/>
              <w:sz w:val="21"/>
              <w:szCs w:val="21"/>
            </w:rPr>
            <w:t xml:space="preserve">그림 5-4. 10종목 동일비중 포트폴리오의 누적 수익(2017-02~2026-09, 탐색 분석)</w:t>
          </w:r>
          <w:r>
            <w:rPr>
              <w:rFonts w:ascii="바탕" w:hAnsi="바탕" w:eastAsia="바탕" w:cs="바탕"/>
              <w:sz w:val="21"/>
              <w:szCs w:val="21"/>
            </w:rPr>
            <w:tab/>
            <w:t>62</w:t>
          </w:r>
        </w:p>
        <w:p>
          <w:pPr>
            <w:tabs>
              <w:tab w:val="right" w:leader="dot" w:pos="7936"/>
            </w:tabs>
            <w:spacing w:before="0" w:after="20" w:line="264" w:lineRule="auto"/>
            <w:ind w:left="0" w:right="400" w:hanging="0"/>
          </w:pPr>
          <w:r>
            <w:rPr>
              <w:rFonts w:ascii="바탕" w:hAnsi="바탕" w:eastAsia="바탕" w:cs="바탕"/>
              <w:sz w:val="21"/>
              <w:szCs w:val="21"/>
            </w:rPr>
            <w:t xml:space="preserve">그림 6-1. 사후보정(ACI-CQR) 전후 커버리지</w:t>
          </w:r>
          <w:r>
            <w:rPr>
              <w:rFonts w:ascii="바탕" w:hAnsi="바탕" w:eastAsia="바탕" w:cs="바탕"/>
              <w:sz w:val="21"/>
              <w:szCs w:val="21"/>
            </w:rPr>
            <w:tab/>
            <w:t>66</w:t>
          </w:r>
        </w:p>
        <w:p>
          <w:r>
            <w:fldChar w:fldCharType="end"/>
          </w:r>
        </w:p>
      </w:sdtContent>
    </w:sdt>
    <w:p>
      <w:pPr>
        <w:pStyle w:val="Heading1"/>
        <w:keepNext/>
        <w:pageBreakBefore/>
      </w:pPr>
      <w:r>
        <w:rPr>
          <w:rFonts w:ascii="바탕" w:cs="바탕" w:eastAsia="바탕" w:hAnsi="바탕"/>
          <w:lang w:val="en-US" w:eastAsia="ko-KR"/>
        </w:rPr>
        <w:t xml:space="preserve">국문요지</w:t>
      </w:r>
    </w:p>
    <w:p>
      <w:pPr>
        <w:keepNext w:val="false"/>
        <w:widowControl/>
        <w:spacing w:after="0" w:before="0" w:line="384"/>
        <w:ind w:firstLine="220"/>
        <w:jc w:val="both"/>
      </w:pPr>
      <w:r>
        <w:rPr>
          <w:rFonts w:ascii="바탕" w:cs="바탕" w:eastAsia="바탕" w:hAnsi="바탕"/>
          <w:sz w:val="22"/>
          <w:szCs w:val="22"/>
          <w:lang w:val="en-US" w:eastAsia="ko-KR"/>
        </w:rPr>
        <w:t xml:space="preserve">시계열 파운데이션 모델(TSFM)은 추가 학습 없이 예측구간을 함께 내므로 금융 위험 관리에 쓰일 가능성이 크지만, 금융 수익률에서 그 구간이 명목 커버리지를 충족하는지는 체계적으로 검증되지 않았다. 본 연구는 TSFM의 80% 예측구간이 명목 수준에서 벗어나는 원인에 대하여, 이것이 금융 데이터의 특성에서 기인하는지 혹은 모델과 사용 설정에서 기인하는지를 진단하고, 실제 주식에서의 성능을 평가한 후 그 오차를 재학습 없는 사후보정으로 교정할 수 있는지를 검증하였다.</w:t>
      </w:r>
    </w:p>
    <w:p>
      <w:pPr>
        <w:keepNext w:val="false"/>
        <w:widowControl/>
        <w:spacing w:after="0" w:before="0" w:line="384"/>
        <w:ind w:firstLine="220"/>
        <w:jc w:val="both"/>
      </w:pPr>
      <w:r>
        <w:rPr>
          <w:rFonts w:ascii="바탕" w:cs="바탕" w:eastAsia="바탕" w:hAnsi="바탕"/>
          <w:sz w:val="22"/>
          <w:szCs w:val="22"/>
          <w:lang w:val="en-US" w:eastAsia="ko-KR"/>
        </w:rPr>
        <w:t xml:space="preserve">실제 미국·한국 대형주 10종목에서 측정한 변동성 군집, 두꺼운 꼬리, 국면 전환 빈도와 크기를 기준치로 삼아 합성 데이터 17개 시나리오를 만들고, 공통 난수로 특성 하나씩만 바꾸었다. TSFM 4종(Chronos-T5, Chronos-2, TimesFM-2.5, Moirai-2.0)을 과거 길이(21·252일)와 입력 형태(수익률·가격)의 4개 조건에서 다음 날 로그수익률에 대해 평가하고, 같은 절차를 2017~2026년 실제 10종목(24,132건)에 적용하였다. 가설과 판정 기준은 실험 전에 정해 두었다.</w:t>
      </w:r>
    </w:p>
    <w:p>
      <w:pPr>
        <w:keepNext w:val="false"/>
        <w:widowControl/>
        <w:spacing w:after="0" w:before="0" w:line="384"/>
        <w:ind w:firstLine="220"/>
        <w:jc w:val="both"/>
      </w:pPr>
      <w:r>
        <w:rPr>
          <w:rFonts w:ascii="바탕" w:cs="바탕" w:eastAsia="바탕" w:hAnsi="바탕"/>
          <w:sz w:val="22"/>
          <w:szCs w:val="22"/>
          <w:lang w:val="en-US" w:eastAsia="ko-KR"/>
        </w:rPr>
        <w:t xml:space="preserve">특성이 없는 합성 데이터에서 이미 TSFM 커버리지는 75~88%로 모델 및 설정마다 다르게 나타나 16개 조건 중 절반이 실질 기준을 벗어났다. 반면 특성을 실제 종목 중 가장 강한 수준(L5)으로 설정하더라도 대부분의 변화 폭은 3%p 이내였다. 특성별로는 변동성 군집만이 일부 조건에서 커버리지를 하락시켰고, 두꺼운 꼬리와 잦은 국면 전환 특성은 오히려 커버리지를 상승시켰다. 이 상승은 첨도가 높은 분포에서 분산 기반 80% 구간이 갖는 수학적 성질로 설명되며, 같은 성질 때문에 극단 분위수를 내는 Chronos-2의 98% 구간에서는 꼬리와 국면 전환이 오히려 커버리지를 낮추었다. 실험 과정에서는 Chronos-T5의 라이브러리 기본 샘플링 설정 하나가 수익률 입력의 커버리지를 14%까지 무너뜨리는 것도 발견하여 바로잡았으며, 이는 설정이 특성보다 큰 차이를 만든다는 또 하나의 사례이다. 실제 주가의 커버리지는 특성 없는 합성 데이터의 커버리지와 평균 1.1%p(최대 3.6%p) 차이를 보였다. 실제 주식에서 분위수 손실은 16개 조건 중 12개에서 과거 변동성 기반 정규분포(RW)보다 컸고, 과거 1년 조건은 모두 GARCH-t보다 컸다. 적응형 콘포멀 분위수 보정(ACI-CQR)은 합성 340개, 실제 19개 모델·조건 모두에서 평균 커버리지를 80%로 복원하였으며, 그에 상응하여 예측구간의 폭은 이상적인 구간보다 5~48% 넓어졌다. 탐색 분석에서 보정된 구간은 변동성 목표 전략의 실현 변동을 목표의 1.05~1.14배로, VaR 10% 한도의 위반율을 8.6~10.8%로 돌려놓았으나, 위반이 특정 시기에 몰려 오는 문제는 일부 조건에 남았다.</w:t>
      </w:r>
    </w:p>
    <w:p>
      <w:pPr>
        <w:keepNext/>
        <w:widowControl/>
        <w:spacing w:after="0" w:before="0" w:line="384"/>
        <w:ind w:firstLine="220"/>
        <w:jc w:val="both"/>
      </w:pPr>
      <w:r>
        <w:rPr>
          <w:rFonts w:ascii="바탕" w:cs="바탕" w:eastAsia="바탕" w:hAnsi="바탕"/>
          <w:sz w:val="22"/>
          <w:szCs w:val="22"/>
          <w:lang w:val="en-US" w:eastAsia="ko-KR"/>
        </w:rPr>
        <w:t xml:space="preserve">이러한 결과는 금융 수익률에 대한 TSFM 예측구간의 신뢰성이 금융 데이터의 특성보다 모델과 입력 설정에 의해 좌우되며, 실측 기반 합성 데이터 실험으로 실제 주식에서의 커버리지를 미리 가늠할 수 있음을 보여 준다. 분포의 정확도는 단순 기준 모형을 넘지 못하였고, 가장 나은 조건(네 모델의 1년·수익률)에서 같은 수준에 도달하였다. 따라서 현재의 TSFM은 수익률 예측기보다는 모델과 사용 설정을 점검하고 재학습 없는 사후보정을 거친 위험 측정 도구로 활용하는 것이 적절하다.</w:t>
      </w:r>
    </w:p>
    <w:p>
      <w:pPr>
        <w:keepNext w:val="false"/>
        <w:widowControl/>
        <w:spacing w:after="0" w:before="0" w:line="384"/>
        <w:ind w:firstLine="220"/>
        <w:jc w:val="both"/>
      </w:pPr>
      <w:r>
        <w:rPr>
          <w:rFonts w:ascii="바탕" w:cs="바탕" w:eastAsia="바탕" w:hAnsi="바탕"/>
          <w:sz w:val="22"/>
          <w:szCs w:val="22"/>
          <w:lang w:val="en-US" w:eastAsia="ko-KR"/>
        </w:rPr>
        <w:t xml:space="preserve">주제어: 시계열 파운데이션 모델, 예측구간, 커버리지, 합성 데이터 통제 실험, 콘포멀 예측, 주가 수익률</w:t>
      </w:r>
    </w:p>
    <w:p>
      <w:pPr>
        <w:sectPr>
          <w:footerReference w:type="default" r:id="rId8"/>
          <w:pgSz w:w="11906" w:h="16838" w:orient="portrait"/>
          <w:pgMar w:top="2268" w:right="1985" w:bottom="2268" w:left="1985" w:header="851" w:footer="851" w:gutter="0"/>
          <w:pgNumType w:start="1" w:fmt="lowerRoman"/>
          <w:docGrid w:linePitch="360"/>
        </w:sectPr>
      </w:pPr>
    </w:p>
    <w:p>
      <w:pPr>
        <w:pStyle w:val="Heading1"/>
        <w:keepNext/>
      </w:pPr>
      <w:r>
        <w:rPr>
          <w:rFonts w:ascii="바탕" w:cs="바탕" w:eastAsia="바탕" w:hAnsi="바탕"/>
          <w:lang w:val="en-US" w:eastAsia="ko-KR"/>
        </w:rPr>
        <w:t xml:space="preserve">제1장 서론</w:t>
      </w:r>
    </w:p>
    <w:p>
      <w:pPr>
        <w:pStyle w:val="Heading2"/>
        <w:keepNext/>
      </w:pPr>
      <w:r>
        <w:rPr>
          <w:rFonts w:ascii="바탕" w:cs="바탕" w:eastAsia="바탕" w:hAnsi="바탕"/>
          <w:lang w:val="en-US" w:eastAsia="ko-KR"/>
        </w:rPr>
        <w:t xml:space="preserve">1.1 연구 배경</w:t>
      </w:r>
    </w:p>
    <w:p>
      <w:pPr>
        <w:keepNext w:val="false"/>
        <w:widowControl/>
        <w:spacing w:after="120" w:before="0" w:line="384"/>
        <w:ind w:firstLine="220"/>
        <w:jc w:val="both"/>
      </w:pPr>
      <w:r>
        <w:rPr>
          <w:rFonts w:ascii="바탕" w:cs="바탕" w:eastAsia="바탕" w:hAnsi="바탕"/>
          <w:sz w:val="22"/>
          <w:szCs w:val="22"/>
          <w:lang w:val="en-US" w:eastAsia="ko-KR"/>
        </w:rPr>
        <w:t xml:space="preserve">시계열 파운데이션 모델(time series foundation model, TSFM)은 대량의 시계열로 미리 학습해 두고, 새로운 데이터에는 추가 학습 없이 바로 예측을 내는 모델이다. Chronos, TimesFM, Moirai 같은 모델이 2024년 이후 잇달아 공개되었고, 최근에는 Chronos-2, TimesFM-2.5, Moirai-2.0으로 개선판이 나왔다. 이 모델들이 주목받는 이유는 예측에 드는 수고를 크게 줄이기 때문이다. 기존에는 예측할 계열마다 모형을 정해 추정하거나 신경망을 새로 학습해야 했지만, TSFM은 공개된 모델을 내려받아 과거 자료를 넣기만 하면 예측을 얻을 수 있다. 수많은 종목과 지표를 다루는 금융 분야에서는 이런 범용성이 특히 매력적이어서, 금융 데이터에 TSFM을 적용하려는 연구도 빠르게 늘고 있다(Rahimikia 외, 2025; Noguer i Alonso, Franklin, 2026). 또한 이 모델들은 숫자 하나(점 예측)만이 아니라 "내일 값이 이 범위에 80% 확률로 들어간다" 같은 예측구간, 곧 확률 예측을 함께 낸다.</w:t>
      </w:r>
    </w:p>
    <w:p>
      <w:pPr>
        <w:keepNext w:val="false"/>
        <w:widowControl/>
        <w:spacing w:after="120" w:before="0" w:line="384"/>
        <w:ind w:firstLine="220"/>
        <w:jc w:val="both"/>
      </w:pPr>
      <w:r>
        <w:rPr>
          <w:rFonts w:ascii="바탕" w:cs="바탕" w:eastAsia="바탕" w:hAnsi="바탕"/>
          <w:sz w:val="22"/>
          <w:szCs w:val="22"/>
          <w:lang w:val="en-US" w:eastAsia="ko-KR"/>
        </w:rPr>
        <w:t xml:space="preserve">금융에서는 점 예측과 함께 예측구간도 중요한 역할을 한다. 일별 주가 수익률의 방향은 예측하기 어렵지만, 변동성은 지속되는 성질이 있어 내일 얼마나 크게 움직일지는 어느 정도 예측할 수 있고, 이것이 위험 한도(VaR), 포지션 크기 조절, 손절 기준 같은 실무 위험 관리의 기초가 된다. 은행의 시장위험 관리도 VaR로 손실 한도를 정하고, 실제 손실이 그 한도를 넘은 횟수로 모형을 점검한다(Basel Committee on Banking Supervision, 1996). 이때 중요한 것은 구간이 명목 수준을 충족하는가이다. 80% 구간이라고 했으면 실제로 열 번 중 여덟 번은 그 안에 들어와야 한다. 들어오는 비율(커버리지)이 60%라면 위험을 과소평가한 것이고, 95%라면 필요 이상으로 보수적인 것이다.</w:t>
      </w:r>
    </w:p>
    <w:p>
      <w:pPr>
        <w:keepNext w:val="false"/>
        <w:widowControl/>
        <w:spacing w:after="120" w:before="0" w:line="384"/>
        <w:ind w:firstLine="220"/>
        <w:jc w:val="both"/>
      </w:pPr>
      <w:r>
        <w:rPr>
          <w:rFonts w:ascii="바탕" w:cs="바탕" w:eastAsia="바탕" w:hAnsi="바탕"/>
          <w:sz w:val="22"/>
          <w:szCs w:val="22"/>
          <w:lang w:val="en-US" w:eastAsia="ko-KR"/>
        </w:rPr>
        <w:t xml:space="preserve">그런데 금융 분야의 TSFM 연구는 주로 점 예측의 정확도를 비교해 왔다. Rahimikia 외(2025)는 여러 나라의 일별 주식 수익률에서 Chronos·TimesFM을 그대로 쓰면 성과가 나쁘다고 보고했고, Noguer i Alonso와 Franklin(2026)은 미국 대형주 5종목에서 TSFM이 처음부터 학습한 신경망보다 대체로 낫지만 랜덤워크 대비 이득은 작다고 보고하였다. 두 연구 모두 예측구간의 커버리지는 평가하지 않았다. 한편 FinStressTS(Sun 외, 2026)는 금융 특성을 하나씩 조절한 합성 데이터로 예측 모델의 약점을 진단하는 방법을 제시했지만, 사전학습 TSFM의 제로샷 예측구간을 대상으로 하지는 않았다.</w:t>
      </w:r>
    </w:p>
    <w:p>
      <w:pPr>
        <w:keepNext w:val="false"/>
        <w:widowControl/>
        <w:spacing w:after="120" w:before="0" w:line="384"/>
        <w:ind w:firstLine="220"/>
        <w:jc w:val="both"/>
      </w:pPr>
      <w:r>
        <w:rPr>
          <w:rFonts w:ascii="바탕" w:cs="바탕" w:eastAsia="바탕" w:hAnsi="바탕"/>
          <w:sz w:val="22"/>
          <w:szCs w:val="22"/>
          <w:lang w:val="en-US" w:eastAsia="ko-KR"/>
        </w:rPr>
        <w:t xml:space="preserve">따라서 사전학습 TSFM의 금융 예측구간이 명목 커버리지를 충족하는지, 미달 또는 초과가 발생한다면 그 원인이 금융 시계열의 고유 특성(변동성 군집, 두꺼운 꼬리, 국면 전환)에 있는지 혹은 모델 및 입력 설정에 있는지, 나아가 재학습 없는 사후보정으로 이를 교정할 수 있는지에 대해서는 체계적인 검증이 필요한 시점이다.</w:t>
      </w:r>
    </w:p>
    <w:p>
      <w:pPr>
        <w:pStyle w:val="Heading2"/>
        <w:keepNext/>
      </w:pPr>
      <w:r>
        <w:rPr>
          <w:rFonts w:ascii="바탕" w:cs="바탕" w:eastAsia="바탕" w:hAnsi="바탕"/>
          <w:lang w:val="en-US" w:eastAsia="ko-KR"/>
        </w:rPr>
        <w:t xml:space="preserve">1.2 연구 질문</w:t>
      </w:r>
    </w:p>
    <w:p>
      <w:pPr>
        <w:keepNext/>
        <w:widowControl/>
        <w:spacing w:after="120" w:before="0" w:line="384"/>
        <w:ind w:firstLine="220"/>
        <w:jc w:val="both"/>
      </w:pPr>
      <w:r>
        <w:rPr>
          <w:rFonts w:ascii="바탕" w:cs="바탕" w:eastAsia="바탕" w:hAnsi="바탕"/>
          <w:sz w:val="22"/>
          <w:szCs w:val="22"/>
          <w:lang w:val="en-US" w:eastAsia="ko-KR"/>
        </w:rPr>
        <w:t xml:space="preserve">본 연구는 세 질문에 답한다.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RQ1 (진단): 금융 데이터의 특성(변동성 군집, 두꺼운 꼬리, 국면 전환의 빈도와 크기)이 강해질수록 TSFM 80% 예측구간의 커버리지가 떨어지는가, 아니면 모델과 입력 설정에서 이미 오차가 발생하는가? 특성 중에서는 어떤 것이 가장 불리한가?</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RQ2 (실증 평가): 실제 미국·한국 대형주에서 TSFM 예측구간의 커버리지와 분포 정확도는 어떠하며, 단순 기준 모형(과거 변동성 기반 정규분포, RW)보다 나은가?</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RQ3 (처방): 모델을 재학습하지 않는 온라인 사후보정(ACI-CQR)으로 커버리지를 80%로 복원할 수 있는가? 그에 수반되는 구간 폭의 확대는 어느 정도인가?</w:t>
      </w:r>
    </w:p>
    <w:p>
      <w:pPr>
        <w:pStyle w:val="Heading2"/>
        <w:keepNext/>
      </w:pPr>
      <w:r>
        <w:rPr>
          <w:rFonts w:ascii="바탕" w:cs="바탕" w:eastAsia="바탕" w:hAnsi="바탕"/>
          <w:lang w:val="en-US" w:eastAsia="ko-KR"/>
        </w:rPr>
        <w:t xml:space="preserve">1.3 연구 방법 개요</w:t>
      </w:r>
    </w:p>
    <w:p>
      <w:pPr>
        <w:keepNext w:val="false"/>
        <w:widowControl/>
        <w:spacing w:after="120" w:before="0" w:line="384"/>
        <w:ind w:firstLine="220"/>
        <w:jc w:val="both"/>
      </w:pPr>
      <w:r>
        <w:rPr>
          <w:rFonts w:ascii="바탕" w:cs="바탕" w:eastAsia="바탕" w:hAnsi="바탕"/>
          <w:sz w:val="22"/>
          <w:szCs w:val="22"/>
          <w:lang w:val="en-US" w:eastAsia="ko-KR"/>
        </w:rPr>
        <w:t xml:space="preserve">RQ1은 합성 데이터 실험으로 답한다. 실제 10종목에서 측정한 특성 강도를 기준치로 삼아 합성 데이터 17개 시나리오(특성 없음 1개 + 4개 특성 × 4단계)를 만들고, 같은 난수와 같은 평균 변동 크기를 쓰되 특성 하나만 바꾸어 그 영향을 분리하였다. 데이터를 만든 참 분포를 알기 때문에 오라클 모형으로 채점 절차를 검증할 수 있다.</w:t>
      </w:r>
    </w:p>
    <w:p>
      <w:pPr>
        <w:keepNext w:val="false"/>
        <w:widowControl/>
        <w:spacing w:after="120" w:before="0" w:line="384"/>
        <w:ind w:firstLine="220"/>
        <w:jc w:val="both"/>
      </w:pPr>
      <w:r>
        <w:rPr>
          <w:rFonts w:ascii="바탕" w:cs="바탕" w:eastAsia="바탕" w:hAnsi="바탕"/>
          <w:sz w:val="22"/>
          <w:szCs w:val="22"/>
          <w:lang w:val="en-US" w:eastAsia="ko-KR"/>
        </w:rPr>
        <w:t xml:space="preserve">RQ2는 실제 주가 실증으로 답한다. 미국 5종목(AAPL, AMZN, GOOG, JPM, META)과 한국 5종목(삼성전자, SK하이닉스, 현대차, 한국전력, 현대모비스)의 2017년 1월~2026년 9월 매 거래일에 대해 다음 날 로그수익률의 분포를 예측하였다(24,132건).</w:t>
      </w:r>
    </w:p>
    <w:p>
      <w:pPr>
        <w:keepNext w:val="false"/>
        <w:widowControl/>
        <w:spacing w:after="120" w:before="0" w:line="384"/>
        <w:ind w:firstLine="220"/>
        <w:jc w:val="both"/>
      </w:pPr>
      <w:r>
        <w:rPr>
          <w:rFonts w:ascii="바탕" w:cs="바탕" w:eastAsia="바탕" w:hAnsi="바탕"/>
          <w:sz w:val="22"/>
          <w:szCs w:val="22"/>
          <w:lang w:val="en-US" w:eastAsia="ko-KR"/>
        </w:rPr>
        <w:t xml:space="preserve">두 환경 모두 같은 절차를 쓴다. TSFM 4종(Chronos-T5, Chronos-2, TimesFM-2.5, Moirai-2.0)을 과거 길이 2가지(21일, 252일) × 입력 형태 2가지(수익률, 가격) = 4개 조건에서 평가하고, RW와 GARCH(1,1)-t를 기준 모형으로 둔다. RQ3은 두 환경 모두에 같은 사후보정을 적용해 답한다.</w:t>
      </w:r>
    </w:p>
    <w:p>
      <w:pPr>
        <w:keepNext w:val="false"/>
        <w:widowControl/>
        <w:spacing w:after="120" w:before="0" w:line="384"/>
        <w:ind w:firstLine="220"/>
        <w:jc w:val="both"/>
      </w:pPr>
      <w:r>
        <w:rPr>
          <w:rFonts w:ascii="바탕" w:cs="바탕" w:eastAsia="바탕" w:hAnsi="바탕"/>
          <w:sz w:val="22"/>
          <w:szCs w:val="22"/>
          <w:lang w:val="en-US" w:eastAsia="ko-KR"/>
        </w:rPr>
        <w:t xml:space="preserve">가설과 판정 기준, 분석 코드는 실험 전에 정해 두었다(3.7절). 실험 과정에서 Chronos-T5의 수익률 구간이 비정상적으로 좁은 것을 발견하여 원인을 점검하였고, 라이브러리의 생성 설정이 모델의 분포를 잘라 내고 있음을 확인하여 바로잡은 설정으로 평가하였다(3.4절, 부록 A.3).</w:t>
      </w:r>
    </w:p>
    <w:p>
      <w:pPr>
        <w:pStyle w:val="Heading2"/>
        <w:keepNext/>
      </w:pPr>
      <w:r>
        <w:rPr>
          <w:rFonts w:ascii="바탕" w:cs="바탕" w:eastAsia="바탕" w:hAnsi="바탕"/>
          <w:lang w:val="en-US" w:eastAsia="ko-KR"/>
        </w:rPr>
        <w:t xml:space="preserve">1.4 주요 결과와 기여</w:t>
      </w:r>
    </w:p>
    <w:p>
      <w:pPr>
        <w:keepNext/>
        <w:widowControl/>
        <w:spacing w:after="120" w:before="0" w:line="384"/>
        <w:ind w:firstLine="220"/>
        <w:jc w:val="both"/>
      </w:pPr>
      <w:r>
        <w:rPr>
          <w:rFonts w:ascii="바탕" w:cs="바탕" w:eastAsia="바탕" w:hAnsi="바탕"/>
          <w:sz w:val="22"/>
          <w:szCs w:val="22"/>
          <w:lang w:val="en-US" w:eastAsia="ko-KR"/>
        </w:rPr>
        <w:t xml:space="preserve">본 연구의 주요 결과는 다음과 같다.</w:t>
      </w:r>
    </w:p>
    <w:p>
      <w:pPr>
        <w:keepNext/>
        <w:keepLines/>
        <w:widowControl/>
        <w:spacing w:after="60" w:line="384"/>
        <w:ind w:left="360" w:hanging="360"/>
        <w:jc w:val="both"/>
      </w:pPr>
      <w:r>
        <w:rPr>
          <w:rFonts w:ascii="바탕" w:cs="바탕" w:eastAsia="바탕" w:hAnsi="바탕"/>
          <w:sz w:val="22"/>
          <w:szCs w:val="22"/>
          <w:lang w:val="en-US" w:eastAsia="ko-KR"/>
        </w:rPr>
        <w:t xml:space="preserve">1. 오차의 출처는 금융 특성보다 모델과 입력 설정이다. 특성이 전혀 없는 데이터에서 이미 TSFM의 80% 구간 커버리지는 75%에서 88%까지 퍼져 16개 조건 중 절반이 실질 기준(80% ± 2%p)을 벗어났고, 특성을 실제 종목 중 가장 강한 수준(L5)으로 설정해도 대부분 3%p 이내로만 움직였다. 커버리지 변동의 90%가 모델·조건의 차이로, 7%가 금융 특성의 차이로 설명된다. 변동성 군집만 일부 조건에서 커버리지를 낮췄고, 두꺼운 꼬리와 잦은 국면 전환 특성은 오히려 커버리지를 높였으며, 이는 80% 구간이 갖는 수학적 성질로 설명된다. 실험 과정에서는 Chronos-T5의 라이브러리 기본 샘플링 설정 하나가 수익률 입력의 커버리지를 14%까지 무너뜨리는 것도 발견하였는데(부록 A.3), 설정 하나가 어떤 특성보다 큰 차이를 만든 사례이다.</w:t>
      </w:r>
    </w:p>
    <w:p>
      <w:pPr>
        <w:keepNext w:val="false"/>
        <w:keepLines/>
        <w:widowControl/>
        <w:spacing w:after="60" w:line="384"/>
        <w:ind w:left="360" w:hanging="360"/>
        <w:jc w:val="both"/>
      </w:pPr>
      <w:r>
        <w:rPr>
          <w:rFonts w:ascii="바탕" w:cs="바탕" w:eastAsia="바탕" w:hAnsi="바탕"/>
          <w:sz w:val="22"/>
          <w:szCs w:val="22"/>
          <w:lang w:val="en-US" w:eastAsia="ko-KR"/>
        </w:rPr>
        <w:t xml:space="preserve">2. 합성 데이터 실험의 진단은 실제 주가에서 재현된다. 실제 10종목의 커버리지는 특성 없는 합성 데이터의 커버리지와 평균 1.1%p(최대 3.6%p) 차이였고, 크게 어긋나는 모델과 설정(TimesFM-2.5 1년·가격 88%, 기본 설정 Chronos-T5 14%)은 합성 데이터에서 이미 그대로 드러났다. 실제 데이터에 적용하기 전에 합성 데이터로 이런 모델과 설정을 미리 가려낼 수 있다는 뜻이다.</w:t>
      </w:r>
    </w:p>
    <w:p>
      <w:pPr>
        <w:keepNext w:val="false"/>
        <w:keepLines/>
        <w:widowControl/>
        <w:spacing w:after="60" w:line="384"/>
        <w:ind w:left="360" w:hanging="360"/>
        <w:jc w:val="both"/>
      </w:pPr>
      <w:r>
        <w:rPr>
          <w:rFonts w:ascii="바탕" w:cs="바탕" w:eastAsia="바탕" w:hAnsi="바탕"/>
          <w:sz w:val="22"/>
          <w:szCs w:val="22"/>
          <w:lang w:val="en-US" w:eastAsia="ko-KR"/>
        </w:rPr>
        <w:t xml:space="preserve">3. 사후보정은 모든 경우에 평균 커버리지를 80%로 복원한다. 합성 340개, 실제 19개 모델·조건에서 예외가 없었으며, 그에 상응하여 구간의 폭은 이상적인 구간보다 5~48% 넓어졌다. 탐색 분석에서는 VaR 10% 한도의 위반율 검정을 8종목 이상 통과한 조건이 보정 전 8개에서 보정 후 14개로 늘었다.</w:t>
      </w:r>
    </w:p>
    <w:p>
      <w:pPr>
        <w:keepNext w:val="false"/>
        <w:keepLines/>
        <w:widowControl/>
        <w:spacing w:after="60" w:line="384"/>
        <w:ind w:left="360" w:hanging="360"/>
        <w:jc w:val="both"/>
      </w:pPr>
      <w:r>
        <w:rPr>
          <w:rFonts w:ascii="바탕" w:cs="바탕" w:eastAsia="바탕" w:hAnsi="바탕"/>
          <w:sz w:val="22"/>
          <w:szCs w:val="22"/>
          <w:lang w:val="en-US" w:eastAsia="ko-KR"/>
        </w:rPr>
        <w:t xml:space="preserve">4. 분포 정확도는 단순 기준 모형 수준이다. 실제 주식에서 분위수 손실은 16개 조건 중 12개에서 RW보다 컸고, 가장 나은 조건(네 모델의 1년·수익률)에서 RW와 같은 수준이었으며, GARCH-t보다는 과거 1년 조건 모두 손실이 컸다(1년·수익률은 0.4~1.5%로 작은 차이). 점 예측 연구에서 보고된 한계가 분포 예측에서도 나타난 것으로, TSFM 예측구간의 쓸모가 수익률 예측보다 보정을 거친 위험 측정에 있음을 뜻한다.</w:t>
      </w:r>
    </w:p>
    <w:p>
      <w:pPr>
        <w:keepNext/>
        <w:widowControl/>
        <w:spacing w:after="120" w:before="0" w:line="384"/>
        <w:ind w:firstLine="220"/>
        <w:jc w:val="both"/>
      </w:pPr>
      <w:r>
        <w:rPr>
          <w:rFonts w:ascii="바탕" w:cs="바탕" w:eastAsia="바탕" w:hAnsi="바탕"/>
          <w:sz w:val="22"/>
          <w:szCs w:val="22"/>
          <w:lang w:val="en-US" w:eastAsia="ko-KR"/>
        </w:rPr>
        <w:t xml:space="preserve">이를 바탕으로 한 본 연구의 기여는 다음과 같다.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방법론: 실제 종목에서 측정한 특성 강도로 합성 데이터의 강도 단계를 설정하고, 공통 난수로 특성 하나씩만 바꾸는 통제 실험을 TSFM 예측구간 진단에 적용하였다. 이 설계로 합성 데이터 실험의 결과가 실제 주가에서 평균 1.1%p 차이로 재현됨을 확인하여, 실제 데이터에 적용하기 전에 입력 설정을 점검하는 절차로 쓸 수 있음을 보였다(5.4절). 이 점검과 사후보정은 모델 구조와 무관하므로 다른 사전학습 모델과 자산에도 같은 방식으로 적용할 수 있다.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평가 관점: 꼬리가 두꺼운 분포에서 분산 기반 80% 구간의 커버리지가 오히려 올라가고, 그 방향이 구간 수준에 따라 바뀜(99% 근처 구간에서는 하락)을 이론 계산으로 보이고, 극단 분위수를 내는 Chronos-2의 98% 구간에서 실제로 확인하였다. 단일 구간의 커버리지만으로 꼬리 위험을 판단하면 잘못된 결론에 이를 수 있다(4.3.2절).</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실증: 최신 TSFM 4종을 두 시장, 약 10년, 4개 사용 조건에서 같은 절차로 평가하고, 가설과 판정 기준을 실험 전에 정해 둔 뒤 결과를 선택하지 않고 전체 표로 보고하였다.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실무: TSFM 예측구간을 위험 관리에 쓸 때 입력 설정 점검과 사후보정이 필요함을 보이고, 이것이 변동성 목표·VaR 같은 실제 의사결정에 어떤 차이를 만드는지 탐색하였다(5.5절).</w:t>
      </w:r>
    </w:p>
    <w:p>
      <w:pPr>
        <w:pStyle w:val="Heading2"/>
        <w:keepNext/>
      </w:pPr>
      <w:r>
        <w:rPr>
          <w:rFonts w:ascii="바탕" w:cs="바탕" w:eastAsia="바탕" w:hAnsi="바탕"/>
          <w:lang w:val="en-US" w:eastAsia="ko-KR"/>
        </w:rPr>
        <w:t xml:space="preserve">1.5 논문 구성</w:t>
      </w:r>
    </w:p>
    <w:p>
      <w:pPr>
        <w:keepNext w:val="false"/>
        <w:widowControl/>
        <w:spacing w:after="120" w:before="0" w:line="384"/>
        <w:ind w:firstLine="220"/>
        <w:jc w:val="both"/>
      </w:pPr>
      <w:r>
        <w:rPr>
          <w:rFonts w:ascii="바탕" w:cs="바탕" w:eastAsia="바탕" w:hAnsi="바탕"/>
          <w:sz w:val="22"/>
          <w:szCs w:val="22"/>
          <w:lang w:val="en-US" w:eastAsia="ko-KR"/>
        </w:rPr>
        <w:t xml:space="preserve">본 논문의 구성은 다음과 같다. 제2장에서는 본 연구의 이론적 배경으로 금융 수익률의 통계적 성질, 시계열 예측 모델이 사전학습 모델로 발전해 온 과정, 확률 예측과 예측구간의 평가 방법, 위험 관리에서의 VaR와 백테스트, 콘포멀 예측에 기반한 사후보정을 정리하고, 관련 연구를 검토하여 본 연구의 위치를 밝힌다. 제3장에서는 실측 기반 합성 데이터의 설계와 생성, 실제 주식 데이터, 비교 모델, 사후보정 방법, 평가 지표와 가설, 실험 절차와 검산을 설명한다.</w:t>
      </w:r>
    </w:p>
    <w:p>
      <w:pPr>
        <w:keepNext w:val="false"/>
        <w:widowControl/>
        <w:spacing w:after="120" w:before="0" w:line="384"/>
        <w:ind w:firstLine="220"/>
        <w:jc w:val="both"/>
      </w:pPr>
      <w:r>
        <w:rPr>
          <w:rFonts w:ascii="바탕" w:cs="바탕" w:eastAsia="바탕" w:hAnsi="바탕"/>
          <w:sz w:val="22"/>
          <w:szCs w:val="22"/>
          <w:lang w:val="en-US" w:eastAsia="ko-KR"/>
        </w:rPr>
        <w:t xml:space="preserve">제4장에서는 합성 데이터 실험으로 오차가 금융 특성과 모델·입력 설정 중 어디에서 오는지 분석하여 RQ1에 답한다. 제5장에서는 미국·한국 대형주 10종목에서 커버리지와 분포 정확도를 평가하고, 합성 데이터 실험 결과와 대조하며, 예측구간을 투자·위험 관리 규칙에 적용한 탐색 분석을 함께 보고하여 RQ2에 답한다. 제6장에서는 재학습 없는 사후보정이 커버리지를 복원하는지와 그에 따른 구간 폭의 변화를 검증하여 RQ3에 답한다. 제7장에서는 연구 결과를 요약하고 실무적 시사점, 한계, 향후 연구 방향을 제시한다.</w:t>
      </w:r>
    </w:p>
    <w:p>
      <w:pPr>
        <w:pStyle w:val="Heading1"/>
        <w:keepNext/>
        <w:pageBreakBefore/>
      </w:pPr>
      <w:r>
        <w:rPr>
          <w:rFonts w:ascii="바탕" w:cs="바탕" w:eastAsia="바탕" w:hAnsi="바탕"/>
          <w:lang w:val="en-US" w:eastAsia="ko-KR"/>
        </w:rPr>
        <w:t xml:space="preserve">제2장 이론적 배경과 관련 연구</w:t>
      </w:r>
    </w:p>
    <w:p>
      <w:pPr>
        <w:keepNext w:val="false"/>
        <w:widowControl/>
        <w:spacing w:after="120" w:before="0" w:line="384"/>
        <w:ind w:firstLine="220"/>
        <w:jc w:val="both"/>
      </w:pPr>
      <w:r>
        <w:rPr>
          <w:rFonts w:ascii="바탕" w:cs="바탕" w:eastAsia="바탕" w:hAnsi="바탕"/>
          <w:sz w:val="22"/>
          <w:szCs w:val="22"/>
          <w:lang w:val="en-US" w:eastAsia="ko-KR"/>
        </w:rPr>
        <w:t xml:space="preserve">본 장에서는 본 연구를 이해하는 데 필요한 이론적 배경을 정리하고 관련 연구를 검토한다. 2.1절에서는 금융 수익률의 통계적 성질과 이를 표현하는 모형을, 2.2절에서는 시계열 예측 모델이 통계 모형에서 사전학습 모델로 발전해 온 과정과 본 연구가 평가하는 모델을 설명한다. 2.3절에서는 확률 예측과 예측구간을 평가하는 방법을, 2.4절에서는 위험 관리에서 예측구간이 쓰이는 방식과 그 검정 방법을 다룬다. 2.5절에서는 본 연구의 사후보정이 기반을 두는 콘포멀 예측을 설명하고, 2.6절에서 관련 연구를 검토하여 본 연구의 위치를 밝힌다.</w:t>
      </w:r>
    </w:p>
    <w:p>
      <w:pPr>
        <w:pStyle w:val="Heading2"/>
        <w:keepNext/>
      </w:pPr>
      <w:r>
        <w:rPr>
          <w:rFonts w:ascii="바탕" w:cs="바탕" w:eastAsia="바탕" w:hAnsi="바탕"/>
          <w:lang w:val="en-US" w:eastAsia="ko-KR"/>
        </w:rPr>
        <w:t xml:space="preserve">2.1 금융 수익률의 통계적 성질</w:t>
      </w:r>
    </w:p>
    <w:p>
      <w:pPr>
        <w:pStyle w:val="Heading3"/>
        <w:keepNext/>
      </w:pPr>
      <w:r>
        <w:rPr>
          <w:rFonts w:ascii="바탕" w:cs="바탕" w:eastAsia="바탕" w:hAnsi="바탕"/>
          <w:lang w:val="en-US" w:eastAsia="ko-KR"/>
        </w:rPr>
        <w:t xml:space="preserve">2.1.1 수익률과 예측 가능성</w:t>
      </w:r>
    </w:p>
    <w:p>
      <w:pPr>
        <w:keepNext w:val="false"/>
        <w:widowControl/>
        <w:spacing w:after="120" w:before="0" w:line="384"/>
        <w:ind w:firstLine="220"/>
        <w:jc w:val="both"/>
      </w:pPr>
      <w:r>
        <w:rPr>
          <w:rFonts w:ascii="바탕" w:cs="바탕" w:eastAsia="바탕" w:hAnsi="바탕"/>
          <w:sz w:val="22"/>
          <w:szCs w:val="22"/>
          <w:lang w:val="en-US" w:eastAsia="ko-KR"/>
        </w:rPr>
        <w:t xml:space="preserve">주가는 시간이 지남에 따라 수준 자체가 계속 바뀌므로, 금융 시계열 분석에서는 보통 가격 대신 수익률을 다룬다. t일의 종가를 P</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라 할 때 로그수익률은 다음과 같이 정의한다.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ln(P</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P</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w:t>
      </w:r>
      <w:r>
        <w:rPr>
          <w:rFonts w:ascii="바탕" w:cs="바탕" w:eastAsia="바탕" w:hAnsi="바탕"/>
          <w:sz w:val="22"/>
          <w:szCs w:val="22"/>
        </w:rPr>
        <w:tab/>
        <w:t xml:space="preserve">(2.1)</w:t>
      </w:r>
    </w:p>
    <w:p>
      <w:pPr>
        <w:keepNext w:val="false"/>
        <w:widowControl/>
        <w:spacing w:after="120" w:before="0" w:line="384"/>
        <w:ind w:firstLine="220"/>
        <w:jc w:val="both"/>
      </w:pPr>
      <w:r>
        <w:rPr>
          <w:rFonts w:ascii="바탕" w:cs="바탕" w:eastAsia="바탕" w:hAnsi="바탕"/>
          <w:sz w:val="22"/>
          <w:szCs w:val="22"/>
          <w:lang w:val="en-US" w:eastAsia="ko-KR"/>
        </w:rPr>
        <w:t xml:space="preserve">로그수익률은 여러 날의 값을 더하면 그 기간의 수익률이 되고, 하루 변동이 작을 때에는 단순수익률 (P</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P</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 / P</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과 거의 같다. 본 연구는 다음 날 로그수익률 r</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의 분포를 예측 대상으로 삼는다(3.1절).</w:t>
      </w:r>
    </w:p>
    <w:p>
      <w:pPr>
        <w:keepNext w:val="false"/>
        <w:widowControl/>
        <w:spacing w:after="120" w:before="0" w:line="384"/>
        <w:ind w:firstLine="220"/>
        <w:jc w:val="both"/>
      </w:pPr>
      <w:r>
        <w:rPr>
          <w:rFonts w:ascii="바탕" w:cs="바탕" w:eastAsia="바탕" w:hAnsi="바탕"/>
          <w:sz w:val="22"/>
          <w:szCs w:val="22"/>
          <w:lang w:val="en-US" w:eastAsia="ko-KR"/>
        </w:rPr>
        <w:t xml:space="preserve">효율적 시장 가설에 따르면 공개된 과거 가격 정보만으로는 미래 수익률의 방향을 체계적으로 예측할 수 없다(Fama, 1970). 실제로 일별 수익률의 자기상관은 0에 가깝고, 본 연구 표본에서도 종목별로 −0.10에서 +0.04 사이였다(5.5.1절). 그러나 수익률의 크기, 곧 변동성은 사정이 다르다. 다음 절에서 설명하는 성질 때문에 변동성은 과거 자료로 상당 부분 예측할 수 있으며, 이것이 방향을 맞히지 못하는 모델이라도 예측구간을 위험 관리에 활용할 수 있는 근거가 된다.</w:t>
      </w:r>
    </w:p>
    <w:p>
      <w:pPr>
        <w:pStyle w:val="Heading3"/>
        <w:keepNext/>
      </w:pPr>
      <w:r>
        <w:rPr>
          <w:rFonts w:ascii="바탕" w:cs="바탕" w:eastAsia="바탕" w:hAnsi="바탕"/>
          <w:lang w:val="en-US" w:eastAsia="ko-KR"/>
        </w:rPr>
        <w:t xml:space="preserve">2.1.2 정형화된 사실</w:t>
      </w:r>
    </w:p>
    <w:p>
      <w:pPr>
        <w:keepNext w:val="false"/>
        <w:widowControl/>
        <w:spacing w:after="120" w:before="0" w:line="384"/>
        <w:ind w:firstLine="220"/>
        <w:jc w:val="both"/>
      </w:pPr>
      <w:r>
        <w:rPr>
          <w:rFonts w:ascii="바탕" w:cs="바탕" w:eastAsia="바탕" w:hAnsi="바탕"/>
          <w:sz w:val="22"/>
          <w:szCs w:val="22"/>
          <w:lang w:val="en-US" w:eastAsia="ko-KR"/>
        </w:rPr>
        <w:t xml:space="preserve">여러 시장과 기간에서 공통적으로 관찰되는 수익률의 통계적 성질을 정형화된 사실(stylized facts)이라 한다. Cont(2001)는 자기상관의 부재, 두꺼운 꼬리, 이익과 손실의 비대칭, 변동성 군집, 레버리지 효과 등 11가지를 정리하였다. 본 연구는 이 가운데 예측구간에 직접 영향을 줄 수 있는 변동성 군집과 두꺼운 꼬리, 그리고 위기와 평온기가 번갈아 나타나는 국면 전환을 다룬다. 국면 전환은 Cont(2001)의 목록에 따로 들어 있지는 않지만, 경기 순환이나 금융 위기에 따라 변동 수준이 크게 바뀌는 현상으로 금융계량에서 널리 다루어진다(Hamilton, 1989).</w:t>
      </w:r>
    </w:p>
    <w:p>
      <w:pPr>
        <w:keepNext w:val="false"/>
        <w:widowControl/>
        <w:spacing w:after="120" w:before="0" w:line="384"/>
        <w:ind w:firstLine="220"/>
        <w:jc w:val="both"/>
      </w:pPr>
      <w:r>
        <w:rPr>
          <w:rFonts w:ascii="바탕" w:cs="바탕" w:eastAsia="바탕" w:hAnsi="바탕"/>
          <w:sz w:val="22"/>
          <w:szCs w:val="22"/>
          <w:lang w:val="en-US" w:eastAsia="ko-KR"/>
        </w:rPr>
        <w:t xml:space="preserve">변동성 군집은 큰 변동 뒤에 큰 변동이, 작은 변동 뒤에 작은 변동이 이어지는 성질이다. Engle(1982)은 오늘의 분산이 어제의 충격에 따라 달라지는 ARCH 모형을 제안하였고, Bollerslev(1986)는 여기에 어제의 분산을 더한 GARCH 모형으로 일반화하였다. 가장 널리 쓰이는 GARCH(1,1)은 다음과 같다.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σ</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z</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σ</w:t>
      </w:r>
      <w:r>
        <w:rPr>
          <w:rFonts w:ascii="바탕" w:cs="바탕" w:eastAsia="바탕" w:hAnsi="바탕"/>
          <w:sz w:val="22"/>
          <w:szCs w:val="22"/>
          <w:vertAlign w:val="subscript"/>
          <w:lang w:val="en-US" w:eastAsia="ko-KR"/>
        </w:rPr>
        <w:t xml:space="preserve">t</w:t>
      </w:r>
      <w:r>
        <w:rPr>
          <w:rFonts w:ascii="바탕" w:cs="바탕" w:eastAsia="바탕" w:hAnsi="바탕"/>
          <w:sz w:val="22"/>
          <w:szCs w:val="22"/>
          <w:vertAlign w:val="superscript"/>
          <w:lang w:val="en-US" w:eastAsia="ko-KR"/>
        </w:rPr>
        <w:t xml:space="preserve">2</w:t>
      </w:r>
      <w:r>
        <w:rPr>
          <w:rFonts w:ascii="바탕" w:cs="바탕" w:eastAsia="바탕" w:hAnsi="바탕"/>
          <w:sz w:val="22"/>
          <w:szCs w:val="22"/>
          <w:lang w:val="en-US" w:eastAsia="ko-KR"/>
        </w:rPr>
        <w:t xml:space="preserve"> = ω + α r</w:t>
      </w:r>
      <w:r>
        <w:rPr>
          <w:rFonts w:ascii="바탕" w:cs="바탕" w:eastAsia="바탕" w:hAnsi="바탕"/>
          <w:sz w:val="22"/>
          <w:szCs w:val="22"/>
          <w:vertAlign w:val="subscript"/>
          <w:lang w:val="en-US" w:eastAsia="ko-KR"/>
        </w:rPr>
        <w:t xml:space="preserve">t−1</w:t>
      </w:r>
      <w:r>
        <w:rPr>
          <w:rFonts w:ascii="바탕" w:cs="바탕" w:eastAsia="바탕" w:hAnsi="바탕"/>
          <w:sz w:val="22"/>
          <w:szCs w:val="22"/>
          <w:vertAlign w:val="superscript"/>
          <w:lang w:val="en-US" w:eastAsia="ko-KR"/>
        </w:rPr>
        <w:t xml:space="preserve">2</w:t>
      </w:r>
      <w:r>
        <w:rPr>
          <w:rFonts w:ascii="바탕" w:cs="바탕" w:eastAsia="바탕" w:hAnsi="바탕"/>
          <w:sz w:val="22"/>
          <w:szCs w:val="22"/>
          <w:lang w:val="en-US" w:eastAsia="ko-KR"/>
        </w:rPr>
        <w:t xml:space="preserve"> + β σ</w:t>
      </w:r>
      <w:r>
        <w:rPr>
          <w:rFonts w:ascii="바탕" w:cs="바탕" w:eastAsia="바탕" w:hAnsi="바탕"/>
          <w:sz w:val="22"/>
          <w:szCs w:val="22"/>
          <w:vertAlign w:val="subscript"/>
          <w:lang w:val="en-US" w:eastAsia="ko-KR"/>
        </w:rPr>
        <w:t xml:space="preserve">t−1</w:t>
      </w:r>
      <w:r>
        <w:rPr>
          <w:rFonts w:ascii="바탕" w:cs="바탕" w:eastAsia="바탕" w:hAnsi="바탕"/>
          <w:sz w:val="22"/>
          <w:szCs w:val="22"/>
          <w:vertAlign w:val="superscript"/>
          <w:lang w:val="en-US" w:eastAsia="ko-KR"/>
        </w:rPr>
        <w:t xml:space="preserve">2</w:t>
      </w:r>
      <w:r>
        <w:rPr>
          <w:rFonts w:ascii="바탕" w:cs="바탕" w:eastAsia="바탕" w:hAnsi="바탕"/>
          <w:sz w:val="22"/>
          <w:szCs w:val="22"/>
        </w:rPr>
        <w:tab/>
        <w:t xml:space="preserve">(2.2)</w:t>
      </w:r>
    </w:p>
    <w:p>
      <w:pPr>
        <w:keepNext w:val="false"/>
        <w:widowControl/>
        <w:spacing w:after="120" w:before="0" w:line="384"/>
        <w:ind w:firstLine="220"/>
        <w:jc w:val="both"/>
      </w:pPr>
      <w:r>
        <w:rPr>
          <w:rFonts w:ascii="바탕" w:cs="바탕" w:eastAsia="바탕" w:hAnsi="바탕"/>
          <w:sz w:val="22"/>
          <w:szCs w:val="22"/>
          <w:lang w:val="en-US" w:eastAsia="ko-KR"/>
        </w:rPr>
        <w:t xml:space="preserve">여기서 z</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는 평균 0, 분산 1인 독립 충격이다. α는 어제의 충격이 오늘의 분산에 주는 영향을, β는 분산 자체의 지속성을 나타낸다. α + β &lt; 1이면 분산은 장기 평균 ω / (1 − α − β)로 돌아가며, α + β가 1에 가까울수록 한 번 커진 변동성이 오래 유지된다. 변동성 충격이 절반으로 줄어드는 데 걸리는 기간(반감기)은 ln 0.5 / ln(α + β)로, α + β = 0.99이면 약 69일, 본 연구에서 가장 강한 단계로 쓴 0.996이면 약 173일이다(3.2.4절). 예를 들어 평소 하루 변동이 1% 안팎인 주식이 어느 날 5% 급락하면, GARCH 모형은 다음 날의 예상 변동을 평소보다 크게 잡고 그 뒤 서서히 평소 수준으로 되돌린다. 실제 주가에서 큰 움직임이 한동안 몰려 나타나는 모습은 3장의 그림 3-1에서 볼 수 있다.</w:t>
      </w:r>
    </w:p>
    <w:p>
      <w:pPr>
        <w:keepNext w:val="false"/>
        <w:widowControl/>
        <w:spacing w:after="120" w:before="0" w:line="384"/>
        <w:ind w:firstLine="220"/>
        <w:jc w:val="both"/>
      </w:pPr>
      <w:r>
        <w:rPr>
          <w:rFonts w:ascii="바탕" w:cs="바탕" w:eastAsia="바탕" w:hAnsi="바탕"/>
          <w:sz w:val="22"/>
          <w:szCs w:val="22"/>
          <w:lang w:val="en-US" w:eastAsia="ko-KR"/>
        </w:rPr>
        <w:t xml:space="preserve">두꺼운 꼬리는 극단적인 수익률이 정규분포에서 기대되는 것보다 훨씬 자주 나타나는 성질이다. 정규분포에서 평균으로부터 표준편차의 4배 이상 벗어나는 날은 약 1만 6천 거래일에 한 번이지만, 실제 주가에서는 이보다 훨씬 자주 관찰된다. 꼬리의 두께는 첨도로 나타내며, 정규분포의 첨도는 3이다. 금융계량에서는 꼬리가 두꺼운 분포로 흔히 자유도 ν의 Student-t 분포를 쓰는데, 그 첨도는 다음과 같다.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κ = E[(r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μ)</w:t>
      </w:r>
      <w:r>
        <w:rPr>
          <w:rFonts w:ascii="바탕" w:cs="바탕" w:eastAsia="바탕" w:hAnsi="바탕"/>
          <w:sz w:val="22"/>
          <w:szCs w:val="22"/>
          <w:vertAlign w:val="superscript"/>
          <w:lang w:val="en-US" w:eastAsia="ko-KR"/>
        </w:rPr>
        <w:t xml:space="preserve">4</w:t>
      </w:r>
      <w:r>
        <w:rPr>
          <w:rFonts w:ascii="바탕" w:cs="바탕" w:eastAsia="바탕" w:hAnsi="바탕"/>
          <w:sz w:val="22"/>
          <w:szCs w:val="22"/>
          <w:lang w:val="en-US" w:eastAsia="ko-KR"/>
        </w:rPr>
        <w:t xml:space="preserve">] / σ</w:t>
      </w:r>
      <w:r>
        <w:rPr>
          <w:rFonts w:ascii="바탕" w:cs="바탕" w:eastAsia="바탕" w:hAnsi="바탕"/>
          <w:sz w:val="22"/>
          <w:szCs w:val="22"/>
          <w:vertAlign w:val="superscript"/>
          <w:lang w:val="en-US" w:eastAsia="ko-KR"/>
        </w:rPr>
        <w:t xml:space="preserve">4</w:t>
      </w:r>
      <w:r>
        <w:rPr>
          <w:rFonts w:ascii="바탕" w:cs="바탕" w:eastAsia="바탕" w:hAnsi="바탕"/>
          <w:sz w:val="22"/>
          <w:szCs w:val="22"/>
          <w:lang w:val="en-US" w:eastAsia="ko-KR"/>
        </w:rPr>
        <w:t xml:space="preserve">,   κ</w:t>
      </w:r>
      <w:r>
        <w:rPr>
          <w:rFonts w:ascii="바탕" w:cs="바탕" w:eastAsia="바탕" w:hAnsi="바탕"/>
          <w:sz w:val="22"/>
          <w:szCs w:val="22"/>
          <w:vertAlign w:val="subscript"/>
          <w:lang w:val="en-US" w:eastAsia="ko-KR"/>
        </w:rPr>
        <w:t xml:space="preserve">ν</w:t>
      </w:r>
      <w:r>
        <w:rPr>
          <w:rFonts w:ascii="바탕" w:cs="바탕" w:eastAsia="바탕" w:hAnsi="바탕"/>
          <w:sz w:val="22"/>
          <w:szCs w:val="22"/>
          <w:lang w:val="en-US" w:eastAsia="ko-KR"/>
        </w:rPr>
        <w:t xml:space="preserve"> = 3 + 6 / (ν − 4)  (ν &gt; 4)</w:t>
      </w:r>
      <w:r>
        <w:rPr>
          <w:rFonts w:ascii="바탕" w:cs="바탕" w:eastAsia="바탕" w:hAnsi="바탕"/>
          <w:sz w:val="22"/>
          <w:szCs w:val="22"/>
        </w:rPr>
        <w:tab/>
        <w:t xml:space="preserve">(2.3)</w:t>
      </w:r>
    </w:p>
    <w:p>
      <w:pPr>
        <w:keepNext/>
        <w:widowControl/>
        <w:spacing w:after="120" w:before="0" w:line="384"/>
        <w:ind w:firstLine="220"/>
        <w:jc w:val="both"/>
      </w:pPr>
      <w:r>
        <w:rPr>
          <w:rFonts w:ascii="바탕" w:cs="바탕" w:eastAsia="바탕" w:hAnsi="바탕"/>
          <w:sz w:val="22"/>
          <w:szCs w:val="22"/>
          <w:lang w:val="en-US" w:eastAsia="ko-KR"/>
        </w:rPr>
        <w:t xml:space="preserve">ν가 작을수록 꼬리가 두껍고, ν → ∞이면 정규분포가 된다. ν ≤ 4이면 첨도가 정의되지 않을 만큼 꼬리가 두껍다. 본 연구는 분산을 1로 맞춘 표준화 t분포를 사용하므로(3.2.5절), ν를 바꾸어도 전체 분산은 같고 분포의 모양만 달라진다. 분산이 같을 때 꼬리가 두꺼운 분포는 극단값이 드물게 크게 나타나는 대신 중심부에 더 많은 값이 몰린다. 그림 2-1은 분산을 1로 같게 맞춘 정규분포와 자유도 5의 t분포를 비교한 것이다. t분포는 가운데 봉우리가 더 높고 꼬리가 길다. 그래서 정규분포를 기준으로 만든 80% 구간(회색)을 t분포를 따르는 자료에 적용하면 실제로는 약 84%가 구간 안에 들어오고, 그 대신 구간 밖으로 크게 벗어나는 극단값은 정규분포보다 자주 나타난다. 이 성질은 4.3.2절의 결과를 해석하는 데 쓰인다.</w:t>
      </w:r>
    </w:p>
    <w:p>
      <w:pPr>
        <w:keepNext/>
        <w:spacing w:after="60" w:before="120"/>
        <w:jc w:val="center"/>
      </w:pPr>
      <w:r>
        <w:drawing>
          <wp:inline distT="0" distB="0" distL="0" distR="0">
            <wp:extent cx="5038725"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1714500"/>
                    </a:xfrm>
                    <a:prstGeom prst="rect">
                      <a:avLst/>
                    </a:prstGeom>
                  </pic:spPr>
                </pic:pic>
              </a:graphicData>
            </a:graphic>
          </wp:inline>
        </w:drawing>
      </w:r>
    </w:p>
    <w:p>
      <w:pPr>
        <w:pStyle w:val="FigureCaption"/>
        <w:keepNext w:val="false"/>
        <w:spacing w:after="240" w:before="0" w:line="276"/>
        <w:jc w:val="center"/>
      </w:pPr>
      <w:r>
        <w:rPr>
          <w:rFonts w:ascii="바탕" w:cs="바탕" w:eastAsia="바탕" w:hAnsi="바탕"/>
          <w:sz w:val="19"/>
          <w:szCs w:val="19"/>
          <w:lang w:val="en-US" w:eastAsia="ko-KR"/>
        </w:rPr>
        <w:t xml:space="preserve">그림 2-1. 분산이 같은 정규분포와 t분포(ν = 5)의 확률밀도</w:t>
      </w:r>
    </w:p>
    <w:p>
      <w:pPr>
        <w:keepNext w:val="false"/>
        <w:widowControl/>
        <w:spacing w:after="120" w:before="0" w:line="384"/>
        <w:ind w:firstLine="220"/>
        <w:jc w:val="both"/>
      </w:pPr>
      <w:r>
        <w:rPr>
          <w:rFonts w:ascii="바탕" w:cs="바탕" w:eastAsia="바탕" w:hAnsi="바탕"/>
          <w:sz w:val="22"/>
          <w:szCs w:val="22"/>
          <w:lang w:val="en-US" w:eastAsia="ko-KR"/>
        </w:rPr>
        <w:t xml:space="preserve">국면 전환은 시장이 서로 다른 상태(국면)를 오가며 국면마다 수익률의 분포가 달라지는 성질이다. Hamilton(1989)의 마르코프 전환 모형에서는 관찰되지 않는 국면 S</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가 마르코프 과정을 따르고, 수익률은 그날의 국면에 따라 다른 분포에서 나온다.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S</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s ~ N(μ</w:t>
      </w:r>
      <w:r>
        <w:rPr>
          <w:rFonts w:ascii="바탕" w:cs="바탕" w:eastAsia="바탕" w:hAnsi="바탕"/>
          <w:sz w:val="22"/>
          <w:szCs w:val="22"/>
          <w:vertAlign w:val="subscript"/>
          <w:lang w:val="en-US" w:eastAsia="ko-KR"/>
        </w:rPr>
        <w:t xml:space="preserve">s</w:t>
      </w:r>
      <w:r>
        <w:rPr>
          <w:rFonts w:ascii="바탕" w:cs="바탕" w:eastAsia="바탕" w:hAnsi="바탕"/>
          <w:sz w:val="22"/>
          <w:szCs w:val="22"/>
          <w:lang w:val="en-US" w:eastAsia="ko-KR"/>
        </w:rPr>
        <w:t xml:space="preserve">, σ</w:t>
      </w:r>
      <w:r>
        <w:rPr>
          <w:rFonts w:ascii="바탕" w:cs="바탕" w:eastAsia="바탕" w:hAnsi="바탕"/>
          <w:sz w:val="22"/>
          <w:szCs w:val="22"/>
          <w:vertAlign w:val="subscript"/>
          <w:lang w:val="en-US" w:eastAsia="ko-KR"/>
        </w:rPr>
        <w:t xml:space="preserve">s</w:t>
      </w:r>
      <w:r>
        <w:rPr>
          <w:rFonts w:ascii="바탕" w:cs="바탕" w:eastAsia="바탕" w:hAnsi="바탕"/>
          <w:sz w:val="22"/>
          <w:szCs w:val="22"/>
          <w:vertAlign w:val="superscript"/>
          <w:lang w:val="en-US" w:eastAsia="ko-KR"/>
        </w:rPr>
        <w:t xml:space="preserve">2</w:t>
      </w:r>
      <w:r>
        <w:rPr>
          <w:rFonts w:ascii="바탕" w:cs="바탕" w:eastAsia="바탕" w:hAnsi="바탕"/>
          <w:sz w:val="22"/>
          <w:szCs w:val="22"/>
          <w:lang w:val="en-US" w:eastAsia="ko-KR"/>
        </w:rPr>
        <w:t xml:space="preserve">),   P(S</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j | S</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 = i) = p</w:t>
      </w:r>
      <w:r>
        <w:rPr>
          <w:rFonts w:ascii="바탕" w:cs="바탕" w:eastAsia="바탕" w:hAnsi="바탕"/>
          <w:sz w:val="22"/>
          <w:szCs w:val="22"/>
          <w:vertAlign w:val="subscript"/>
          <w:lang w:val="en-US" w:eastAsia="ko-KR"/>
        </w:rPr>
        <w:t xml:space="preserve">ij</w:t>
      </w:r>
      <w:r>
        <w:rPr>
          <w:rFonts w:ascii="바탕" w:cs="바탕" w:eastAsia="바탕" w:hAnsi="바탕"/>
          <w:sz w:val="22"/>
          <w:szCs w:val="22"/>
        </w:rPr>
        <w:tab/>
        <w:t xml:space="preserve">(2.4)</w:t>
      </w:r>
    </w:p>
    <w:p>
      <w:pPr>
        <w:keepNext w:val="false"/>
        <w:widowControl/>
        <w:spacing w:after="120" w:before="0" w:line="384"/>
        <w:ind w:firstLine="220"/>
        <w:jc w:val="both"/>
      </w:pPr>
      <w:r>
        <w:rPr>
          <w:rFonts w:ascii="바탕" w:cs="바탕" w:eastAsia="바탕" w:hAnsi="바탕"/>
          <w:sz w:val="22"/>
          <w:szCs w:val="22"/>
          <w:lang w:val="en-US" w:eastAsia="ko-KR"/>
        </w:rPr>
        <w:t xml:space="preserve">국면 i에 머무는 기간의 기댓값은 1 / (1 − p</w:t>
      </w:r>
      <w:r>
        <w:rPr>
          <w:rFonts w:ascii="바탕" w:cs="바탕" w:eastAsia="바탕" w:hAnsi="바탕"/>
          <w:sz w:val="22"/>
          <w:szCs w:val="22"/>
          <w:vertAlign w:val="subscript"/>
          <w:lang w:val="en-US" w:eastAsia="ko-KR"/>
        </w:rPr>
        <w:t xml:space="preserve">ii</w:t>
      </w:r>
      <w:r>
        <w:rPr>
          <w:rFonts w:ascii="바탕" w:cs="바탕" w:eastAsia="바탕" w:hAnsi="바탕"/>
          <w:sz w:val="22"/>
          <w:szCs w:val="22"/>
          <w:lang w:val="en-US" w:eastAsia="ko-KR"/>
        </w:rPr>
        <w:t xml:space="preserve">)이다. 예를 들어 평온기에 다음 날도 머물 확률이 0.99이면 평온기는 평균 100일, 격변기에 머물 확률이 0.95이면 격변기는 평균 20일 이어진다. 국면마다 분산이 다르면, 국면을 구분하지 않고 전체를 하나의 분포로 볼 때 정규분포의 혼합이 되어 꼬리가 두꺼워진다. 이 성질은 4.3.3절의 결과를 해석하는 데 쓰인다.</w:t>
      </w:r>
    </w:p>
    <w:p>
      <w:pPr>
        <w:keepNext w:val="false"/>
        <w:widowControl/>
        <w:spacing w:after="120" w:before="0" w:line="384"/>
        <w:ind w:firstLine="220"/>
        <w:jc w:val="both"/>
      </w:pPr>
      <w:r>
        <w:rPr>
          <w:rFonts w:ascii="바탕" w:cs="바탕" w:eastAsia="바탕" w:hAnsi="바탕"/>
          <w:sz w:val="22"/>
          <w:szCs w:val="22"/>
          <w:lang w:val="en-US" w:eastAsia="ko-KR"/>
        </w:rPr>
        <w:t xml:space="preserve">세 성질은 실제 데이터에서 함께 나타나므로, 실제 주가만으로는 각 성질이 예측구간에 주는 영향을 분리하기 어렵다. 본 연구가 합성 데이터로 성질을 하나씩 통제하는 이유이다(3.2절).</w:t>
      </w:r>
    </w:p>
    <w:p>
      <w:pPr>
        <w:pStyle w:val="Heading2"/>
        <w:keepNext/>
      </w:pPr>
      <w:r>
        <w:rPr>
          <w:rFonts w:ascii="바탕" w:cs="바탕" w:eastAsia="바탕" w:hAnsi="바탕"/>
          <w:lang w:val="en-US" w:eastAsia="ko-KR"/>
        </w:rPr>
        <w:t xml:space="preserve">2.2 시계열 예측 모델의 발전</w:t>
      </w:r>
    </w:p>
    <w:p>
      <w:pPr>
        <w:pStyle w:val="Heading3"/>
        <w:keepNext/>
      </w:pPr>
      <w:r>
        <w:rPr>
          <w:rFonts w:ascii="바탕" w:cs="바탕" w:eastAsia="바탕" w:hAnsi="바탕"/>
          <w:lang w:val="en-US" w:eastAsia="ko-KR"/>
        </w:rPr>
        <w:t xml:space="preserve">2.2.1 통계적 시계열 모형</w:t>
      </w:r>
    </w:p>
    <w:p>
      <w:pPr>
        <w:keepNext w:val="false"/>
        <w:widowControl/>
        <w:spacing w:after="120" w:before="0" w:line="384"/>
        <w:ind w:firstLine="220"/>
        <w:jc w:val="both"/>
      </w:pPr>
      <w:r>
        <w:rPr>
          <w:rFonts w:ascii="바탕" w:cs="바탕" w:eastAsia="바탕" w:hAnsi="바탕"/>
          <w:sz w:val="22"/>
          <w:szCs w:val="22"/>
          <w:lang w:val="en-US" w:eastAsia="ko-KR"/>
        </w:rPr>
        <w:t xml:space="preserve">전통적인 시계열 예측은 데이터가 만들어지는 과정을 모형으로 가정하고, 예측할 계열마다 그 모형의 모수를 추정하는 방식이었다. ARIMA 모형(Box, Jenkins, 1970)은 계열의 수준이 과거 값과 과거 오차에 따라 움직이는 방식을, 2.1.2절의 ARCH·GARCH 모형은 분산이 움직이는 방식을 표현한다. 이 방식은 구조가 명확하여 해석이 쉽고 적은 자료로도 추정할 수 있지만, 계열마다 모형을 정하고 추정해야 하며 가정한 구조를 벗어나는 패턴은 표현하지 못한다. 본 연구의 기준 모형인 과거변동(RW)과 GARCH(1,1)-t는 이 계열에 속한다(3.4절).</w:t>
      </w:r>
    </w:p>
    <w:p>
      <w:pPr>
        <w:pStyle w:val="Heading3"/>
        <w:keepNext/>
      </w:pPr>
      <w:r>
        <w:rPr>
          <w:rFonts w:ascii="바탕" w:cs="바탕" w:eastAsia="바탕" w:hAnsi="바탕"/>
          <w:lang w:val="en-US" w:eastAsia="ko-KR"/>
        </w:rPr>
        <w:t xml:space="preserve">2.2.2 딥러닝 예측 모델</w:t>
      </w:r>
    </w:p>
    <w:p>
      <w:pPr>
        <w:keepNext w:val="false"/>
        <w:widowControl/>
        <w:spacing w:after="120" w:before="0" w:line="384"/>
        <w:ind w:firstLine="220"/>
        <w:jc w:val="both"/>
      </w:pPr>
      <w:r>
        <w:rPr>
          <w:rFonts w:ascii="바탕" w:cs="바탕" w:eastAsia="바탕" w:hAnsi="바탕"/>
          <w:sz w:val="22"/>
          <w:szCs w:val="22"/>
          <w:lang w:val="en-US" w:eastAsia="ko-KR"/>
        </w:rPr>
        <w:t xml:space="preserve">2010년대 후반부터는 여러 계열을 한꺼번에 학습하는 신경망 예측 모델이 널리 쓰이기 시작하였다. DeepAR(Salinas 외, 2020)은 순환 신경망으로 여러 관련 계열을 함께 학습하고, 다음 시점 값의 확률분포를 출력하는 확률 예측 모델이다. 이후 자연어 처리에서 성공한 트랜스포머 구조(Vaswani 외, 2017)가 시계열에 도입되었고, PatchTST(Nie 외, 2023)는 시계열을 일정 길이의 조각(패치)으로 잘라 하나의 입력 단위로 다루는 방식을 제안하였다. 그러나 이 모델들은 예측할 데이터로 다시 학습해야 하므로, 자료가 적거나 계열이 자주 바뀌는 환경에서는 쓰기 어렵다.</w:t>
      </w:r>
    </w:p>
    <w:p>
      <w:pPr>
        <w:pStyle w:val="Heading3"/>
        <w:keepNext/>
      </w:pPr>
      <w:r>
        <w:rPr>
          <w:rFonts w:ascii="바탕" w:cs="바탕" w:eastAsia="바탕" w:hAnsi="바탕"/>
          <w:lang w:val="en-US" w:eastAsia="ko-KR"/>
        </w:rPr>
        <w:t xml:space="preserve">2.2.3 시계열 파운데이션 모델</w:t>
      </w:r>
    </w:p>
    <w:p>
      <w:pPr>
        <w:keepNext w:val="false"/>
        <w:widowControl/>
        <w:spacing w:after="120" w:before="0" w:line="384"/>
        <w:ind w:firstLine="220"/>
        <w:jc w:val="both"/>
      </w:pPr>
      <w:r>
        <w:rPr>
          <w:rFonts w:ascii="바탕" w:cs="바탕" w:eastAsia="바탕" w:hAnsi="바탕"/>
          <w:sz w:val="22"/>
          <w:szCs w:val="22"/>
          <w:lang w:val="en-US" w:eastAsia="ko-KR"/>
        </w:rPr>
        <w:t xml:space="preserve">파운데이션 모델은 대규모 데이터로 미리 학습하여 다양한 하위 과제에 적용할 수 있는 모델을 말한다(Bommasani 외, 2021). 대규모 언어 모델은 문장에서 앞뒤 단어가 서로의 의미를 정하는 관계를 방대한 텍스트로 학습하여, 새로운 과제도 예시 몇 개나 지시만으로 수행할 수 있게 되었다(Brown 외, 2020). 시계열 파운데이션 모델(time series foundation model, TSFM)은 이 발상을 시계열에 옮긴 것이다. 시계열도 앞뒤 값이 서로 영향을 주고받는 순서 있는 자료이므로, 여러 분야의 시계열을 대량으로 학습하면 처음 보는 계열에서도 추가 학습 없이(제로샷) 다음 값을 예측할 수 있으리라는 것이다.</w:t>
      </w:r>
    </w:p>
    <w:p>
      <w:pPr>
        <w:keepNext/>
        <w:widowControl/>
        <w:spacing w:after="120" w:before="0" w:line="384"/>
        <w:ind w:firstLine="220"/>
        <w:jc w:val="both"/>
      </w:pPr>
      <w:r>
        <w:rPr>
          <w:rFonts w:ascii="바탕" w:cs="바탕" w:eastAsia="바탕" w:hAnsi="바탕"/>
          <w:sz w:val="22"/>
          <w:szCs w:val="22"/>
          <w:lang w:val="en-US" w:eastAsia="ko-KR"/>
        </w:rPr>
        <w:t xml:space="preserve">시계열을 언어 모델 구조에 넣으려면 연속된 실수 값을 모델이 다룰 수 있는 입력 단위로 바꾸어야 한다. 방식은 크게 두 가지이다. 하나는 값을 일정한 범위의 구간에 대응시켜 단어처럼 이산적인 토큰으로 바꾸는 방식(Chronos)이고, 다른 하나는 연속된 몇 개의 값을 묶은 패치를 하나의 입력 벡터로 쓰는 방식(TimesFM, Moirai)이다. 그림 2-2는 두 방식이 과거 값을 받아 예측 분포를 내기까지의 과정을 비교한 것이다. 토큰화 방식은 다음 토큰을 여러 번 뽑아 분포를 얻고, 패치 방식은 분위수를 한 번에 출력한다. 학습 데이터는 에너지, 교통, 날씨, 웹 트래픽 등 여러 분야의 공개 시계열과 합성 데이터로 구성되며, 금융 수익률의 비중은 작다. 예를 들어 Moirai의 학습 데이터(LOTSA)에서 경제·금융 분야는 약 0.1%이고(Woo 외, 2024), Chronos는 공개 시계열과 가우시안 과정으로 생성한 합성 데이터로 학습하였다(Ansari 외, 2024).</w:t>
      </w:r>
    </w:p>
    <w:p>
      <w:pPr>
        <w:keepNext/>
        <w:spacing w:after="60" w:before="120"/>
        <w:jc w:val="center"/>
      </w:pPr>
      <w:r>
        <w:drawing>
          <wp:inline distT="0" distB="0" distL="0" distR="0">
            <wp:extent cx="5038725"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4057650"/>
                    </a:xfrm>
                    <a:prstGeom prst="rect">
                      <a:avLst/>
                    </a:prstGeom>
                  </pic:spPr>
                </pic:pic>
              </a:graphicData>
            </a:graphic>
          </wp:inline>
        </w:drawing>
      </w:r>
    </w:p>
    <w:p>
      <w:pPr>
        <w:pStyle w:val="FigureCaption"/>
        <w:keepNext w:val="false"/>
        <w:spacing w:after="240" w:before="0" w:line="276"/>
        <w:jc w:val="center"/>
      </w:pPr>
      <w:r>
        <w:rPr>
          <w:rFonts w:ascii="바탕" w:cs="바탕" w:eastAsia="바탕" w:hAnsi="바탕"/>
          <w:sz w:val="19"/>
          <w:szCs w:val="19"/>
          <w:lang w:val="en-US" w:eastAsia="ko-KR"/>
        </w:rPr>
        <w:t xml:space="preserve">그림 2-2. 시계열 파운데이션 모델의 두 가지 입력 방식</w:t>
      </w:r>
    </w:p>
    <w:p>
      <w:pPr>
        <w:keepNext/>
        <w:widowControl/>
        <w:spacing w:after="120" w:before="0" w:line="384"/>
        <w:ind w:firstLine="220"/>
        <w:jc w:val="both"/>
      </w:pPr>
      <w:r>
        <w:rPr>
          <w:rFonts w:ascii="바탕" w:cs="바탕" w:eastAsia="바탕" w:hAnsi="바탕"/>
          <w:sz w:val="22"/>
          <w:szCs w:val="22"/>
          <w:lang w:val="en-US" w:eastAsia="ko-KR"/>
        </w:rPr>
        <w:t xml:space="preserve">본 연구가 평가하는 네 모델은 다음과 같다.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Chronos(Ansari 외, 2024): 과거 구간의 평균 절댓값으로 값을 나눈 뒤(mean scaling) [−15, +15] 범위를 같은 폭의 구간으로 나누어 토큰으로 바꾸고(어휘 4,096개), 언어 모델(T5) 구조로 다음 토큰을 예측한다. 예측을 여러 번 표본 추출해 분포를 얻으며, 표본을 뽑을 때 확률 상위 몇 개 토큰으로 후보를 제한하는 생성 설정(top-k)이 있다. 이 설정이 수익률 입력에 주는 영향은 3.4절과 부록 A.3에서 다룬다. 저자들은 이처럼 평균 절댓값으로 나눈 뒤 고정 범위를 구간화하므로 입력 계열의 값 분포에 따라 표현 범위와 정밀도가 달라질 수 있다는 한계를 밝혔다.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Chronos-2(Ansari 외, 2025): 단변량뿐 아니라 다변량·공변량 예측을 제로샷으로 지원하도록 확장한 모델로, 관련 계열 사이에 정보를 공유하는 그룹 어텐션을 사용하고 합성 데이터로 학습하였다. 0.01, 0.05, 0.1, …, 0.9, 0.95, 0.99의 21개 분위수를 직접 출력하며, 본 연구는 네 모델이 공통으로 출력하는 0.1~0.9의 9개 분위수만 사용하였다.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TimesFM(Das 외, 2024): 시계열을 일정 길이의 패치로 나누어 디코더 구조(decoder-only)로 예측하는 모델이다. 본 연구는 개선판인 TimesFM-2.5(200M)를 사용하며, 이 모델은 평균과 0.1~0.9 분위수를 출력한다.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Moirai(Woo 외, 2024)와 Moirai-2.0(Liu 외, 2025): Moirai 1.0은 여러 패치 크기와 혼합분포 출력을 사용하는 마스크 인코더 구조였으나, Moirai-2.0은 이를 단일 패치·디코더 구조·분위수 손실로 단순화하고 0.1~0.9의 9개 분위수를 출력한다. 3,600만 개 계열로 학습되었으며, 저자들은 이전 최고 버전(Moirai 1.0-Large)보다 약 2배 빠르고 30배 작다고 보고하였다. 본 연구에서 사용한 small 모델의 파라미터 수는 1,140만 개이다.</w:t>
      </w:r>
    </w:p>
    <w:p>
      <w:pPr>
        <w:keepNext w:val="false"/>
        <w:widowControl/>
        <w:spacing w:after="120" w:before="0" w:line="384"/>
        <w:ind w:firstLine="220"/>
        <w:jc w:val="both"/>
      </w:pPr>
      <w:r>
        <w:rPr>
          <w:rFonts w:ascii="바탕" w:cs="바탕" w:eastAsia="바탕" w:hAnsi="바탕"/>
          <w:sz w:val="22"/>
          <w:szCs w:val="22"/>
          <w:lang w:val="en-US" w:eastAsia="ko-KR"/>
        </w:rPr>
        <w:t xml:space="preserve">이 모델들의 성능은 주로 여러 분야를 모은 벤치마크(GIFT-Eval 등)의 정확도와 분위수 손실로 보고되었고, 금융 수익률에서 예측구간이 명목 커버리지를 충족하는지는 개발 단계에서 별도로 검증되지 않았다.</w:t>
      </w:r>
    </w:p>
    <w:p>
      <w:pPr>
        <w:pStyle w:val="Heading2"/>
        <w:keepNext/>
      </w:pPr>
      <w:r>
        <w:rPr>
          <w:rFonts w:ascii="바탕" w:cs="바탕" w:eastAsia="바탕" w:hAnsi="바탕"/>
          <w:lang w:val="en-US" w:eastAsia="ko-KR"/>
        </w:rPr>
        <w:t xml:space="preserve">2.3 확률 예측과 예측구간의 평가</w:t>
      </w:r>
    </w:p>
    <w:p>
      <w:pPr>
        <w:pStyle w:val="Heading3"/>
        <w:keepNext/>
      </w:pPr>
      <w:r>
        <w:rPr>
          <w:rFonts w:ascii="바탕" w:cs="바탕" w:eastAsia="바탕" w:hAnsi="바탕"/>
          <w:lang w:val="en-US" w:eastAsia="ko-KR"/>
        </w:rPr>
        <w:t xml:space="preserve">2.3.1 점 예측과 확률 예측</w:t>
      </w:r>
    </w:p>
    <w:p>
      <w:pPr>
        <w:keepNext w:val="false"/>
        <w:widowControl/>
        <w:spacing w:after="120" w:before="0" w:line="384"/>
        <w:ind w:firstLine="220"/>
        <w:jc w:val="both"/>
      </w:pPr>
      <w:r>
        <w:rPr>
          <w:rFonts w:ascii="바탕" w:cs="바탕" w:eastAsia="바탕" w:hAnsi="바탕"/>
          <w:sz w:val="22"/>
          <w:szCs w:val="22"/>
          <w:lang w:val="en-US" w:eastAsia="ko-KR"/>
        </w:rPr>
        <w:t xml:space="preserve">점 예측은 미래 값 하나(평균이나 중앙값)를 내놓고, 확률 예측은 미래 값의 분포 전체를 내놓는다. 분포는 누적분포함수 F나 분위수로 나타낼 수 있다. τ 분위수 q_τ는 실제값이 그보다 작거나 같을 확률이 τ인 값, 곧 P(Y ≤ q_τ) = τ를 만족하는 값이다. 두 분위수 사이의 구간이 예측구간이며, 본 연구의 80% 예측구간은 [q</w:t>
      </w:r>
      <w:r>
        <w:rPr>
          <w:rFonts w:ascii="바탕" w:cs="바탕" w:eastAsia="바탕" w:hAnsi="바탕"/>
          <w:sz w:val="22"/>
          <w:szCs w:val="22"/>
          <w:vertAlign w:val="subscript"/>
          <w:lang w:val="en-US" w:eastAsia="ko-KR"/>
        </w:rPr>
        <w:t xml:space="preserve">0.1</w:t>
      </w:r>
      <w:r>
        <w:rPr>
          <w:rFonts w:ascii="바탕" w:cs="바탕" w:eastAsia="바탕" w:hAnsi="바탕"/>
          <w:sz w:val="22"/>
          <w:szCs w:val="22"/>
          <w:lang w:val="en-US" w:eastAsia="ko-KR"/>
        </w:rPr>
        <w:t xml:space="preserve">, q</w:t>
      </w:r>
      <w:r>
        <w:rPr>
          <w:rFonts w:ascii="바탕" w:cs="바탕" w:eastAsia="바탕" w:hAnsi="바탕"/>
          <w:sz w:val="22"/>
          <w:szCs w:val="22"/>
          <w:vertAlign w:val="subscript"/>
          <w:lang w:val="en-US" w:eastAsia="ko-KR"/>
        </w:rPr>
        <w:t xml:space="preserve">0.9</w:t>
      </w:r>
      <w:r>
        <w:rPr>
          <w:rFonts w:ascii="바탕" w:cs="바탕" w:eastAsia="바탕" w:hAnsi="바탕"/>
          <w:sz w:val="22"/>
          <w:szCs w:val="22"/>
          <w:lang w:val="en-US" w:eastAsia="ko-KR"/>
        </w:rPr>
        <w:t xml:space="preserve">]이다. 명목 수준이 80%라는 것은 실제값이 이 구간 안에 들어올 확률이 80%라는 뜻이다.</w:t>
      </w:r>
    </w:p>
    <w:p>
      <w:pPr>
        <w:keepNext/>
        <w:widowControl/>
        <w:spacing w:after="120" w:before="0" w:line="384"/>
        <w:ind w:firstLine="220"/>
        <w:jc w:val="both"/>
      </w:pPr>
      <w:r>
        <w:rPr>
          <w:rFonts w:ascii="바탕" w:cs="바탕" w:eastAsia="바탕" w:hAnsi="바탕"/>
          <w:sz w:val="22"/>
          <w:szCs w:val="22"/>
          <w:lang w:val="en-US" w:eastAsia="ko-KR"/>
        </w:rPr>
        <w:t xml:space="preserve">곧 80% 예측구간은 실제값이 하단보다 낮을 확률 10%와 상단보다 높을 확률 10%를 양쪽에서 잘라 낸 가운데 구간이다. 그림 2-3은 이 관계를 분포 위에 나타낸 것이다. 가운데 칠한 부분이 80% 예측구간이고, 왼쪽 끝의 10%는 2.4.1절에서 설명하는 VaR 10%와 연결된다.</w:t>
      </w:r>
    </w:p>
    <w:p>
      <w:pPr>
        <w:keepNext/>
        <w:spacing w:after="60" w:before="120"/>
        <w:jc w:val="center"/>
      </w:pPr>
      <w:r>
        <w:drawing>
          <wp:inline distT="0" distB="0" distL="0" distR="0">
            <wp:extent cx="50387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2305050"/>
                    </a:xfrm>
                    <a:prstGeom prst="rect">
                      <a:avLst/>
                    </a:prstGeom>
                  </pic:spPr>
                </pic:pic>
              </a:graphicData>
            </a:graphic>
          </wp:inline>
        </w:drawing>
      </w:r>
    </w:p>
    <w:p>
      <w:pPr>
        <w:pStyle w:val="FigureCaption"/>
        <w:keepNext w:val="false"/>
        <w:spacing w:after="240" w:before="0" w:line="276"/>
        <w:jc w:val="center"/>
      </w:pPr>
      <w:r>
        <w:rPr>
          <w:rFonts w:ascii="바탕" w:cs="바탕" w:eastAsia="바탕" w:hAnsi="바탕"/>
          <w:sz w:val="19"/>
          <w:szCs w:val="19"/>
          <w:lang w:val="en-US" w:eastAsia="ko-KR"/>
        </w:rPr>
        <w:t xml:space="preserve">그림 2-3. 분위수, 80% 예측구간, VaR 10%의 관계</w:t>
      </w:r>
    </w:p>
    <w:p>
      <w:pPr>
        <w:pStyle w:val="Heading3"/>
        <w:keepNext/>
      </w:pPr>
      <w:r>
        <w:rPr>
          <w:rFonts w:ascii="바탕" w:cs="바탕" w:eastAsia="바탕" w:hAnsi="바탕"/>
          <w:lang w:val="en-US" w:eastAsia="ko-KR"/>
        </w:rPr>
        <w:t xml:space="preserve">2.3.2 보정과 날카로움</w:t>
      </w:r>
    </w:p>
    <w:p>
      <w:pPr>
        <w:keepNext w:val="false"/>
        <w:widowControl/>
        <w:spacing w:after="120" w:before="0" w:line="384"/>
        <w:ind w:firstLine="220"/>
        <w:jc w:val="both"/>
      </w:pPr>
      <w:r>
        <w:rPr>
          <w:rFonts w:ascii="바탕" w:cs="바탕" w:eastAsia="바탕" w:hAnsi="바탕"/>
          <w:sz w:val="22"/>
          <w:szCs w:val="22"/>
          <w:lang w:val="en-US" w:eastAsia="ko-KR"/>
        </w:rPr>
        <w:t xml:space="preserve">Gneiting 외(2007)는 좋은 확률 예측의 조건으로 보정(calibration)과 날카로움(sharpness)을 제시하였다. 보정은 예측한 확률과 실제 빈도가 일치하는가이고, 날카로움은 예측 분포가 얼마나 좁은가이다. 언제나 아주 넓은 구간을 내면 보정은 쉽게 맞출 수 있지만 쓸모가 없으므로, 목표는 "보정을 지키는 범위에서 날카로움을 최대화"하는 것이다(Gneiting, Balabdaoui, Raftery, 2007, p. 8).</w:t>
      </w:r>
    </w:p>
    <w:p>
      <w:pPr>
        <w:keepNext w:val="false"/>
        <w:widowControl/>
        <w:spacing w:after="120" w:before="0" w:line="384"/>
        <w:ind w:firstLine="220"/>
        <w:jc w:val="both"/>
      </w:pPr>
      <w:r>
        <w:rPr>
          <w:rFonts w:ascii="바탕" w:cs="바탕" w:eastAsia="바탕" w:hAnsi="바탕"/>
          <w:sz w:val="22"/>
          <w:szCs w:val="22"/>
          <w:lang w:val="en-US" w:eastAsia="ko-KR"/>
        </w:rPr>
        <w:t xml:space="preserve">예측구간의 보정은 커버리지로 확인한다. 구간 [l</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u</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]에 대한 n개의 예측 가운데 실제값 y</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가 구간 안에 든 비율이다.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Ĉ = (1/n) Σ</w:t>
      </w:r>
      <w:r>
        <w:rPr>
          <w:rFonts w:ascii="바탕" w:cs="바탕" w:eastAsia="바탕" w:hAnsi="바탕"/>
          <w:sz w:val="22"/>
          <w:szCs w:val="22"/>
          <w:vertAlign w:val="subscript"/>
          <w:lang w:val="en-US" w:eastAsia="ko-KR"/>
        </w:rPr>
        <w:t xml:space="preserve">t=1</w:t>
      </w:r>
      <w:r>
        <w:rPr>
          <w:rFonts w:ascii="바탕" w:cs="바탕" w:eastAsia="바탕" w:hAnsi="바탕"/>
          <w:sz w:val="22"/>
          <w:szCs w:val="22"/>
          <w:vertAlign w:val="superscript"/>
          <w:lang w:val="en-US" w:eastAsia="ko-KR"/>
        </w:rPr>
        <w:t xml:space="preserve">n</w:t>
      </w:r>
      <w:r>
        <w:rPr>
          <w:rFonts w:ascii="바탕" w:cs="바탕" w:eastAsia="바탕" w:hAnsi="바탕"/>
          <w:sz w:val="22"/>
          <w:szCs w:val="22"/>
          <w:lang w:val="en-US" w:eastAsia="ko-KR"/>
        </w:rPr>
        <w:t xml:space="preserve"> I(l</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y</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u</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w:t>
      </w:r>
      <w:r>
        <w:rPr>
          <w:rFonts w:ascii="바탕" w:cs="바탕" w:eastAsia="바탕" w:hAnsi="바탕"/>
          <w:sz w:val="22"/>
          <w:szCs w:val="22"/>
        </w:rPr>
        <w:tab/>
        <w:t xml:space="preserve">(2.5)</w:t>
      </w:r>
    </w:p>
    <w:p>
      <w:pPr>
        <w:keepNext/>
        <w:widowControl/>
        <w:spacing w:after="120" w:before="0" w:line="384"/>
        <w:ind w:firstLine="220"/>
        <w:jc w:val="both"/>
      </w:pPr>
      <w:r>
        <w:rPr>
          <w:rFonts w:ascii="바탕" w:cs="바탕" w:eastAsia="바탕" w:hAnsi="바탕"/>
          <w:sz w:val="22"/>
          <w:szCs w:val="22"/>
          <w:lang w:val="en-US" w:eastAsia="ko-KR"/>
        </w:rPr>
        <w:t xml:space="preserve">여기서 I(·)는 조건을 만족하면 1, 아니면 0인 지시함수이다. 그림 2-4는 가상의 40일 예시이다. 80% 구간 안에 32일이 들어왔으므로 커버리지는 80%로 명목 수준과 같다. 만약 같은 40일 중 24일만 들어왔다면 커버리지는 60%로, 구간이 너무 좁아 위험을 과소평가한 것이 된다. 반대로 38일이 들어왔다면 커버리지 95%로, 구간이 필요 이상으로 넓은 것이다.</w:t>
      </w:r>
    </w:p>
    <w:p>
      <w:pPr>
        <w:keepNext/>
        <w:spacing w:after="60" w:before="120"/>
        <w:jc w:val="center"/>
      </w:pPr>
      <w:r>
        <w:drawing>
          <wp:inline distT="0" distB="0" distL="0" distR="0">
            <wp:extent cx="5038725"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1609725"/>
                    </a:xfrm>
                    <a:prstGeom prst="rect">
                      <a:avLst/>
                    </a:prstGeom>
                  </pic:spPr>
                </pic:pic>
              </a:graphicData>
            </a:graphic>
          </wp:inline>
        </w:drawing>
      </w:r>
    </w:p>
    <w:p>
      <w:pPr>
        <w:pStyle w:val="FigureCaption"/>
        <w:keepNext w:val="false"/>
        <w:spacing w:after="240" w:before="0" w:line="276"/>
        <w:jc w:val="center"/>
      </w:pPr>
      <w:r>
        <w:rPr>
          <w:rFonts w:ascii="바탕" w:cs="바탕" w:eastAsia="바탕" w:hAnsi="바탕"/>
          <w:sz w:val="19"/>
          <w:szCs w:val="19"/>
          <w:lang w:val="en-US" w:eastAsia="ko-KR"/>
        </w:rPr>
        <w:t xml:space="preserve">그림 2-4. 예측구간과 커버리지의 예(가상 자료 40일)</w:t>
      </w:r>
    </w:p>
    <w:p>
      <w:pPr>
        <w:keepNext w:val="false"/>
        <w:widowControl/>
        <w:spacing w:after="120" w:before="0" w:line="384"/>
        <w:ind w:firstLine="220"/>
        <w:jc w:val="both"/>
      </w:pPr>
      <w:r>
        <w:rPr>
          <w:rFonts w:ascii="바탕" w:cs="바탕" w:eastAsia="바탕" w:hAnsi="바탕"/>
          <w:sz w:val="22"/>
          <w:szCs w:val="22"/>
          <w:lang w:val="en-US" w:eastAsia="ko-KR"/>
        </w:rPr>
        <w:t xml:space="preserve">커버리지는 구간 하나만 평가하므로, 날카로움은 구간의 평균 폭으로 함께 본다.</w:t>
      </w:r>
    </w:p>
    <w:p>
      <w:pPr>
        <w:pStyle w:val="Heading3"/>
        <w:keepNext/>
      </w:pPr>
      <w:r>
        <w:rPr>
          <w:rFonts w:ascii="바탕" w:cs="바탕" w:eastAsia="바탕" w:hAnsi="바탕"/>
          <w:lang w:val="en-US" w:eastAsia="ko-KR"/>
        </w:rPr>
        <w:t xml:space="preserve">2.3.3 적정 점수 규칙</w:t>
      </w:r>
    </w:p>
    <w:p>
      <w:pPr>
        <w:keepNext w:val="false"/>
        <w:widowControl/>
        <w:spacing w:after="120" w:before="0" w:line="384"/>
        <w:ind w:firstLine="220"/>
        <w:jc w:val="both"/>
      </w:pPr>
      <w:r>
        <w:rPr>
          <w:rFonts w:ascii="바탕" w:cs="바탕" w:eastAsia="바탕" w:hAnsi="바탕"/>
          <w:sz w:val="22"/>
          <w:szCs w:val="22"/>
          <w:lang w:val="en-US" w:eastAsia="ko-KR"/>
        </w:rPr>
        <w:t xml:space="preserve">분포 전체의 정확도는 점수 규칙으로 평가한다. 예측자가 자신이 믿는 분포를 그대로 내놓을 때 기대 점수가 가장 좋아지는 규칙을 적정(proper) 점수 규칙이라 하며(Gneiting, Raftery, 2007), 분위수 손실과 연속 순위 확률 점수(CRPS)가 대표적이다. τ 분위수 예측 q에 대한 분위수 손실은 분위수 회귀(Koenker, Bassett, 1978)에서 쓰는 비대칭 절댓값 손실이며, 그 모양 때문에 핀볼(pinball) 손실이라고도 한다.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ρ_τ(y, q) = (y − q)(τ − I(y &lt; q))</w:t>
      </w:r>
      <w:r>
        <w:rPr>
          <w:rFonts w:ascii="바탕" w:cs="바탕" w:eastAsia="바탕" w:hAnsi="바탕"/>
          <w:sz w:val="22"/>
          <w:szCs w:val="22"/>
        </w:rPr>
        <w:tab/>
        <w:t xml:space="preserve">(2.6)</w:t>
      </w:r>
    </w:p>
    <w:p>
      <w:pPr>
        <w:keepNext/>
        <w:widowControl/>
        <w:spacing w:after="120" w:before="0" w:line="384"/>
        <w:ind w:firstLine="220"/>
        <w:jc w:val="both"/>
      </w:pPr>
      <w:r>
        <w:rPr>
          <w:rFonts w:ascii="바탕" w:cs="바탕" w:eastAsia="바탕" w:hAnsi="바탕"/>
          <w:sz w:val="22"/>
          <w:szCs w:val="22"/>
          <w:lang w:val="en-US" w:eastAsia="ko-KR"/>
        </w:rPr>
        <w:t xml:space="preserve">실제값이 분위수보다 위에 있으면 τ의 비중으로, 아래에 있으면 1 − τ의 비중으로 오차를 벌한다. 0.9 분위수 예측은 실제값이 그보다 높을 확률을 10%로 본 것이므로, 실제값이 그보다 높게 나오면 크게 벌하고 낮게 나오면 작게 벌한다. 예를 들어 0.9 분위수를 1%로 예측했는데 실제값이 3%였다면 손실은 (3 − 1) × 0.9 = 1.8이고, 실제값이 −1%였다면 (−1 − 1) × (0.9 − 1) = 0.2이다. 이렇게 벌하면 손실이 가장 작아지는 예측이 정확히 실제 분포의 90% 지점이 되므로, 분위수 손실로 분위수 예측의 정확도를 잴 수 있다. 그림 2-5는 분위수마다 벌점의 기울기가 어떻게 다른지 보여 준다.</w:t>
      </w:r>
    </w:p>
    <w:p>
      <w:pPr>
        <w:keepNext/>
        <w:spacing w:after="60" w:before="120"/>
        <w:jc w:val="center"/>
      </w:pPr>
      <w:r>
        <w:drawing>
          <wp:inline distT="0" distB="0" distL="0" distR="0">
            <wp:extent cx="503872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2476500"/>
                    </a:xfrm>
                    <a:prstGeom prst="rect">
                      <a:avLst/>
                    </a:prstGeom>
                  </pic:spPr>
                </pic:pic>
              </a:graphicData>
            </a:graphic>
          </wp:inline>
        </w:drawing>
      </w:r>
    </w:p>
    <w:p>
      <w:pPr>
        <w:pStyle w:val="FigureCaption"/>
        <w:keepNext w:val="false"/>
        <w:spacing w:after="240" w:before="0" w:line="276"/>
        <w:jc w:val="center"/>
      </w:pPr>
      <w:r>
        <w:rPr>
          <w:rFonts w:ascii="바탕" w:cs="바탕" w:eastAsia="바탕" w:hAnsi="바탕"/>
          <w:sz w:val="19"/>
          <w:szCs w:val="19"/>
          <w:lang w:val="en-US" w:eastAsia="ko-KR"/>
        </w:rPr>
        <w:t xml:space="preserve">그림 2-5. 분위수 수준에 따른 분위수 손실의 모양</w:t>
      </w:r>
    </w:p>
    <w:p>
      <w:pPr>
        <w:keepNext w:val="false"/>
        <w:widowControl/>
        <w:spacing w:after="120" w:before="0" w:line="384"/>
        <w:ind w:firstLine="220"/>
        <w:jc w:val="both"/>
      </w:pPr>
      <w:r>
        <w:rPr>
          <w:rFonts w:ascii="바탕" w:cs="바탕" w:eastAsia="바탕" w:hAnsi="바탕"/>
          <w:sz w:val="22"/>
          <w:szCs w:val="22"/>
          <w:lang w:val="en-US" w:eastAsia="ko-KR"/>
        </w:rPr>
        <w:t xml:space="preserve">CRPS는 예측 누적분포함수와 실제값의 계단 함수 사이의 차이를 적분한 것이며, 모든 분위수 수준에 대한 분위수 손실을 평균한 것과 같다.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CRPS(F, y) = ∫ (F(z) − I(y ≤ z))</w:t>
      </w:r>
      <w:r>
        <w:rPr>
          <w:rFonts w:ascii="바탕" w:cs="바탕" w:eastAsia="바탕" w:hAnsi="바탕"/>
          <w:sz w:val="22"/>
          <w:szCs w:val="22"/>
          <w:vertAlign w:val="superscript"/>
          <w:lang w:val="en-US" w:eastAsia="ko-KR"/>
        </w:rPr>
        <w:t xml:space="preserve">2</w:t>
      </w:r>
      <w:r>
        <w:rPr>
          <w:rFonts w:ascii="바탕" w:cs="바탕" w:eastAsia="바탕" w:hAnsi="바탕"/>
          <w:sz w:val="22"/>
          <w:szCs w:val="22"/>
          <w:lang w:val="en-US" w:eastAsia="ko-KR"/>
        </w:rPr>
        <w:t xml:space="preserve"> dz = 2 ∫</w:t>
      </w:r>
      <w:r>
        <w:rPr>
          <w:rFonts w:ascii="바탕" w:cs="바탕" w:eastAsia="바탕" w:hAnsi="바탕"/>
          <w:sz w:val="22"/>
          <w:szCs w:val="22"/>
          <w:vertAlign w:val="subscript"/>
          <w:lang w:val="en-US" w:eastAsia="ko-KR"/>
        </w:rPr>
        <w:t xml:space="preserve">0</w:t>
      </w:r>
      <w:r>
        <w:rPr>
          <w:rFonts w:ascii="바탕" w:cs="바탕" w:eastAsia="바탕" w:hAnsi="바탕"/>
          <w:sz w:val="22"/>
          <w:szCs w:val="22"/>
          <w:vertAlign w:val="superscript"/>
          <w:lang w:val="en-US" w:eastAsia="ko-KR"/>
        </w:rPr>
        <w:t xml:space="preserve">1</w:t>
      </w:r>
      <w:r>
        <w:rPr>
          <w:rFonts w:ascii="바탕" w:cs="바탕" w:eastAsia="바탕" w:hAnsi="바탕"/>
          <w:sz w:val="22"/>
          <w:szCs w:val="22"/>
          <w:lang w:val="en-US" w:eastAsia="ko-KR"/>
        </w:rPr>
        <w:t xml:space="preserve"> ρ_τ(y, F</w:t>
      </w:r>
      <w:r>
        <w:rPr>
          <w:rFonts w:ascii="바탕" w:cs="바탕" w:eastAsia="바탕" w:hAnsi="바탕"/>
          <w:sz w:val="22"/>
          <w:szCs w:val="22"/>
          <w:vertAlign w:val="superscript"/>
          <w:lang w:val="en-US" w:eastAsia="ko-KR"/>
        </w:rPr>
        <w:t xml:space="preserve">−1</w:t>
      </w:r>
      <w:r>
        <w:rPr>
          <w:rFonts w:ascii="바탕" w:cs="바탕" w:eastAsia="바탕" w:hAnsi="바탕"/>
          <w:sz w:val="22"/>
          <w:szCs w:val="22"/>
          <w:lang w:val="en-US" w:eastAsia="ko-KR"/>
        </w:rPr>
        <w:t xml:space="preserve">(τ)) dτ</w:t>
      </w:r>
      <w:r>
        <w:rPr>
          <w:rFonts w:ascii="바탕" w:cs="바탕" w:eastAsia="바탕" w:hAnsi="바탕"/>
          <w:sz w:val="22"/>
          <w:szCs w:val="22"/>
        </w:rPr>
        <w:tab/>
        <w:t xml:space="preserve">(2.7)</w:t>
      </w:r>
    </w:p>
    <w:p>
      <w:pPr>
        <w:keepNext w:val="false"/>
        <w:widowControl/>
        <w:spacing w:after="120" w:before="0" w:line="384"/>
        <w:ind w:firstLine="220"/>
        <w:jc w:val="both"/>
      </w:pPr>
      <w:r>
        <w:rPr>
          <w:rFonts w:ascii="바탕" w:cs="바탕" w:eastAsia="바탕" w:hAnsi="바탕"/>
          <w:sz w:val="22"/>
          <w:szCs w:val="22"/>
          <w:lang w:val="en-US" w:eastAsia="ko-KR"/>
        </w:rPr>
        <w:t xml:space="preserve">본 연구는 네 모델이 공통으로 내는 9개 분위수(0.1, 0.2, …, 0.9)의 분위수 손실 평균을 CRPS의 근사로 사용한다(3.6.1절).</w:t>
      </w:r>
    </w:p>
    <w:p>
      <w:pPr>
        <w:pStyle w:val="Heading2"/>
        <w:keepNext/>
      </w:pPr>
      <w:r>
        <w:rPr>
          <w:rFonts w:ascii="바탕" w:cs="바탕" w:eastAsia="바탕" w:hAnsi="바탕"/>
          <w:lang w:val="en-US" w:eastAsia="ko-KR"/>
        </w:rPr>
        <w:t xml:space="preserve">2.4 위험 관리에서의 예측구간</w:t>
      </w:r>
    </w:p>
    <w:p>
      <w:pPr>
        <w:pStyle w:val="Heading3"/>
        <w:keepNext/>
      </w:pPr>
      <w:r>
        <w:rPr>
          <w:rFonts w:ascii="바탕" w:cs="바탕" w:eastAsia="바탕" w:hAnsi="바탕"/>
          <w:lang w:val="en-US" w:eastAsia="ko-KR"/>
        </w:rPr>
        <w:t xml:space="preserve">2.4.1 VaR</w:t>
      </w:r>
    </w:p>
    <w:p>
      <w:pPr>
        <w:keepNext w:val="false"/>
        <w:widowControl/>
        <w:spacing w:after="120" w:before="0" w:line="384"/>
        <w:ind w:firstLine="220"/>
        <w:jc w:val="both"/>
      </w:pPr>
      <w:r>
        <w:rPr>
          <w:rFonts w:ascii="바탕" w:cs="바탕" w:eastAsia="바탕" w:hAnsi="바탕"/>
          <w:sz w:val="22"/>
          <w:szCs w:val="22"/>
          <w:lang w:val="en-US" w:eastAsia="ko-KR"/>
        </w:rPr>
        <w:t xml:space="preserve">VaR(Value at Risk)은 일정 기간 동안 주어진 확률로만 넘어설 손실의 한도이다. 하루 수익률 분포의 p 분위수로 정의하며, 다음을 만족한다.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P(r</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 &lt; VaR</w:t>
      </w:r>
      <w:r>
        <w:rPr>
          <w:rFonts w:ascii="바탕" w:cs="바탕" w:eastAsia="바탕" w:hAnsi="바탕"/>
          <w:sz w:val="22"/>
          <w:szCs w:val="22"/>
          <w:vertAlign w:val="subscript"/>
          <w:lang w:val="en-US" w:eastAsia="ko-KR"/>
        </w:rPr>
        <w:t xml:space="preserve">t</w:t>
      </w:r>
      <w:r>
        <w:rPr>
          <w:rFonts w:ascii="바탕" w:cs="바탕" w:eastAsia="바탕" w:hAnsi="바탕"/>
          <w:sz w:val="22"/>
          <w:szCs w:val="22"/>
          <w:vertAlign w:val="superscript"/>
          <w:lang w:val="en-US" w:eastAsia="ko-KR"/>
        </w:rPr>
        <w:t xml:space="preserve">(p)</w:t>
      </w:r>
      <w:r>
        <w:rPr>
          <w:rFonts w:ascii="바탕" w:cs="바탕" w:eastAsia="바탕" w:hAnsi="바탕"/>
          <w:sz w:val="22"/>
          <w:szCs w:val="22"/>
          <w:lang w:val="en-US" w:eastAsia="ko-KR"/>
        </w:rPr>
        <w:t xml:space="preserve">) = p</w:t>
      </w:r>
      <w:r>
        <w:rPr>
          <w:rFonts w:ascii="바탕" w:cs="바탕" w:eastAsia="바탕" w:hAnsi="바탕"/>
          <w:sz w:val="22"/>
          <w:szCs w:val="22"/>
        </w:rPr>
        <w:tab/>
        <w:t xml:space="preserve">(2.8)</w:t>
      </w:r>
    </w:p>
    <w:p>
      <w:pPr>
        <w:keepNext w:val="false"/>
        <w:widowControl/>
        <w:spacing w:after="120" w:before="0" w:line="384"/>
        <w:ind w:firstLine="220"/>
        <w:jc w:val="both"/>
      </w:pPr>
      <w:r>
        <w:rPr>
          <w:rFonts w:ascii="바탕" w:cs="바탕" w:eastAsia="바탕" w:hAnsi="바탕"/>
          <w:sz w:val="22"/>
          <w:szCs w:val="22"/>
          <w:lang w:val="en-US" w:eastAsia="ko-KR"/>
        </w:rPr>
        <w:t xml:space="preserve">VaR 10%는 다음 날 수익률이 그보다 낮을 확률이 10%인 값으로, 80% 예측구간의 하단 q</w:t>
      </w:r>
      <w:r>
        <w:rPr>
          <w:rFonts w:ascii="바탕" w:cs="바탕" w:eastAsia="바탕" w:hAnsi="바탕"/>
          <w:sz w:val="22"/>
          <w:szCs w:val="22"/>
          <w:vertAlign w:val="subscript"/>
          <w:lang w:val="en-US" w:eastAsia="ko-KR"/>
        </w:rPr>
        <w:t xml:space="preserve">0.1</w:t>
      </w:r>
      <w:r>
        <w:rPr>
          <w:rFonts w:ascii="바탕" w:cs="바탕" w:eastAsia="바탕" w:hAnsi="바탕"/>
          <w:sz w:val="22"/>
          <w:szCs w:val="22"/>
          <w:lang w:val="en-US" w:eastAsia="ko-KR"/>
        </w:rPr>
        <w:t xml:space="preserve">과 같다. 예를 들어 어떤 주식의 하루 VaR 10%가 −2%라면, 내일 2% 넘게 떨어질 확률이 10%, 곧 열흘 중 하루 정도라는 뜻이다. 그림 2-3의 왼쪽 끝 칠한 부분이 이 10%에 해당한다. VaR는 금융기관의 내부 위험 관리와 시장위험 자본 규제에 널리 쓰이며, 모형이 정한 한도를 실제 손실이 넘은 날(위반)의 횟수로 모형을 사후 점검한다. 이를 백테스트라 한다(Basel Committee on Banking Supervision, 1996).</w:t>
      </w:r>
    </w:p>
    <w:p>
      <w:pPr>
        <w:pStyle w:val="Heading3"/>
        <w:keepNext/>
      </w:pPr>
      <w:r>
        <w:rPr>
          <w:rFonts w:ascii="바탕" w:cs="바탕" w:eastAsia="바탕" w:hAnsi="바탕"/>
          <w:lang w:val="en-US" w:eastAsia="ko-KR"/>
        </w:rPr>
        <w:t xml:space="preserve">2.4.2 VaR 백테스트</w:t>
      </w:r>
    </w:p>
    <w:p>
      <w:pPr>
        <w:keepNext w:val="false"/>
        <w:widowControl/>
        <w:spacing w:after="120" w:before="0" w:line="384"/>
        <w:ind w:firstLine="220"/>
        <w:jc w:val="both"/>
      </w:pPr>
      <w:r>
        <w:rPr>
          <w:rFonts w:ascii="바탕" w:cs="바탕" w:eastAsia="바탕" w:hAnsi="바탕"/>
          <w:sz w:val="22"/>
          <w:szCs w:val="22"/>
          <w:lang w:val="en-US" w:eastAsia="ko-KR"/>
        </w:rPr>
        <w:t xml:space="preserve">n일 가운데 위반이 x번 있었다면, 위반 확률이 목표 p와 같은지는 Kupiec(1995)의 비조건부 커버리지 검정으로 확인한다. 관측 위반율을 π = x / n이라 하면 검정 통계량은 다음과 같고, 위반 확률이 p라는 귀무가설 아래에서 자유도 1의 카이제곱 분포를 따른다.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LR</w:t>
      </w:r>
      <w:r>
        <w:rPr>
          <w:rFonts w:ascii="바탕" w:cs="바탕" w:eastAsia="바탕" w:hAnsi="바탕"/>
          <w:sz w:val="22"/>
          <w:szCs w:val="22"/>
          <w:vertAlign w:val="subscript"/>
          <w:lang w:val="en-US" w:eastAsia="ko-KR"/>
        </w:rPr>
        <w:t xml:space="preserve">uc</w:t>
      </w:r>
      <w:r>
        <w:rPr>
          <w:rFonts w:ascii="바탕" w:cs="바탕" w:eastAsia="바탕" w:hAnsi="바탕"/>
          <w:sz w:val="22"/>
          <w:szCs w:val="22"/>
          <w:lang w:val="en-US" w:eastAsia="ko-KR"/>
        </w:rPr>
        <w:t xml:space="preserve"> = −2 ln[ (1 − p)</w:t>
      </w:r>
      <w:r>
        <w:rPr>
          <w:rFonts w:ascii="바탕" w:cs="바탕" w:eastAsia="바탕" w:hAnsi="바탕"/>
          <w:sz w:val="22"/>
          <w:szCs w:val="22"/>
          <w:vertAlign w:val="superscript"/>
          <w:lang w:val="en-US" w:eastAsia="ko-KR"/>
        </w:rPr>
        <w:t xml:space="preserve">n−x</w:t>
      </w:r>
      <w:r>
        <w:rPr>
          <w:rFonts w:ascii="바탕" w:cs="바탕" w:eastAsia="바탕" w:hAnsi="바탕"/>
          <w:sz w:val="22"/>
          <w:szCs w:val="22"/>
          <w:lang w:val="en-US" w:eastAsia="ko-KR"/>
        </w:rPr>
        <w:t xml:space="preserve"> p</w:t>
      </w:r>
      <w:r>
        <w:rPr>
          <w:rFonts w:ascii="바탕" w:cs="바탕" w:eastAsia="바탕" w:hAnsi="바탕"/>
          <w:sz w:val="22"/>
          <w:szCs w:val="22"/>
          <w:vertAlign w:val="superscript"/>
          <w:lang w:val="en-US" w:eastAsia="ko-KR"/>
        </w:rPr>
        <w:t xml:space="preserve">x</w:t>
      </w:r>
      <w:r>
        <w:rPr>
          <w:rFonts w:ascii="바탕" w:cs="바탕" w:eastAsia="바탕" w:hAnsi="바탕"/>
          <w:sz w:val="22"/>
          <w:szCs w:val="22"/>
          <w:lang w:val="en-US" w:eastAsia="ko-KR"/>
        </w:rPr>
        <w:t xml:space="preserve"> / ((1 − π)</w:t>
      </w:r>
      <w:r>
        <w:rPr>
          <w:rFonts w:ascii="바탕" w:cs="바탕" w:eastAsia="바탕" w:hAnsi="바탕"/>
          <w:sz w:val="22"/>
          <w:szCs w:val="22"/>
          <w:vertAlign w:val="superscript"/>
          <w:lang w:val="en-US" w:eastAsia="ko-KR"/>
        </w:rPr>
        <w:t xml:space="preserve">n−x</w:t>
      </w:r>
      <w:r>
        <w:rPr>
          <w:rFonts w:ascii="바탕" w:cs="바탕" w:eastAsia="바탕" w:hAnsi="바탕"/>
          <w:sz w:val="22"/>
          <w:szCs w:val="22"/>
          <w:lang w:val="en-US" w:eastAsia="ko-KR"/>
        </w:rPr>
        <w:t xml:space="preserve"> π</w:t>
      </w:r>
      <w:r>
        <w:rPr>
          <w:rFonts w:ascii="바탕" w:cs="바탕" w:eastAsia="바탕" w:hAnsi="바탕"/>
          <w:sz w:val="22"/>
          <w:szCs w:val="22"/>
          <w:vertAlign w:val="superscript"/>
          <w:lang w:val="en-US" w:eastAsia="ko-KR"/>
        </w:rPr>
        <w:t xml:space="preserve">x</w:t>
      </w:r>
      <w:r>
        <w:rPr>
          <w:rFonts w:ascii="바탕" w:cs="바탕" w:eastAsia="바탕" w:hAnsi="바탕"/>
          <w:sz w:val="22"/>
          <w:szCs w:val="22"/>
          <w:lang w:val="en-US" w:eastAsia="ko-KR"/>
        </w:rPr>
        <w:t xml:space="preserve">) ]</w:t>
      </w:r>
      <w:r>
        <w:rPr>
          <w:rFonts w:ascii="바탕" w:cs="바탕" w:eastAsia="바탕" w:hAnsi="바탕"/>
          <w:sz w:val="22"/>
          <w:szCs w:val="22"/>
        </w:rPr>
        <w:tab/>
        <w:t xml:space="preserve">(2.9)</w:t>
      </w:r>
    </w:p>
    <w:p>
      <w:pPr>
        <w:keepNext w:val="false"/>
        <w:widowControl/>
        <w:spacing w:after="120" w:before="0" w:line="384"/>
        <w:ind w:firstLine="220"/>
        <w:jc w:val="both"/>
      </w:pPr>
      <w:r>
        <w:rPr>
          <w:rFonts w:ascii="바탕" w:cs="바탕" w:eastAsia="바탕" w:hAnsi="바탕"/>
          <w:sz w:val="22"/>
          <w:szCs w:val="22"/>
          <w:lang w:val="en-US" w:eastAsia="ko-KR"/>
        </w:rPr>
        <w:t xml:space="preserve">예를 들어 250거래일 동안 VaR 10%를 썼다면 위반은 25번 안팎이 기대된다. 위반이 27번이면 LR</w:t>
      </w:r>
      <w:r>
        <w:rPr>
          <w:rFonts w:ascii="바탕" w:cs="바탕" w:eastAsia="바탕" w:hAnsi="바탕"/>
          <w:sz w:val="22"/>
          <w:szCs w:val="22"/>
          <w:vertAlign w:val="subscript"/>
          <w:lang w:val="en-US" w:eastAsia="ko-KR"/>
        </w:rPr>
        <w:t xml:space="preserve">uc</w:t>
      </w:r>
      <w:r>
        <w:rPr>
          <w:rFonts w:ascii="바탕" w:cs="바탕" w:eastAsia="바탕" w:hAnsi="바탕"/>
          <w:sz w:val="22"/>
          <w:szCs w:val="22"/>
          <w:lang w:val="en-US" w:eastAsia="ko-KR"/>
        </w:rPr>
        <w:t xml:space="preserve"> ≈ 0.17로 귀무가설이 기각되지 않지만, 40번이면 LR</w:t>
      </w:r>
      <w:r>
        <w:rPr>
          <w:rFonts w:ascii="바탕" w:cs="바탕" w:eastAsia="바탕" w:hAnsi="바탕"/>
          <w:sz w:val="22"/>
          <w:szCs w:val="22"/>
          <w:vertAlign w:val="subscript"/>
          <w:lang w:val="en-US" w:eastAsia="ko-KR"/>
        </w:rPr>
        <w:t xml:space="preserve">uc</w:t>
      </w:r>
      <w:r>
        <w:rPr>
          <w:rFonts w:ascii="바탕" w:cs="바탕" w:eastAsia="바탕" w:hAnsi="바탕"/>
          <w:sz w:val="22"/>
          <w:szCs w:val="22"/>
          <w:lang w:val="en-US" w:eastAsia="ko-KR"/>
        </w:rPr>
        <w:t xml:space="preserve"> ≈ 8.6으로 유의수준 5%의 기준값 3.84를 넘으므로 이 VaR가 위험을 과소평가한다고 판단한다.</w:t>
      </w:r>
    </w:p>
    <w:p>
      <w:pPr>
        <w:keepNext w:val="false"/>
        <w:widowControl/>
        <w:spacing w:after="120" w:before="0" w:line="384"/>
        <w:ind w:firstLine="220"/>
        <w:jc w:val="both"/>
      </w:pPr>
      <w:r>
        <w:rPr>
          <w:rFonts w:ascii="바탕" w:cs="바탕" w:eastAsia="바탕" w:hAnsi="바탕"/>
          <w:sz w:val="22"/>
          <w:szCs w:val="22"/>
          <w:lang w:val="en-US" w:eastAsia="ko-KR"/>
        </w:rPr>
        <w:t xml:space="preserve">위반의 비율이 맞더라도 위반이 특정 시기에 몰려 오면 위험 관리에 문제가 된다. Christoffersen(1998)은 위반 여부를 0과 1의 연속으로 보고, 어제 위반이 있었는지에 따라 오늘 위반할 확률이 달라지는지를 검정하였다. 전날 상태 i에서 오늘 상태 j로 넘어간 날의 수를 n</w:t>
      </w:r>
      <w:r>
        <w:rPr>
          <w:rFonts w:ascii="바탕" w:cs="바탕" w:eastAsia="바탕" w:hAnsi="바탕"/>
          <w:sz w:val="22"/>
          <w:szCs w:val="22"/>
          <w:vertAlign w:val="subscript"/>
          <w:lang w:val="en-US" w:eastAsia="ko-KR"/>
        </w:rPr>
        <w:t xml:space="preserve">ij</w:t>
      </w:r>
      <w:r>
        <w:rPr>
          <w:rFonts w:ascii="바탕" w:cs="바탕" w:eastAsia="바탕" w:hAnsi="바탕"/>
          <w:sz w:val="22"/>
          <w:szCs w:val="22"/>
          <w:lang w:val="en-US" w:eastAsia="ko-KR"/>
        </w:rPr>
        <w:t xml:space="preserve">, 그 추정 확률을 π</w:t>
      </w:r>
      <w:r>
        <w:rPr>
          <w:rFonts w:ascii="바탕" w:cs="바탕" w:eastAsia="바탕" w:hAnsi="바탕"/>
          <w:sz w:val="22"/>
          <w:szCs w:val="22"/>
          <w:vertAlign w:val="subscript"/>
          <w:lang w:val="en-US" w:eastAsia="ko-KR"/>
        </w:rPr>
        <w:t xml:space="preserve">01</w:t>
      </w:r>
      <w:r>
        <w:rPr>
          <w:rFonts w:ascii="바탕" w:cs="바탕" w:eastAsia="바탕" w:hAnsi="바탕"/>
          <w:sz w:val="22"/>
          <w:szCs w:val="22"/>
          <w:lang w:val="en-US" w:eastAsia="ko-KR"/>
        </w:rPr>
        <w:t xml:space="preserve"> = n</w:t>
      </w:r>
      <w:r>
        <w:rPr>
          <w:rFonts w:ascii="바탕" w:cs="바탕" w:eastAsia="바탕" w:hAnsi="바탕"/>
          <w:sz w:val="22"/>
          <w:szCs w:val="22"/>
          <w:vertAlign w:val="subscript"/>
          <w:lang w:val="en-US" w:eastAsia="ko-KR"/>
        </w:rPr>
        <w:t xml:space="preserve">01</w:t>
      </w:r>
      <w:r>
        <w:rPr>
          <w:rFonts w:ascii="바탕" w:cs="바탕" w:eastAsia="바탕" w:hAnsi="바탕"/>
          <w:sz w:val="22"/>
          <w:szCs w:val="22"/>
          <w:lang w:val="en-US" w:eastAsia="ko-KR"/>
        </w:rPr>
        <w:t xml:space="preserve"> / (n</w:t>
      </w:r>
      <w:r>
        <w:rPr>
          <w:rFonts w:ascii="바탕" w:cs="바탕" w:eastAsia="바탕" w:hAnsi="바탕"/>
          <w:sz w:val="22"/>
          <w:szCs w:val="22"/>
          <w:vertAlign w:val="subscript"/>
          <w:lang w:val="en-US" w:eastAsia="ko-KR"/>
        </w:rPr>
        <w:t xml:space="preserve">00</w:t>
      </w:r>
      <w:r>
        <w:rPr>
          <w:rFonts w:ascii="바탕" w:cs="바탕" w:eastAsia="바탕" w:hAnsi="바탕"/>
          <w:sz w:val="22"/>
          <w:szCs w:val="22"/>
          <w:lang w:val="en-US" w:eastAsia="ko-KR"/>
        </w:rPr>
        <w:t xml:space="preserve"> + n</w:t>
      </w:r>
      <w:r>
        <w:rPr>
          <w:rFonts w:ascii="바탕" w:cs="바탕" w:eastAsia="바탕" w:hAnsi="바탕"/>
          <w:sz w:val="22"/>
          <w:szCs w:val="22"/>
          <w:vertAlign w:val="subscript"/>
          <w:lang w:val="en-US" w:eastAsia="ko-KR"/>
        </w:rPr>
        <w:t xml:space="preserve">01</w:t>
      </w:r>
      <w:r>
        <w:rPr>
          <w:rFonts w:ascii="바탕" w:cs="바탕" w:eastAsia="바탕" w:hAnsi="바탕"/>
          <w:sz w:val="22"/>
          <w:szCs w:val="22"/>
          <w:lang w:val="en-US" w:eastAsia="ko-KR"/>
        </w:rPr>
        <w:t xml:space="preserve">), π</w:t>
      </w:r>
      <w:r>
        <w:rPr>
          <w:rFonts w:ascii="바탕" w:cs="바탕" w:eastAsia="바탕" w:hAnsi="바탕"/>
          <w:sz w:val="22"/>
          <w:szCs w:val="22"/>
          <w:vertAlign w:val="subscript"/>
          <w:lang w:val="en-US" w:eastAsia="ko-KR"/>
        </w:rPr>
        <w:t xml:space="preserve">11</w:t>
      </w:r>
      <w:r>
        <w:rPr>
          <w:rFonts w:ascii="바탕" w:cs="바탕" w:eastAsia="바탕" w:hAnsi="바탕"/>
          <w:sz w:val="22"/>
          <w:szCs w:val="22"/>
          <w:lang w:val="en-US" w:eastAsia="ko-KR"/>
        </w:rPr>
        <w:t xml:space="preserve"> = n</w:t>
      </w:r>
      <w:r>
        <w:rPr>
          <w:rFonts w:ascii="바탕" w:cs="바탕" w:eastAsia="바탕" w:hAnsi="바탕"/>
          <w:sz w:val="22"/>
          <w:szCs w:val="22"/>
          <w:vertAlign w:val="subscript"/>
          <w:lang w:val="en-US" w:eastAsia="ko-KR"/>
        </w:rPr>
        <w:t xml:space="preserve">11</w:t>
      </w:r>
      <w:r>
        <w:rPr>
          <w:rFonts w:ascii="바탕" w:cs="바탕" w:eastAsia="바탕" w:hAnsi="바탕"/>
          <w:sz w:val="22"/>
          <w:szCs w:val="22"/>
          <w:lang w:val="en-US" w:eastAsia="ko-KR"/>
        </w:rPr>
        <w:t xml:space="preserve"> / (n</w:t>
      </w:r>
      <w:r>
        <w:rPr>
          <w:rFonts w:ascii="바탕" w:cs="바탕" w:eastAsia="바탕" w:hAnsi="바탕"/>
          <w:sz w:val="22"/>
          <w:szCs w:val="22"/>
          <w:vertAlign w:val="subscript"/>
          <w:lang w:val="en-US" w:eastAsia="ko-KR"/>
        </w:rPr>
        <w:t xml:space="preserve">10</w:t>
      </w:r>
      <w:r>
        <w:rPr>
          <w:rFonts w:ascii="바탕" w:cs="바탕" w:eastAsia="바탕" w:hAnsi="바탕"/>
          <w:sz w:val="22"/>
          <w:szCs w:val="22"/>
          <w:lang w:val="en-US" w:eastAsia="ko-KR"/>
        </w:rPr>
        <w:t xml:space="preserve"> + n</w:t>
      </w:r>
      <w:r>
        <w:rPr>
          <w:rFonts w:ascii="바탕" w:cs="바탕" w:eastAsia="바탕" w:hAnsi="바탕"/>
          <w:sz w:val="22"/>
          <w:szCs w:val="22"/>
          <w:vertAlign w:val="subscript"/>
          <w:lang w:val="en-US" w:eastAsia="ko-KR"/>
        </w:rPr>
        <w:t xml:space="preserve">11</w:t>
      </w:r>
      <w:r>
        <w:rPr>
          <w:rFonts w:ascii="바탕" w:cs="바탕" w:eastAsia="바탕" w:hAnsi="바탕"/>
          <w:sz w:val="22"/>
          <w:szCs w:val="22"/>
          <w:lang w:val="en-US" w:eastAsia="ko-KR"/>
        </w:rPr>
        <w:t xml:space="preserve">)이라 하면, 독립성 검정 통계량은 다음과 같다.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LR</w:t>
      </w:r>
      <w:r>
        <w:rPr>
          <w:rFonts w:ascii="바탕" w:cs="바탕" w:eastAsia="바탕" w:hAnsi="바탕"/>
          <w:sz w:val="22"/>
          <w:szCs w:val="22"/>
          <w:vertAlign w:val="subscript"/>
          <w:lang w:val="en-US" w:eastAsia="ko-KR"/>
        </w:rPr>
        <w:t xml:space="preserve">ind</w:t>
      </w:r>
      <w:r>
        <w:rPr>
          <w:rFonts w:ascii="바탕" w:cs="바탕" w:eastAsia="바탕" w:hAnsi="바탕"/>
          <w:sz w:val="22"/>
          <w:szCs w:val="22"/>
          <w:lang w:val="en-US" w:eastAsia="ko-KR"/>
        </w:rPr>
        <w:t xml:space="preserve"> = −2 ln( L</w:t>
      </w:r>
      <w:r>
        <w:rPr>
          <w:rFonts w:ascii="바탕" w:cs="바탕" w:eastAsia="바탕" w:hAnsi="바탕"/>
          <w:sz w:val="22"/>
          <w:szCs w:val="22"/>
          <w:vertAlign w:val="subscript"/>
          <w:lang w:val="en-US" w:eastAsia="ko-KR"/>
        </w:rPr>
        <w:t xml:space="preserve">0</w:t>
      </w:r>
      <w:r>
        <w:rPr>
          <w:rFonts w:ascii="바탕" w:cs="바탕" w:eastAsia="바탕" w:hAnsi="바탕"/>
          <w:sz w:val="22"/>
          <w:szCs w:val="22"/>
          <w:lang w:val="en-US" w:eastAsia="ko-KR"/>
        </w:rPr>
        <w:t xml:space="preserve"> / L</w:t>
      </w:r>
      <w:r>
        <w:rPr>
          <w:rFonts w:ascii="바탕" w:cs="바탕" w:eastAsia="바탕" w:hAnsi="바탕"/>
          <w:sz w:val="22"/>
          <w:szCs w:val="22"/>
          <w:vertAlign w:val="subscript"/>
          <w:lang w:val="en-US" w:eastAsia="ko-KR"/>
        </w:rPr>
        <w:t xml:space="preserve">1</w:t>
      </w:r>
      <w:r>
        <w:rPr>
          <w:rFonts w:ascii="바탕" w:cs="바탕" w:eastAsia="바탕" w:hAnsi="바탕"/>
          <w:sz w:val="22"/>
          <w:szCs w:val="22"/>
          <w:lang w:val="en-US" w:eastAsia="ko-KR"/>
        </w:rPr>
        <w:t xml:space="preserve"> )</w:t>
      </w:r>
      <w:r>
        <w:rPr>
          <w:rFonts w:ascii="바탕" w:cs="바탕" w:eastAsia="바탕" w:hAnsi="바탕"/>
          <w:sz w:val="22"/>
          <w:szCs w:val="22"/>
        </w:rPr>
        <w:tab/>
        <w:t xml:space="preserve">(2.10)</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L</w:t>
      </w:r>
      <w:r>
        <w:rPr>
          <w:rFonts w:ascii="바탕" w:cs="바탕" w:eastAsia="바탕" w:hAnsi="바탕"/>
          <w:sz w:val="22"/>
          <w:szCs w:val="22"/>
          <w:vertAlign w:val="subscript"/>
          <w:lang w:val="en-US" w:eastAsia="ko-KR"/>
        </w:rPr>
        <w:t xml:space="preserve">0</w:t>
      </w:r>
      <w:r>
        <w:rPr>
          <w:rFonts w:ascii="바탕" w:cs="바탕" w:eastAsia="바탕" w:hAnsi="바탕"/>
          <w:sz w:val="22"/>
          <w:szCs w:val="22"/>
          <w:lang w:val="en-US" w:eastAsia="ko-KR"/>
        </w:rPr>
        <w:t xml:space="preserve"> = (1 − π)</w:t>
      </w:r>
      <w:r>
        <w:rPr>
          <w:rFonts w:ascii="바탕" w:cs="바탕" w:eastAsia="바탕" w:hAnsi="바탕"/>
          <w:sz w:val="22"/>
          <w:szCs w:val="22"/>
          <w:vertAlign w:val="superscript"/>
          <w:lang w:val="en-US" w:eastAsia="ko-KR"/>
        </w:rPr>
        <w:t xml:space="preserve">n00+n10</w:t>
      </w:r>
      <w:r>
        <w:rPr>
          <w:rFonts w:ascii="바탕" w:cs="바탕" w:eastAsia="바탕" w:hAnsi="바탕"/>
          <w:sz w:val="22"/>
          <w:szCs w:val="22"/>
          <w:lang w:val="en-US" w:eastAsia="ko-KR"/>
        </w:rPr>
        <w:t xml:space="preserve"> π</w:t>
      </w:r>
      <w:r>
        <w:rPr>
          <w:rFonts w:ascii="바탕" w:cs="바탕" w:eastAsia="바탕" w:hAnsi="바탕"/>
          <w:sz w:val="22"/>
          <w:szCs w:val="22"/>
          <w:vertAlign w:val="superscript"/>
          <w:lang w:val="en-US" w:eastAsia="ko-KR"/>
        </w:rPr>
        <w:t xml:space="preserve">n01+n11</w:t>
      </w:r>
      <w:r>
        <w:rPr>
          <w:rFonts w:ascii="바탕" w:cs="바탕" w:eastAsia="바탕" w:hAnsi="바탕"/>
          <w:sz w:val="22"/>
          <w:szCs w:val="22"/>
        </w:rPr>
        <w:tab/>
        <w:t xml:space="preserve">(2.11)</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L</w:t>
      </w:r>
      <w:r>
        <w:rPr>
          <w:rFonts w:ascii="바탕" w:cs="바탕" w:eastAsia="바탕" w:hAnsi="바탕"/>
          <w:sz w:val="22"/>
          <w:szCs w:val="22"/>
          <w:vertAlign w:val="subscript"/>
          <w:lang w:val="en-US" w:eastAsia="ko-KR"/>
        </w:rPr>
        <w:t xml:space="preserve">1</w:t>
      </w:r>
      <w:r>
        <w:rPr>
          <w:rFonts w:ascii="바탕" w:cs="바탕" w:eastAsia="바탕" w:hAnsi="바탕"/>
          <w:sz w:val="22"/>
          <w:szCs w:val="22"/>
          <w:lang w:val="en-US" w:eastAsia="ko-KR"/>
        </w:rPr>
        <w:t xml:space="preserve"> = (1 − π</w:t>
      </w:r>
      <w:r>
        <w:rPr>
          <w:rFonts w:ascii="바탕" w:cs="바탕" w:eastAsia="바탕" w:hAnsi="바탕"/>
          <w:sz w:val="22"/>
          <w:szCs w:val="22"/>
          <w:vertAlign w:val="subscript"/>
          <w:lang w:val="en-US" w:eastAsia="ko-KR"/>
        </w:rPr>
        <w:t xml:space="preserve">01</w:t>
      </w:r>
      <w:r>
        <w:rPr>
          <w:rFonts w:ascii="바탕" w:cs="바탕" w:eastAsia="바탕" w:hAnsi="바탕"/>
          <w:sz w:val="22"/>
          <w:szCs w:val="22"/>
          <w:lang w:val="en-US" w:eastAsia="ko-KR"/>
        </w:rPr>
        <w:t xml:space="preserve">)</w:t>
      </w:r>
      <w:r>
        <w:rPr>
          <w:rFonts w:ascii="바탕" w:cs="바탕" w:eastAsia="바탕" w:hAnsi="바탕"/>
          <w:sz w:val="22"/>
          <w:szCs w:val="22"/>
          <w:vertAlign w:val="superscript"/>
          <w:lang w:val="en-US" w:eastAsia="ko-KR"/>
        </w:rPr>
        <w:t xml:space="preserve">n00</w:t>
      </w:r>
      <w:r>
        <w:rPr>
          <w:rFonts w:ascii="바탕" w:cs="바탕" w:eastAsia="바탕" w:hAnsi="바탕"/>
          <w:sz w:val="22"/>
          <w:szCs w:val="22"/>
          <w:lang w:val="en-US" w:eastAsia="ko-KR"/>
        </w:rPr>
        <w:t xml:space="preserve"> π</w:t>
      </w:r>
      <w:r>
        <w:rPr>
          <w:rFonts w:ascii="바탕" w:cs="바탕" w:eastAsia="바탕" w:hAnsi="바탕"/>
          <w:sz w:val="22"/>
          <w:szCs w:val="22"/>
          <w:vertAlign w:val="subscript"/>
          <w:lang w:val="en-US" w:eastAsia="ko-KR"/>
        </w:rPr>
        <w:t xml:space="preserve">01</w:t>
      </w:r>
      <w:r>
        <w:rPr>
          <w:rFonts w:ascii="바탕" w:cs="바탕" w:eastAsia="바탕" w:hAnsi="바탕"/>
          <w:sz w:val="22"/>
          <w:szCs w:val="22"/>
          <w:vertAlign w:val="superscript"/>
          <w:lang w:val="en-US" w:eastAsia="ko-KR"/>
        </w:rPr>
        <w:t xml:space="preserve">n01</w:t>
      </w:r>
      <w:r>
        <w:rPr>
          <w:rFonts w:ascii="바탕" w:cs="바탕" w:eastAsia="바탕" w:hAnsi="바탕"/>
          <w:sz w:val="22"/>
          <w:szCs w:val="22"/>
          <w:lang w:val="en-US" w:eastAsia="ko-KR"/>
        </w:rPr>
        <w:t xml:space="preserve"> (1 − π</w:t>
      </w:r>
      <w:r>
        <w:rPr>
          <w:rFonts w:ascii="바탕" w:cs="바탕" w:eastAsia="바탕" w:hAnsi="바탕"/>
          <w:sz w:val="22"/>
          <w:szCs w:val="22"/>
          <w:vertAlign w:val="subscript"/>
          <w:lang w:val="en-US" w:eastAsia="ko-KR"/>
        </w:rPr>
        <w:t xml:space="preserve">11</w:t>
      </w:r>
      <w:r>
        <w:rPr>
          <w:rFonts w:ascii="바탕" w:cs="바탕" w:eastAsia="바탕" w:hAnsi="바탕"/>
          <w:sz w:val="22"/>
          <w:szCs w:val="22"/>
          <w:lang w:val="en-US" w:eastAsia="ko-KR"/>
        </w:rPr>
        <w:t xml:space="preserve">)</w:t>
      </w:r>
      <w:r>
        <w:rPr>
          <w:rFonts w:ascii="바탕" w:cs="바탕" w:eastAsia="바탕" w:hAnsi="바탕"/>
          <w:sz w:val="22"/>
          <w:szCs w:val="22"/>
          <w:vertAlign w:val="superscript"/>
          <w:lang w:val="en-US" w:eastAsia="ko-KR"/>
        </w:rPr>
        <w:t xml:space="preserve">n10</w:t>
      </w:r>
      <w:r>
        <w:rPr>
          <w:rFonts w:ascii="바탕" w:cs="바탕" w:eastAsia="바탕" w:hAnsi="바탕"/>
          <w:sz w:val="22"/>
          <w:szCs w:val="22"/>
          <w:lang w:val="en-US" w:eastAsia="ko-KR"/>
        </w:rPr>
        <w:t xml:space="preserve"> π</w:t>
      </w:r>
      <w:r>
        <w:rPr>
          <w:rFonts w:ascii="바탕" w:cs="바탕" w:eastAsia="바탕" w:hAnsi="바탕"/>
          <w:sz w:val="22"/>
          <w:szCs w:val="22"/>
          <w:vertAlign w:val="subscript"/>
          <w:lang w:val="en-US" w:eastAsia="ko-KR"/>
        </w:rPr>
        <w:t xml:space="preserve">11</w:t>
      </w:r>
      <w:r>
        <w:rPr>
          <w:rFonts w:ascii="바탕" w:cs="바탕" w:eastAsia="바탕" w:hAnsi="바탕"/>
          <w:sz w:val="22"/>
          <w:szCs w:val="22"/>
          <w:vertAlign w:val="superscript"/>
          <w:lang w:val="en-US" w:eastAsia="ko-KR"/>
        </w:rPr>
        <w:t xml:space="preserve">n11</w:t>
      </w:r>
      <w:r>
        <w:rPr>
          <w:rFonts w:ascii="바탕" w:cs="바탕" w:eastAsia="바탕" w:hAnsi="바탕"/>
          <w:sz w:val="22"/>
          <w:szCs w:val="22"/>
        </w:rPr>
        <w:tab/>
        <w:t xml:space="preserve">(2.12)</w:t>
      </w:r>
    </w:p>
    <w:p>
      <w:pPr>
        <w:keepNext w:val="false"/>
        <w:widowControl/>
        <w:spacing w:after="120" w:before="0" w:line="384"/>
        <w:ind w:firstLine="220"/>
        <w:jc w:val="both"/>
      </w:pPr>
      <w:r>
        <w:rPr>
          <w:rFonts w:ascii="바탕" w:cs="바탕" w:eastAsia="바탕" w:hAnsi="바탕"/>
          <w:sz w:val="22"/>
          <w:szCs w:val="22"/>
          <w:lang w:val="en-US" w:eastAsia="ko-KR"/>
        </w:rPr>
        <w:t xml:space="preserve">L</w:t>
      </w:r>
      <w:r>
        <w:rPr>
          <w:rFonts w:ascii="바탕" w:cs="바탕" w:eastAsia="바탕" w:hAnsi="바탕"/>
          <w:sz w:val="22"/>
          <w:szCs w:val="22"/>
          <w:vertAlign w:val="subscript"/>
          <w:lang w:val="en-US" w:eastAsia="ko-KR"/>
        </w:rPr>
        <w:t xml:space="preserve">0</w:t>
      </w:r>
      <w:r>
        <w:rPr>
          <w:rFonts w:ascii="바탕" w:cs="바탕" w:eastAsia="바탕" w:hAnsi="바탕"/>
          <w:sz w:val="22"/>
          <w:szCs w:val="22"/>
          <w:lang w:val="en-US" w:eastAsia="ko-KR"/>
        </w:rPr>
        <w:t xml:space="preserve">은 위반이 서로 독립이라 가정한 가능도, L</w:t>
      </w:r>
      <w:r>
        <w:rPr>
          <w:rFonts w:ascii="바탕" w:cs="바탕" w:eastAsia="바탕" w:hAnsi="바탕"/>
          <w:sz w:val="22"/>
          <w:szCs w:val="22"/>
          <w:vertAlign w:val="subscript"/>
          <w:lang w:val="en-US" w:eastAsia="ko-KR"/>
        </w:rPr>
        <w:t xml:space="preserve">1</w:t>
      </w:r>
      <w:r>
        <w:rPr>
          <w:rFonts w:ascii="바탕" w:cs="바탕" w:eastAsia="바탕" w:hAnsi="바탕"/>
          <w:sz w:val="22"/>
          <w:szCs w:val="22"/>
          <w:lang w:val="en-US" w:eastAsia="ko-KR"/>
        </w:rPr>
        <w:t xml:space="preserve">은 어제의 상태에 따라 위반 확률이 다를 수 있다고 본 가능도이며, 통계량은 자유도 1의 카이제곱 분포를 따른다. 예를 들어 250일 중 위반이 25번으로 비율은 맞더라도, 그 대부분이 며칠 사이에 연달아 일어났다면 독립성 검정에서 기각된다. 본 연구는 5.5.3절에서 두 검정을 종목별로 적용한다.</w:t>
      </w:r>
    </w:p>
    <w:p>
      <w:pPr>
        <w:pStyle w:val="Heading3"/>
        <w:keepNext/>
      </w:pPr>
      <w:r>
        <w:rPr>
          <w:rFonts w:ascii="바탕" w:cs="바탕" w:eastAsia="바탕" w:hAnsi="바탕"/>
          <w:lang w:val="en-US" w:eastAsia="ko-KR"/>
        </w:rPr>
        <w:t xml:space="preserve">2.4.3 변동성 목표 전략</w:t>
      </w:r>
    </w:p>
    <w:p>
      <w:pPr>
        <w:keepNext w:val="false"/>
        <w:widowControl/>
        <w:spacing w:after="120" w:before="0" w:line="384"/>
        <w:ind w:firstLine="220"/>
        <w:jc w:val="both"/>
      </w:pPr>
      <w:r>
        <w:rPr>
          <w:rFonts w:ascii="바탕" w:cs="바탕" w:eastAsia="바탕" w:hAnsi="바탕"/>
          <w:sz w:val="22"/>
          <w:szCs w:val="22"/>
          <w:lang w:val="en-US" w:eastAsia="ko-KR"/>
        </w:rPr>
        <w:t xml:space="preserve">예측구간은 손실 한도뿐 아니라 투자 비중을 정하는 데에도 쓰인다. 변동성 목표 전략은 예측한 변동성이 클 때 비중을 줄이고 작을 때 늘려 포트폴리오의 변동을 일정하게 유지하는 방법이며, 변동성이 높은 시기에 비중을 줄이면 위험 대비 성과가 개선된다는 보고가 있다(Moreira, Muir, 2017). 이때 예측구간이 실제보다 좁으면 변동을 작게 보아 필요 이상으로 큰 비중을 갖게 되고, 의도한 위험 수준을 넘게 된다. 예를 들어 목표 변동이 하루 1%인데 내일 예상 변동이 2%라면 비중을 50%로 줄이고, 0.5%라면 비중을 늘린다(차입하지 않으면 최대 100%). 본 연구는 5.5.2절에서 이 규칙으로 예측구간의 질이 만드는 실무적 차이를 살펴본다.</w:t>
      </w:r>
    </w:p>
    <w:p>
      <w:pPr>
        <w:pStyle w:val="Heading2"/>
        <w:keepNext/>
      </w:pPr>
      <w:r>
        <w:rPr>
          <w:rFonts w:ascii="바탕" w:cs="바탕" w:eastAsia="바탕" w:hAnsi="바탕"/>
          <w:lang w:val="en-US" w:eastAsia="ko-KR"/>
        </w:rPr>
        <w:t xml:space="preserve">2.5 콘포멀 예측과 사후보정</w:t>
      </w:r>
    </w:p>
    <w:p>
      <w:pPr>
        <w:pStyle w:val="Heading3"/>
        <w:keepNext/>
      </w:pPr>
      <w:r>
        <w:rPr>
          <w:rFonts w:ascii="바탕" w:cs="바탕" w:eastAsia="바탕" w:hAnsi="바탕"/>
          <w:lang w:val="en-US" w:eastAsia="ko-KR"/>
        </w:rPr>
        <w:t xml:space="preserve">2.5.1 콘포멀 예측</w:t>
      </w:r>
    </w:p>
    <w:p>
      <w:pPr>
        <w:keepNext w:val="false"/>
        <w:widowControl/>
        <w:spacing w:after="120" w:before="0" w:line="384"/>
        <w:ind w:firstLine="220"/>
        <w:jc w:val="both"/>
      </w:pPr>
      <w:r>
        <w:rPr>
          <w:rFonts w:ascii="바탕" w:cs="바탕" w:eastAsia="바탕" w:hAnsi="바탕"/>
          <w:sz w:val="22"/>
          <w:szCs w:val="22"/>
          <w:lang w:val="en-US" w:eastAsia="ko-KR"/>
        </w:rPr>
        <w:t xml:space="preserve">콘포멀 예측(Vovk 외, 2005)은 모델의 구조나 데이터의 분포에 대한 가정 없이 커버리지를 보장하는 예측구간을 만드는 방법이다. 가장 단순한 분할 콘포멀 예측(Lei 외, 2018)은 학습에 쓰지 않은 보정용 자료 n개에서 모델 오차의 크기를 점수 s</w:t>
      </w:r>
      <w:r>
        <w:rPr>
          <w:rFonts w:ascii="바탕" w:cs="바탕" w:eastAsia="바탕" w:hAnsi="바탕"/>
          <w:sz w:val="22"/>
          <w:szCs w:val="22"/>
          <w:vertAlign w:val="subscript"/>
          <w:lang w:val="en-US" w:eastAsia="ko-KR"/>
        </w:rPr>
        <w:t xml:space="preserve">i</w:t>
      </w:r>
      <w:r>
        <w:rPr>
          <w:rFonts w:ascii="바탕" w:cs="바탕" w:eastAsia="바탕" w:hAnsi="바탕"/>
          <w:sz w:val="22"/>
          <w:szCs w:val="22"/>
          <w:lang w:val="en-US" w:eastAsia="ko-KR"/>
        </w:rPr>
        <w:t xml:space="preserve">로 기록하고, 새 예측에는 그 점수의 ⌈(n + 1)(1 − α)⌉번째로 작은 값만큼 여유를 둔 구간을 낸다. 보정용 자료와 새 자료가 교환 가능하면, 곧 자료의 순서를 바꾸어도 결합분포가 같으면 이 구간 C는 다음을 만족한다.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P(Y</w:t>
      </w:r>
      <w:r>
        <w:rPr>
          <w:rFonts w:ascii="바탕" w:cs="바탕" w:eastAsia="바탕" w:hAnsi="바탕"/>
          <w:sz w:val="22"/>
          <w:szCs w:val="22"/>
          <w:vertAlign w:val="subscript"/>
          <w:lang w:val="en-US" w:eastAsia="ko-KR"/>
        </w:rPr>
        <w:t xml:space="preserve">n+1</w:t>
      </w:r>
      <w:r>
        <w:rPr>
          <w:rFonts w:ascii="바탕" w:cs="바탕" w:eastAsia="바탕" w:hAnsi="바탕"/>
          <w:sz w:val="22"/>
          <w:szCs w:val="22"/>
          <w:lang w:val="en-US" w:eastAsia="ko-KR"/>
        </w:rPr>
        <w:t xml:space="preserve"> ∈ C(X</w:t>
      </w:r>
      <w:r>
        <w:rPr>
          <w:rFonts w:ascii="바탕" w:cs="바탕" w:eastAsia="바탕" w:hAnsi="바탕"/>
          <w:sz w:val="22"/>
          <w:szCs w:val="22"/>
          <w:vertAlign w:val="subscript"/>
          <w:lang w:val="en-US" w:eastAsia="ko-KR"/>
        </w:rPr>
        <w:t xml:space="preserve">n+1</w:t>
      </w:r>
      <w:r>
        <w:rPr>
          <w:rFonts w:ascii="바탕" w:cs="바탕" w:eastAsia="바탕" w:hAnsi="바탕"/>
          <w:sz w:val="22"/>
          <w:szCs w:val="22"/>
          <w:lang w:val="en-US" w:eastAsia="ko-KR"/>
        </w:rPr>
        <w:t xml:space="preserve">)) ≥ 1 − α</w:t>
      </w:r>
      <w:r>
        <w:rPr>
          <w:rFonts w:ascii="바탕" w:cs="바탕" w:eastAsia="바탕" w:hAnsi="바탕"/>
          <w:sz w:val="22"/>
          <w:szCs w:val="22"/>
        </w:rPr>
        <w:tab/>
        <w:t xml:space="preserve">(2.13)</w:t>
      </w:r>
    </w:p>
    <w:p>
      <w:pPr>
        <w:keepNext w:val="false"/>
        <w:widowControl/>
        <w:spacing w:after="120" w:before="0" w:line="384"/>
        <w:ind w:firstLine="220"/>
        <w:jc w:val="both"/>
      </w:pPr>
      <w:r>
        <w:rPr>
          <w:rFonts w:ascii="바탕" w:cs="바탕" w:eastAsia="바탕" w:hAnsi="바탕"/>
          <w:sz w:val="22"/>
          <w:szCs w:val="22"/>
          <w:lang w:val="en-US" w:eastAsia="ko-KR"/>
        </w:rPr>
        <w:t xml:space="preserve">이 보장은 모델이 얼마나 정확한지와 무관하다. 모델이 부정확하면 구간이 넓어질 뿐 커버리지는 지켜진다. 예를 들어 보정용 자료가 99개이고 α = 0.2이면 ⌈100 × 0.8⌉ = 80번째로 작은 점수를 여유로 쓴다. 과거 오차의 80%가 그 안에 들어왔으므로, 새 자료도 80% 이상의 확률로 그 안에 들어온다는 논리이다.</w:t>
      </w:r>
    </w:p>
    <w:p>
      <w:pPr>
        <w:pStyle w:val="Heading3"/>
        <w:keepNext/>
      </w:pPr>
      <w:r>
        <w:rPr>
          <w:rFonts w:ascii="바탕" w:cs="바탕" w:eastAsia="바탕" w:hAnsi="바탕"/>
          <w:lang w:val="en-US" w:eastAsia="ko-KR"/>
        </w:rPr>
        <w:t xml:space="preserve">2.5.2 콘포멀 분위수 회귀</w:t>
      </w:r>
    </w:p>
    <w:p>
      <w:pPr>
        <w:keepNext w:val="false"/>
        <w:widowControl/>
        <w:spacing w:after="120" w:before="0" w:line="384"/>
        <w:ind w:firstLine="220"/>
        <w:jc w:val="both"/>
      </w:pPr>
      <w:r>
        <w:rPr>
          <w:rFonts w:ascii="바탕" w:cs="바탕" w:eastAsia="바탕" w:hAnsi="바탕"/>
          <w:sz w:val="22"/>
          <w:szCs w:val="22"/>
          <w:lang w:val="en-US" w:eastAsia="ko-KR"/>
        </w:rPr>
        <w:t xml:space="preserve">분할 콘포멀 예측은 모든 시점에 같은 크기의 여유를 더하므로, 변동이 큰 날과 작은 날을 구분하지 못한다. 콘포멀 분위수 회귀(conformalized quantile regression, CQR; Romano 외, 2019)는 모델이 낸 분위수 구간 [q</w:t>
      </w:r>
      <w:r>
        <w:rPr>
          <w:rFonts w:ascii="바탕" w:cs="바탕" w:eastAsia="바탕" w:hAnsi="바탕"/>
          <w:sz w:val="22"/>
          <w:szCs w:val="22"/>
          <w:vertAlign w:val="subscript"/>
          <w:lang w:val="en-US" w:eastAsia="ko-KR"/>
        </w:rPr>
        <w:t xml:space="preserve">lo</w:t>
      </w:r>
      <w:r>
        <w:rPr>
          <w:rFonts w:ascii="바탕" w:cs="바탕" w:eastAsia="바탕" w:hAnsi="바탕"/>
          <w:sz w:val="22"/>
          <w:szCs w:val="22"/>
          <w:lang w:val="en-US" w:eastAsia="ko-KR"/>
        </w:rPr>
        <w:t xml:space="preserve">, q</w:t>
      </w:r>
      <w:r>
        <w:rPr>
          <w:rFonts w:ascii="바탕" w:cs="바탕" w:eastAsia="바탕" w:hAnsi="바탕"/>
          <w:sz w:val="22"/>
          <w:szCs w:val="22"/>
          <w:vertAlign w:val="subscript"/>
          <w:lang w:val="en-US" w:eastAsia="ko-KR"/>
        </w:rPr>
        <w:t xml:space="preserve">hi</w:t>
      </w:r>
      <w:r>
        <w:rPr>
          <w:rFonts w:ascii="바탕" w:cs="바탕" w:eastAsia="바탕" w:hAnsi="바탕"/>
          <w:sz w:val="22"/>
          <w:szCs w:val="22"/>
          <w:lang w:val="en-US" w:eastAsia="ko-KR"/>
        </w:rPr>
        <w:t xml:space="preserve">]에서 출발하여, 실제값이 그 구간 밖으로 나간 정도를 점수로 쓴다.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E</w:t>
      </w:r>
      <w:r>
        <w:rPr>
          <w:rFonts w:ascii="바탕" w:cs="바탕" w:eastAsia="바탕" w:hAnsi="바탕"/>
          <w:sz w:val="22"/>
          <w:szCs w:val="22"/>
          <w:vertAlign w:val="subscript"/>
          <w:lang w:val="en-US" w:eastAsia="ko-KR"/>
        </w:rPr>
        <w:t xml:space="preserve">i</w:t>
      </w:r>
      <w:r>
        <w:rPr>
          <w:rFonts w:ascii="바탕" w:cs="바탕" w:eastAsia="바탕" w:hAnsi="바탕"/>
          <w:sz w:val="22"/>
          <w:szCs w:val="22"/>
          <w:lang w:val="en-US" w:eastAsia="ko-KR"/>
        </w:rPr>
        <w:t xml:space="preserve"> = max( q</w:t>
      </w:r>
      <w:r>
        <w:rPr>
          <w:rFonts w:ascii="바탕" w:cs="바탕" w:eastAsia="바탕" w:hAnsi="바탕"/>
          <w:sz w:val="22"/>
          <w:szCs w:val="22"/>
          <w:vertAlign w:val="subscript"/>
          <w:lang w:val="en-US" w:eastAsia="ko-KR"/>
        </w:rPr>
        <w:t xml:space="preserve">lo</w:t>
      </w:r>
      <w:r>
        <w:rPr>
          <w:rFonts w:ascii="바탕" w:cs="바탕" w:eastAsia="바탕" w:hAnsi="바탕"/>
          <w:sz w:val="22"/>
          <w:szCs w:val="22"/>
          <w:lang w:val="en-US" w:eastAsia="ko-KR"/>
        </w:rPr>
        <w:t xml:space="preserve">(X</w:t>
      </w:r>
      <w:r>
        <w:rPr>
          <w:rFonts w:ascii="바탕" w:cs="바탕" w:eastAsia="바탕" w:hAnsi="바탕"/>
          <w:sz w:val="22"/>
          <w:szCs w:val="22"/>
          <w:vertAlign w:val="subscript"/>
          <w:lang w:val="en-US" w:eastAsia="ko-KR"/>
        </w:rPr>
        <w:t xml:space="preserve">i</w:t>
      </w:r>
      <w:r>
        <w:rPr>
          <w:rFonts w:ascii="바탕" w:cs="바탕" w:eastAsia="바탕" w:hAnsi="바탕"/>
          <w:sz w:val="22"/>
          <w:szCs w:val="22"/>
          <w:lang w:val="en-US" w:eastAsia="ko-KR"/>
        </w:rPr>
        <w:t xml:space="preserve">) − Y</w:t>
      </w:r>
      <w:r>
        <w:rPr>
          <w:rFonts w:ascii="바탕" w:cs="바탕" w:eastAsia="바탕" w:hAnsi="바탕"/>
          <w:sz w:val="22"/>
          <w:szCs w:val="22"/>
          <w:vertAlign w:val="subscript"/>
          <w:lang w:val="en-US" w:eastAsia="ko-KR"/>
        </w:rPr>
        <w:t xml:space="preserve">i</w:t>
      </w:r>
      <w:r>
        <w:rPr>
          <w:rFonts w:ascii="바탕" w:cs="바탕" w:eastAsia="바탕" w:hAnsi="바탕"/>
          <w:sz w:val="22"/>
          <w:szCs w:val="22"/>
          <w:lang w:val="en-US" w:eastAsia="ko-KR"/>
        </w:rPr>
        <w:t xml:space="preserve">,  Y</w:t>
      </w:r>
      <w:r>
        <w:rPr>
          <w:rFonts w:ascii="바탕" w:cs="바탕" w:eastAsia="바탕" w:hAnsi="바탕"/>
          <w:sz w:val="22"/>
          <w:szCs w:val="22"/>
          <w:vertAlign w:val="subscript"/>
          <w:lang w:val="en-US" w:eastAsia="ko-KR"/>
        </w:rPr>
        <w:t xml:space="preserve">i</w:t>
      </w:r>
      <w:r>
        <w:rPr>
          <w:rFonts w:ascii="바탕" w:cs="바탕" w:eastAsia="바탕" w:hAnsi="바탕"/>
          <w:sz w:val="22"/>
          <w:szCs w:val="22"/>
          <w:lang w:val="en-US" w:eastAsia="ko-KR"/>
        </w:rPr>
        <w:t xml:space="preserve"> − q</w:t>
      </w:r>
      <w:r>
        <w:rPr>
          <w:rFonts w:ascii="바탕" w:cs="바탕" w:eastAsia="바탕" w:hAnsi="바탕"/>
          <w:sz w:val="22"/>
          <w:szCs w:val="22"/>
          <w:vertAlign w:val="subscript"/>
          <w:lang w:val="en-US" w:eastAsia="ko-KR"/>
        </w:rPr>
        <w:t xml:space="preserve">hi</w:t>
      </w:r>
      <w:r>
        <w:rPr>
          <w:rFonts w:ascii="바탕" w:cs="바탕" w:eastAsia="바탕" w:hAnsi="바탕"/>
          <w:sz w:val="22"/>
          <w:szCs w:val="22"/>
          <w:lang w:val="en-US" w:eastAsia="ko-KR"/>
        </w:rPr>
        <w:t xml:space="preserve">(X</w:t>
      </w:r>
      <w:r>
        <w:rPr>
          <w:rFonts w:ascii="바탕" w:cs="바탕" w:eastAsia="바탕" w:hAnsi="바탕"/>
          <w:sz w:val="22"/>
          <w:szCs w:val="22"/>
          <w:vertAlign w:val="subscript"/>
          <w:lang w:val="en-US" w:eastAsia="ko-KR"/>
        </w:rPr>
        <w:t xml:space="preserve">i</w:t>
      </w:r>
      <w:r>
        <w:rPr>
          <w:rFonts w:ascii="바탕" w:cs="바탕" w:eastAsia="바탕" w:hAnsi="바탕"/>
          <w:sz w:val="22"/>
          <w:szCs w:val="22"/>
          <w:lang w:val="en-US" w:eastAsia="ko-KR"/>
        </w:rPr>
        <w:t xml:space="preserve">) )</w:t>
      </w:r>
      <w:r>
        <w:rPr>
          <w:rFonts w:ascii="바탕" w:cs="바탕" w:eastAsia="바탕" w:hAnsi="바탕"/>
          <w:sz w:val="22"/>
          <w:szCs w:val="22"/>
        </w:rPr>
        <w:tab/>
        <w:t xml:space="preserve">(2.14)</w:t>
      </w:r>
    </w:p>
    <w:p>
      <w:pPr>
        <w:keepNext w:val="false"/>
        <w:widowControl/>
        <w:spacing w:after="120" w:before="0" w:line="384"/>
        <w:ind w:firstLine="220"/>
        <w:jc w:val="both"/>
      </w:pPr>
      <w:r>
        <w:rPr>
          <w:rFonts w:ascii="바탕" w:cs="바탕" w:eastAsia="바탕" w:hAnsi="바탕"/>
          <w:sz w:val="22"/>
          <w:szCs w:val="22"/>
          <w:lang w:val="en-US" w:eastAsia="ko-KR"/>
        </w:rPr>
        <w:t xml:space="preserve">점수는 실제값이 구간 안에 있으면 음수, 밖에 있으면 양수이다. 점수의 ⌈(n + 1)(1 − α)⌉번째로 작은 값 Q를 구해 구간을 [q</w:t>
      </w:r>
      <w:r>
        <w:rPr>
          <w:rFonts w:ascii="바탕" w:cs="바탕" w:eastAsia="바탕" w:hAnsi="바탕"/>
          <w:sz w:val="22"/>
          <w:szCs w:val="22"/>
          <w:vertAlign w:val="subscript"/>
          <w:lang w:val="en-US" w:eastAsia="ko-KR"/>
        </w:rPr>
        <w:t xml:space="preserve">lo</w:t>
      </w:r>
      <w:r>
        <w:rPr>
          <w:rFonts w:ascii="바탕" w:cs="바탕" w:eastAsia="바탕" w:hAnsi="바탕"/>
          <w:sz w:val="22"/>
          <w:szCs w:val="22"/>
          <w:lang w:val="en-US" w:eastAsia="ko-KR"/>
        </w:rPr>
        <w:t xml:space="preserve"> − Q, q</w:t>
      </w:r>
      <w:r>
        <w:rPr>
          <w:rFonts w:ascii="바탕" w:cs="바탕" w:eastAsia="바탕" w:hAnsi="바탕"/>
          <w:sz w:val="22"/>
          <w:szCs w:val="22"/>
          <w:vertAlign w:val="subscript"/>
          <w:lang w:val="en-US" w:eastAsia="ko-KR"/>
        </w:rPr>
        <w:t xml:space="preserve">hi</w:t>
      </w:r>
      <w:r>
        <w:rPr>
          <w:rFonts w:ascii="바탕" w:cs="바탕" w:eastAsia="바탕" w:hAnsi="바탕"/>
          <w:sz w:val="22"/>
          <w:szCs w:val="22"/>
          <w:lang w:val="en-US" w:eastAsia="ko-KR"/>
        </w:rPr>
        <w:t xml:space="preserve"> + Q]로 조정하며, Q가 음수이면 구간이 좁아진다. 예를 들어 모델이 [−1%, +1%] 구간을 냈고 Q = 0.5%p라면 보정한 구간은 [−1.5%, +1.5%]가 되고, Q = −0.2%p라면 [−0.8%, +0.8%]로 좁아진다. 모델의 구간이 변동의 크기를 반영하고 있다면 그 모양은 유지하면서 커버리지만 맞추는 셈이다. 본 연구는 점수를 그날 구간의 폭으로 나누어 기록하고 보정할 때 다시 그날 폭을 곱하므로(3.5.1절), 보정량이 원래 구간의 폭에 비례한다.</w:t>
      </w:r>
    </w:p>
    <w:p>
      <w:pPr>
        <w:pStyle w:val="Heading3"/>
        <w:keepNext/>
      </w:pPr>
      <w:r>
        <w:rPr>
          <w:rFonts w:ascii="바탕" w:cs="바탕" w:eastAsia="바탕" w:hAnsi="바탕"/>
          <w:lang w:val="en-US" w:eastAsia="ko-KR"/>
        </w:rPr>
        <w:t xml:space="preserve">2.5.3 적응형 콘포멀 추론</w:t>
      </w:r>
    </w:p>
    <w:p>
      <w:pPr>
        <w:keepNext w:val="false"/>
        <w:widowControl/>
        <w:spacing w:after="120" w:before="0" w:line="384"/>
        <w:ind w:firstLine="220"/>
        <w:jc w:val="both"/>
      </w:pPr>
      <w:r>
        <w:rPr>
          <w:rFonts w:ascii="바탕" w:cs="바탕" w:eastAsia="바탕" w:hAnsi="바탕"/>
          <w:sz w:val="22"/>
          <w:szCs w:val="22"/>
          <w:lang w:val="en-US" w:eastAsia="ko-KR"/>
        </w:rPr>
        <w:t xml:space="preserve">금융 시계열은 시간에 따라 분포가 바뀌므로 교환 가능성 가정이 성립하지 않는다. Gibbs와 Candès(2021)의 적응형 콘포멀 추론(adaptive conformal inference, ACI)은 목표 수준을 고정하지 않고, 실제값이 구간을 벗어났는지(err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1) 여부에 따라 매일 갱신한다.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α</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 = α</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γ(α − err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w:t>
      </w:r>
      <w:r>
        <w:rPr>
          <w:rFonts w:ascii="바탕" w:cs="바탕" w:eastAsia="바탕" w:hAnsi="바탕"/>
          <w:sz w:val="22"/>
          <w:szCs w:val="22"/>
        </w:rPr>
        <w:tab/>
        <w:t xml:space="preserve">(2.15)</w:t>
      </w:r>
    </w:p>
    <w:p>
      <w:pPr>
        <w:keepNext w:val="false"/>
        <w:widowControl/>
        <w:spacing w:after="120" w:before="0" w:line="384"/>
        <w:ind w:firstLine="220"/>
        <w:jc w:val="both"/>
      </w:pPr>
      <w:r>
        <w:rPr>
          <w:rFonts w:ascii="바탕" w:cs="바탕" w:eastAsia="바탕" w:hAnsi="바탕"/>
          <w:sz w:val="22"/>
          <w:szCs w:val="22"/>
          <w:lang w:val="en-US" w:eastAsia="ko-KR"/>
        </w:rPr>
        <w:t xml:space="preserve">실제값이 구간을 벗어나면 α</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가 줄어 다음 구간이 넓어지고, 안에 들어오면 α</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가 늘어 구간이 좁아진다. γ는 갱신 속도이다. 예를 들어 α = 0.2, γ = 0.05에서 실제값이 구간을 벗어나면 다음 날의 α</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는 0.20 + 0.05 × (0.2 − 1) = 0.16으로 줄어 목표 커버리지를 84%로 높인 구간을 내고, 안에 들어오면 0.20 + 0.05 × 0.2 = 0.21로 늘어 구간을 조금 좁힌다.</w:t>
      </w:r>
    </w:p>
    <w:p>
      <w:pPr>
        <w:keepNext/>
        <w:widowControl/>
        <w:spacing w:after="120" w:before="0" w:line="384"/>
        <w:ind w:firstLine="220"/>
        <w:jc w:val="both"/>
      </w:pPr>
      <w:r>
        <w:rPr>
          <w:rFonts w:ascii="바탕" w:cs="바탕" w:eastAsia="바탕" w:hAnsi="바탕"/>
          <w:sz w:val="22"/>
          <w:szCs w:val="22"/>
          <w:lang w:val="en-US" w:eastAsia="ko-KR"/>
        </w:rPr>
        <w:t xml:space="preserve">그림 2-6은 이 과정을 보여 주는 가상의 예시이다. 모델은 하루 변동 1%를 가정한 같은 구간을 계속 내는데, 100일째부터 실제 변동이 두 배가 된다. 보정하지 않은 구간(회색)은 그 뒤 실제값을 자주 놓치지만, CQR 점수와 ACI 갱신으로 보정한 구간은 이탈이 이어지자 α</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를 낮추어 빠르게 넓어진다. 그 결과 보정한 구간의 커버리지는 변동이 바뀌기 전과 후 모두 80% 안팎으로 유지된다.</w:t>
      </w:r>
    </w:p>
    <w:p>
      <w:pPr>
        <w:keepNext/>
        <w:spacing w:after="60" w:before="120"/>
        <w:jc w:val="center"/>
      </w:pPr>
      <w:r>
        <w:drawing>
          <wp:inline distT="0" distB="0" distL="0" distR="0">
            <wp:extent cx="5038725"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38725" cy="2314575"/>
                    </a:xfrm>
                    <a:prstGeom prst="rect">
                      <a:avLst/>
                    </a:prstGeom>
                  </pic:spPr>
                </pic:pic>
              </a:graphicData>
            </a:graphic>
          </wp:inline>
        </w:drawing>
      </w:r>
    </w:p>
    <w:p>
      <w:pPr>
        <w:pStyle w:val="FigureCaption"/>
        <w:keepNext/>
        <w:spacing w:after="40" w:before="0" w:line="276"/>
        <w:jc w:val="center"/>
      </w:pPr>
      <w:r>
        <w:rPr>
          <w:rFonts w:ascii="바탕" w:cs="바탕" w:eastAsia="바탕" w:hAnsi="바탕"/>
          <w:sz w:val="19"/>
          <w:szCs w:val="19"/>
          <w:lang w:val="en-US" w:eastAsia="ko-KR"/>
        </w:rPr>
        <w:t xml:space="preserve">그림 2-6. 적응형 콘포멀 추론에 따른 구간 조정의 예(가상 자료)</w:t>
      </w:r>
    </w:p>
    <w:p>
      <w:pPr>
        <w:keepNext w:val="false"/>
        <w:spacing w:after="240" w:line="276"/>
        <w:jc w:val="center"/>
      </w:pPr>
      <w:r>
        <w:rPr>
          <w:rFonts w:ascii="바탕" w:cs="바탕" w:eastAsia="바탕" w:hAnsi="바탕"/>
          <w:sz w:val="17"/>
          <w:szCs w:val="17"/>
          <w:lang w:val="en-US" w:eastAsia="ko-KR"/>
        </w:rPr>
        <w:t xml:space="preserve">위: 수익률과 구간, 아래: 목표 수준 α</w:t>
      </w:r>
      <w:r>
        <w:rPr>
          <w:rFonts w:ascii="바탕" w:cs="바탕" w:eastAsia="바탕" w:hAnsi="바탕"/>
          <w:sz w:val="17"/>
          <w:szCs w:val="17"/>
          <w:vertAlign w:val="subscript"/>
          <w:lang w:val="en-US" w:eastAsia="ko-KR"/>
        </w:rPr>
        <w:t xml:space="preserve">t</w:t>
      </w:r>
    </w:p>
    <w:p>
      <w:pPr>
        <w:keepNext w:val="false"/>
        <w:widowControl/>
        <w:spacing w:after="120" w:before="0" w:line="384"/>
        <w:ind w:firstLine="220"/>
        <w:jc w:val="both"/>
      </w:pPr>
      <w:r>
        <w:rPr>
          <w:rFonts w:ascii="바탕" w:cs="바탕" w:eastAsia="바탕" w:hAnsi="바탕"/>
          <w:sz w:val="22"/>
          <w:szCs w:val="22"/>
          <w:lang w:val="en-US" w:eastAsia="ko-KR"/>
        </w:rPr>
        <w:t xml:space="preserve">이 갱신은 데이터 분포에 대한 가정 없이, 장기 평균 이탈률이 목표 α에 수렴함을 보장한다.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 (1/T) Σ</w:t>
      </w:r>
      <w:r>
        <w:rPr>
          <w:rFonts w:ascii="바탕" w:cs="바탕" w:eastAsia="바탕" w:hAnsi="바탕"/>
          <w:sz w:val="22"/>
          <w:szCs w:val="22"/>
          <w:vertAlign w:val="subscript"/>
          <w:lang w:val="en-US" w:eastAsia="ko-KR"/>
        </w:rPr>
        <w:t xml:space="preserve">t=1</w:t>
      </w:r>
      <w:r>
        <w:rPr>
          <w:rFonts w:ascii="바탕" w:cs="바탕" w:eastAsia="바탕" w:hAnsi="바탕"/>
          <w:sz w:val="22"/>
          <w:szCs w:val="22"/>
          <w:vertAlign w:val="superscript"/>
          <w:lang w:val="en-US" w:eastAsia="ko-KR"/>
        </w:rPr>
        <w:t xml:space="preserve">T</w:t>
      </w:r>
      <w:r>
        <w:rPr>
          <w:rFonts w:ascii="바탕" w:cs="바탕" w:eastAsia="바탕" w:hAnsi="바탕"/>
          <w:sz w:val="22"/>
          <w:szCs w:val="22"/>
          <w:lang w:val="en-US" w:eastAsia="ko-KR"/>
        </w:rPr>
        <w:t xml:space="preserve"> err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α | ≤ (max(α</w:t>
      </w:r>
      <w:r>
        <w:rPr>
          <w:rFonts w:ascii="바탕" w:cs="바탕" w:eastAsia="바탕" w:hAnsi="바탕"/>
          <w:sz w:val="22"/>
          <w:szCs w:val="22"/>
          <w:vertAlign w:val="subscript"/>
          <w:lang w:val="en-US" w:eastAsia="ko-KR"/>
        </w:rPr>
        <w:t xml:space="preserve">1</w:t>
      </w:r>
      <w:r>
        <w:rPr>
          <w:rFonts w:ascii="바탕" w:cs="바탕" w:eastAsia="바탕" w:hAnsi="바탕"/>
          <w:sz w:val="22"/>
          <w:szCs w:val="22"/>
          <w:lang w:val="en-US" w:eastAsia="ko-KR"/>
        </w:rPr>
        <w:t xml:space="preserve">, 1 − α</w:t>
      </w:r>
      <w:r>
        <w:rPr>
          <w:rFonts w:ascii="바탕" w:cs="바탕" w:eastAsia="바탕" w:hAnsi="바탕"/>
          <w:sz w:val="22"/>
          <w:szCs w:val="22"/>
          <w:vertAlign w:val="subscript"/>
          <w:lang w:val="en-US" w:eastAsia="ko-KR"/>
        </w:rPr>
        <w:t xml:space="preserve">1</w:t>
      </w:r>
      <w:r>
        <w:rPr>
          <w:rFonts w:ascii="바탕" w:cs="바탕" w:eastAsia="바탕" w:hAnsi="바탕"/>
          <w:sz w:val="22"/>
          <w:szCs w:val="22"/>
          <w:lang w:val="en-US" w:eastAsia="ko-KR"/>
        </w:rPr>
        <w:t xml:space="preserve">) + γ) / (γT)</w:t>
      </w:r>
      <w:r>
        <w:rPr>
          <w:rFonts w:ascii="바탕" w:cs="바탕" w:eastAsia="바탕" w:hAnsi="바탕"/>
          <w:sz w:val="22"/>
          <w:szCs w:val="22"/>
        </w:rPr>
        <w:tab/>
        <w:t xml:space="preserve">(2.16)</w:t>
      </w:r>
    </w:p>
    <w:p>
      <w:pPr>
        <w:keepNext w:val="false"/>
        <w:widowControl/>
        <w:spacing w:after="120" w:before="0" w:line="384"/>
        <w:ind w:firstLine="220"/>
        <w:jc w:val="both"/>
      </w:pPr>
      <w:r>
        <w:rPr>
          <w:rFonts w:ascii="바탕" w:cs="바탕" w:eastAsia="바탕" w:hAnsi="바탕"/>
          <w:sz w:val="22"/>
          <w:szCs w:val="22"/>
          <w:lang w:val="en-US" w:eastAsia="ko-KR"/>
        </w:rPr>
        <w:t xml:space="preserve">이 보장은 평균에 대한 것이며, 위반이 특정 시기에 몰리는 것까지 막지는 않는다. 본 연구는 CQR의 점수와 ACI의 갱신을 결합한 ACI-CQR을 사용한다(3.5.1절). 두 방법 모두 모델의 출력만 조정하므로 재학습 없이 사전학습 모델에 그대로 적용할 수 있다.</w:t>
      </w:r>
    </w:p>
    <w:p>
      <w:pPr>
        <w:pStyle w:val="Heading2"/>
        <w:keepNext/>
      </w:pPr>
      <w:r>
        <w:rPr>
          <w:rFonts w:ascii="바탕" w:cs="바탕" w:eastAsia="바탕" w:hAnsi="바탕"/>
          <w:lang w:val="en-US" w:eastAsia="ko-KR"/>
        </w:rPr>
        <w:t xml:space="preserve">2.6 관련 연구</w:t>
      </w:r>
    </w:p>
    <w:p>
      <w:pPr>
        <w:pStyle w:val="Heading3"/>
        <w:keepNext/>
      </w:pPr>
      <w:r>
        <w:rPr>
          <w:rFonts w:ascii="바탕" w:cs="바탕" w:eastAsia="바탕" w:hAnsi="바탕"/>
          <w:lang w:val="en-US" w:eastAsia="ko-KR"/>
        </w:rPr>
        <w:t xml:space="preserve">2.6.1 금융에서의 TSFM 평가</w:t>
      </w:r>
    </w:p>
    <w:p>
      <w:pPr>
        <w:keepNext w:val="false"/>
        <w:widowControl/>
        <w:spacing w:after="120" w:before="0" w:line="384"/>
        <w:ind w:firstLine="220"/>
        <w:jc w:val="both"/>
      </w:pPr>
      <w:r>
        <w:rPr>
          <w:rFonts w:ascii="바탕" w:cs="바탕" w:eastAsia="바탕" w:hAnsi="바탕"/>
          <w:sz w:val="22"/>
          <w:szCs w:val="22"/>
          <w:lang w:val="en-US" w:eastAsia="ko-KR"/>
        </w:rPr>
        <w:t xml:space="preserve">Rahimikia 외(2025)는 94개 국가·지역의 일별 초과수익률(1990~2023)을 대상으로 TSFM을 제로샷, 미세조정, 처음부터 사전학습의 세 방식으로 평가하였다. 다음 날 초과수익률을 예측하는 과제에서 제로샷으로 사용한 Chronos(tiny~large 5종)와 TimesFM(4종)은 표본 외 R²가 음수였고(512일 과거 창에서 Chronos large −1.37%, TimesFM 500M −2.80%), CatBoost 같은 앙상블 모형보다 성능이 낮았다. 금융 데이터로 처음부터 사전학습하면 정확도와 포트폴리오 성과가 크게 향상되었으나, 설명력(R²)은 여전히 기준 모형에 미치지 못하였다. 평가 지표는 표본 외 R², 방향 정확도, 포트폴리오 성과였으며, 예측구간의 커버리지는 평가하지 않았다.</w:t>
      </w:r>
    </w:p>
    <w:p>
      <w:pPr>
        <w:keepNext w:val="false"/>
        <w:widowControl/>
        <w:spacing w:after="120" w:before="0" w:line="384"/>
        <w:ind w:firstLine="220"/>
        <w:jc w:val="both"/>
      </w:pPr>
      <w:r>
        <w:rPr>
          <w:rFonts w:ascii="바탕" w:cs="바탕" w:eastAsia="바탕" w:hAnsi="바탕"/>
          <w:sz w:val="22"/>
          <w:szCs w:val="22"/>
          <w:lang w:val="en-US" w:eastAsia="ko-KR"/>
        </w:rPr>
        <w:t xml:space="preserve">Noguer i Alonso와 Franklin(2026)은 미국 대형주 5종목(GOOG, AAPL, AMZN, JPM, META)의 일별 수익률에서 Chronos(v1), Chronos-2, TimesFM-2.5, Moirai-2.0 등 사전학습 모델을 처음부터 학습한 신경망(N-BEATS, PatchTST, iTransformer 등)과 비교하였다(2014-09~2026-02, 과거 512일, 20영업일 앞 예측). 사전학습 모델이 10개 과제 중 8개에서 우위를 보였으나 랜덤워크(수익률 0 예측) 대비 이득은 작았고, 단측 Diebold-Mariano 검정에서 랜덤워크보다 유의하게 나은 경우는 Chronos(v1)의 AMZN과 Moirai-2.0의 GOOG 두 건뿐이었다. 평가 지표는 예측 중앙값의 MAE였으며, 저자들은 CRPS·보정 곡선·분위수 커버리지가 "현재의 MAE 전용 벤치마크에 포함되지 않는다"고 밝혔다(p. 13). 이 연구는 확률 출력을 중앙값으로 축약하여 점 예측으로만 평가하였다. 본 연구의 미국 종목과 TSFM 구성은 이 연구와 동일하게 맞추었다.</w:t>
      </w:r>
    </w:p>
    <w:p>
      <w:pPr>
        <w:keepNext w:val="false"/>
        <w:widowControl/>
        <w:spacing w:after="120" w:before="0" w:line="384"/>
        <w:ind w:firstLine="220"/>
        <w:jc w:val="both"/>
      </w:pPr>
      <w:r>
        <w:rPr>
          <w:rFonts w:ascii="바탕" w:cs="바탕" w:eastAsia="바탕" w:hAnsi="바탕"/>
          <w:sz w:val="22"/>
          <w:szCs w:val="22"/>
          <w:lang w:val="en-US" w:eastAsia="ko-KR"/>
        </w:rPr>
        <w:t xml:space="preserve">두 연구는 결론의 강도가 다르지만, 제로샷 TSFM이 금융 수익률의 점 예측에서 단순 기준을 크게 넘지 못한다는 점에서는 일치한다. 그러나 두 연구 모두 예측구간의 신뢰성은 다루지 않았다. 2.1.1절에서 보았듯 방향을 맞히지 못하는 모델이라도 변동의 크기를 적절히 추정한다면 위험 관리에 활용할 수 있으므로, 예측구간의 신뢰성은 점 예측 평가와 별개로 검증할 필요가 있다.</w:t>
      </w:r>
    </w:p>
    <w:p>
      <w:pPr>
        <w:pStyle w:val="Heading3"/>
        <w:keepNext/>
      </w:pPr>
      <w:r>
        <w:rPr>
          <w:rFonts w:ascii="바탕" w:cs="바탕" w:eastAsia="바탕" w:hAnsi="바탕"/>
          <w:lang w:val="en-US" w:eastAsia="ko-KR"/>
        </w:rPr>
        <w:t xml:space="preserve">2.6.2 합성 데이터를 이용한 진단</w:t>
      </w:r>
    </w:p>
    <w:p>
      <w:pPr>
        <w:keepNext w:val="false"/>
        <w:widowControl/>
        <w:spacing w:after="120" w:before="0" w:line="384"/>
        <w:ind w:firstLine="220"/>
        <w:jc w:val="both"/>
      </w:pPr>
      <w:r>
        <w:rPr>
          <w:rFonts w:ascii="바탕" w:cs="바탕" w:eastAsia="바탕" w:hAnsi="바탕"/>
          <w:sz w:val="22"/>
          <w:szCs w:val="22"/>
          <w:lang w:val="en-US" w:eastAsia="ko-KR"/>
        </w:rPr>
        <w:t xml:space="preserve">Sun 외(2026)는 FinStressTS 벤치마크를 통해 금융 시계열의 대표적 생성 메커니즘(변동성 군집, 다중 시간 척도 지속성, 두꺼운 꼬리 충격, 국면 전환, 자기 흥분 점프, 0 과다)을 조절한 30개 진단 환경에서 15개 예측 모델(HAR, VAR, PatchTST, iTransformer, DeepAR 등)을 평가하였다. 생성 메커니즘을 알고 있으므로 실패의 구조적 원인을 특정할 수 있다는 점을 강조하였으며, 점 예측(NMAE)과 확률 예측(CRPS)을 평가하였다. 그 결과 메커니즘에 따라 모델 간 우열이 달라지고, 변동성·꼬리·점프 환경에서는 자기회귀·선형 모형이 트랜스포머보다 경쟁력이 있다고 보고하였다. 평가 대상 15개 모델은 모두 해당 합성 데이터로 학습하는 예측 모델이며, 학습 데이터 양을 20~100%로 바꾼 학습 곡선도 함께 보고되었다. 사전학습 TSFM은 관련 연구에서 언급되었을 뿐 평가 대상에 포함되지 않았고, 확률 예측은 CRPS로만 평가되어 예측구간의 커버리지는 별도로 분석되지 않았다.</w:t>
      </w:r>
    </w:p>
    <w:p>
      <w:pPr>
        <w:keepNext w:val="false"/>
        <w:widowControl/>
        <w:spacing w:after="120" w:before="0" w:line="384"/>
        <w:ind w:firstLine="220"/>
        <w:jc w:val="both"/>
      </w:pPr>
      <w:r>
        <w:rPr>
          <w:rFonts w:ascii="바탕" w:cs="바탕" w:eastAsia="바탕" w:hAnsi="바탕"/>
          <w:sz w:val="22"/>
          <w:szCs w:val="22"/>
          <w:lang w:val="en-US" w:eastAsia="ko-KR"/>
        </w:rPr>
        <w:t xml:space="preserve">Wang 외(2025)는 모바일 게임 이용자 참여 예측에서 TSFM이 도메인 맞춤 모델보다 성능이 낮은 원인으로 사전학습 시 접하지 못한 주파수 성분(스펙트럼 이동)을 지목하고, 이를 합성 실험으로 확인하였다. 합성 실험은 사전학습 모델(MOMENT-small)의 인코더를 고정하고 회귀 헤드만 학습하는 방식으로 수행되었다. 금융 데이터를 다루지는 않았으나, TSFM의 실패 원인을 합성 데이터 통제 실험으로 분리한다는 접근을 본 연구와 공유한다.</w:t>
      </w:r>
    </w:p>
    <w:p>
      <w:pPr>
        <w:keepNext w:val="false"/>
        <w:widowControl/>
        <w:spacing w:after="120" w:before="0" w:line="384"/>
        <w:ind w:firstLine="220"/>
        <w:jc w:val="both"/>
      </w:pPr>
      <w:r>
        <w:rPr>
          <w:rFonts w:ascii="바탕" w:cs="바탕" w:eastAsia="바탕" w:hAnsi="바탕"/>
          <w:sz w:val="22"/>
          <w:szCs w:val="22"/>
          <w:lang w:val="en-US" w:eastAsia="ko-KR"/>
        </w:rPr>
        <w:t xml:space="preserve">본 연구는 FinStressTS의 진단 아이디어를 사전학습 TSFM의 예측구간에 적용하되, 두 가지를 보완한다. 첫째, 특성 강도의 단계를 실제 평가 종목에서 측정한 값으로 설정하여 합성 데이터 실험과 실제 주가 실증을 직접 연결한다. 둘째, 공통 난수와 고정된 평균 변동 크기를 사용하여 특성 하나의 효과만 분리한다.</w:t>
      </w:r>
    </w:p>
    <w:p>
      <w:pPr>
        <w:pStyle w:val="Heading3"/>
        <w:keepNext/>
      </w:pPr>
      <w:r>
        <w:rPr>
          <w:rFonts w:ascii="바탕" w:cs="바탕" w:eastAsia="바탕" w:hAnsi="바탕"/>
          <w:lang w:val="en-US" w:eastAsia="ko-KR"/>
        </w:rPr>
        <w:t xml:space="preserve">2.6.3 본 연구의 위치</w:t>
      </w:r>
    </w:p>
    <w:p>
      <w:pPr>
        <w:keepNext/>
        <w:widowControl/>
        <w:spacing w:after="120" w:before="0" w:line="384"/>
        <w:ind w:firstLine="220"/>
        <w:jc w:val="both"/>
      </w:pPr>
      <w:r>
        <w:rPr>
          <w:rFonts w:ascii="바탕" w:cs="바탕" w:eastAsia="바탕" w:hAnsi="바탕"/>
          <w:sz w:val="22"/>
          <w:szCs w:val="22"/>
          <w:lang w:val="en-US" w:eastAsia="ko-KR"/>
        </w:rPr>
        <w:t xml:space="preserve">표 2-1은 관련 연구와 본 연구의 범위를 비교한다.</w:t>
      </w:r>
    </w:p>
    <w:p>
      <w:pPr>
        <w:pStyle w:val="TableCaption"/>
        <w:keepNext/>
        <w:spacing w:after="80" w:before="200" w:line="276"/>
        <w:jc w:val="center"/>
      </w:pPr>
      <w:r>
        <w:rPr>
          <w:rFonts w:ascii="바탕" w:cs="바탕" w:eastAsia="바탕" w:hAnsi="바탕"/>
          <w:sz w:val="19"/>
          <w:szCs w:val="19"/>
          <w:lang w:val="en-US" w:eastAsia="ko-KR"/>
        </w:rPr>
        <w:t xml:space="preserve">표 2-1. 관련 연구 비교</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3"/>
        <w:gridCol w:w="1370"/>
        <w:gridCol w:w="1552"/>
        <w:gridCol w:w="1529"/>
        <w:gridCol w:w="917"/>
        <w:gridCol w:w="855"/>
      </w:tblGrid>
      <w:tr>
        <w:trPr>
          <w:cantSplit/>
          <w:tblHeader/>
        </w:trPr>
        <w:tc>
          <w:tcPr>
            <w:tcW w:type="dxa" w:w="171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연구</w:t>
            </w:r>
          </w:p>
        </w:tc>
        <w:tc>
          <w:tcPr>
            <w:tcW w:type="dxa" w:w="137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TSFM 제로샷</w:t>
            </w:r>
          </w:p>
        </w:tc>
        <w:tc>
          <w:tcPr>
            <w:tcW w:type="dxa" w:w="155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금융 수익률</w:t>
            </w:r>
          </w:p>
        </w:tc>
        <w:tc>
          <w:tcPr>
            <w:tcW w:type="dxa" w:w="152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합성 진단</w:t>
            </w:r>
          </w:p>
        </w:tc>
        <w:tc>
          <w:tcPr>
            <w:tcW w:type="dxa" w:w="91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구간 커버리지</w:t>
            </w:r>
          </w:p>
        </w:tc>
        <w:tc>
          <w:tcPr>
            <w:tcW w:type="dxa" w:w="85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사후보정</w:t>
            </w:r>
          </w:p>
        </w:tc>
      </w:tr>
      <w:tr>
        <w:trPr>
          <w:cantSplit/>
          <w:trHeight w:val="656" w:hRule="atLeast"/>
        </w:trPr>
        <w:tc>
          <w:tcPr>
            <w:tcW w:type="dxa" w:w="17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Rahimikia 외(2025)</w:t>
            </w:r>
          </w:p>
        </w:tc>
        <w:tc>
          <w:tcPr>
            <w:tcW w:type="dxa" w:w="13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15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p>
            <w:pPr>
              <w:keepNext/>
              <w:keepLines/>
              <w:wordWrap w:val="1"/>
              <w:spacing w:after="0" w:before="0" w:line="240"/>
              <w:jc w:val="center"/>
            </w:pPr>
            <w:r>
              <w:rPr>
                <w:rFonts w:ascii="굴림" w:cs="굴림" w:eastAsia="굴림" w:hAnsi="굴림"/>
                <w:sz w:val="16"/>
                <w:szCs w:val="16"/>
                <w:lang w:val="en-US" w:eastAsia="ko-KR"/>
              </w:rPr>
              <w:t xml:space="preserve">(94개 국가·지역)</w:t>
            </w:r>
          </w:p>
        </w:tc>
        <w:tc>
          <w:tcPr>
            <w:tcW w:type="dxa" w:w="15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91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85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r>
      <w:tr>
        <w:trPr>
          <w:cantSplit/>
          <w:trHeight w:val="656" w:hRule="atLeast"/>
        </w:trPr>
        <w:tc>
          <w:tcPr>
            <w:tcW w:type="dxa" w:w="17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Noguer i Alonso, Franklin(2026)</w:t>
            </w:r>
          </w:p>
        </w:tc>
        <w:tc>
          <w:tcPr>
            <w:tcW w:type="dxa" w:w="13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15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p>
            <w:pPr>
              <w:keepNext/>
              <w:keepLines/>
              <w:wordWrap w:val="1"/>
              <w:spacing w:after="0" w:before="0" w:line="240"/>
              <w:jc w:val="center"/>
            </w:pPr>
            <w:r>
              <w:rPr>
                <w:rFonts w:ascii="굴림" w:cs="굴림" w:eastAsia="굴림" w:hAnsi="굴림"/>
                <w:sz w:val="16"/>
                <w:szCs w:val="16"/>
                <w:lang w:val="en-US" w:eastAsia="ko-KR"/>
              </w:rPr>
              <w:t xml:space="preserve">(미국 5종목)</w:t>
            </w:r>
          </w:p>
        </w:tc>
        <w:tc>
          <w:tcPr>
            <w:tcW w:type="dxa" w:w="15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91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85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r>
      <w:tr>
        <w:trPr>
          <w:cantSplit/>
          <w:trHeight w:val="656" w:hRule="atLeast"/>
        </w:trPr>
        <w:tc>
          <w:tcPr>
            <w:tcW w:type="dxa" w:w="17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Sun 외(2026) FinStressTS</w:t>
            </w:r>
          </w:p>
        </w:tc>
        <w:tc>
          <w:tcPr>
            <w:tcW w:type="dxa" w:w="13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15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합성</w:t>
            </w:r>
          </w:p>
        </w:tc>
        <w:tc>
          <w:tcPr>
            <w:tcW w:type="dxa" w:w="15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p>
            <w:pPr>
              <w:keepNext/>
              <w:keepLines/>
              <w:wordWrap w:val="1"/>
              <w:spacing w:after="0" w:before="0" w:line="240"/>
              <w:jc w:val="center"/>
            </w:pPr>
            <w:r>
              <w:rPr>
                <w:rFonts w:ascii="굴림" w:cs="굴림" w:eastAsia="굴림" w:hAnsi="굴림"/>
                <w:sz w:val="16"/>
                <w:szCs w:val="16"/>
                <w:lang w:val="en-US" w:eastAsia="ko-KR"/>
              </w:rPr>
              <w:t xml:space="preserve">(6개 메커니즘)</w:t>
            </w:r>
          </w:p>
        </w:tc>
        <w:tc>
          <w:tcPr>
            <w:tcW w:type="dxa" w:w="91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p>
            <w:pPr>
              <w:keepNext/>
              <w:keepLines/>
              <w:wordWrap w:val="1"/>
              <w:spacing w:after="0" w:before="0" w:line="240"/>
              <w:jc w:val="center"/>
            </w:pPr>
            <w:r>
              <w:rPr>
                <w:rFonts w:ascii="굴림" w:cs="굴림" w:eastAsia="굴림" w:hAnsi="굴림"/>
                <w:sz w:val="16"/>
                <w:szCs w:val="16"/>
                <w:lang w:val="en-US" w:eastAsia="ko-KR"/>
              </w:rPr>
              <w:t xml:space="preserve">(CRPS)</w:t>
            </w:r>
          </w:p>
        </w:tc>
        <w:tc>
          <w:tcPr>
            <w:tcW w:type="dxa" w:w="85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r>
      <w:tr>
        <w:trPr>
          <w:cantSplit/>
          <w:trHeight w:val="656" w:hRule="atLeast"/>
        </w:trPr>
        <w:tc>
          <w:tcPr>
            <w:tcW w:type="dxa" w:w="17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Wang 외(2025)</w:t>
            </w:r>
          </w:p>
        </w:tc>
        <w:tc>
          <w:tcPr>
            <w:tcW w:type="dxa" w:w="13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p>
            <w:pPr>
              <w:keepNext/>
              <w:keepLines/>
              <w:wordWrap w:val="1"/>
              <w:spacing w:after="0" w:before="0" w:line="240"/>
              <w:jc w:val="center"/>
            </w:pPr>
            <w:r>
              <w:rPr>
                <w:rFonts w:ascii="굴림" w:cs="굴림" w:eastAsia="굴림" w:hAnsi="굴림"/>
                <w:sz w:val="16"/>
                <w:szCs w:val="16"/>
                <w:lang w:val="en-US" w:eastAsia="ko-KR"/>
              </w:rPr>
              <w:t xml:space="preserve">(고정 백본+학습 헤드)</w:t>
            </w:r>
          </w:p>
        </w:tc>
        <w:tc>
          <w:tcPr>
            <w:tcW w:type="dxa" w:w="15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15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p>
            <w:pPr>
              <w:keepNext/>
              <w:keepLines/>
              <w:wordWrap w:val="1"/>
              <w:spacing w:after="0" w:before="0" w:line="240"/>
              <w:jc w:val="center"/>
            </w:pPr>
            <w:r>
              <w:rPr>
                <w:rFonts w:ascii="굴림" w:cs="굴림" w:eastAsia="굴림" w:hAnsi="굴림"/>
                <w:sz w:val="16"/>
                <w:szCs w:val="16"/>
                <w:lang w:val="en-US" w:eastAsia="ko-KR"/>
              </w:rPr>
              <w:t xml:space="preserve">(주파수)</w:t>
            </w:r>
          </w:p>
        </w:tc>
        <w:tc>
          <w:tcPr>
            <w:tcW w:type="dxa" w:w="91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85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r>
      <w:tr>
        <w:trPr>
          <w:cantSplit/>
          <w:trHeight w:val="656" w:hRule="atLeast"/>
        </w:trPr>
        <w:tc>
          <w:tcPr>
            <w:tcW w:type="dxa" w:w="17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Gibbs, Candès(2021);</w:t>
            </w:r>
          </w:p>
          <w:p>
            <w:pPr>
              <w:keepNext/>
              <w:keepLines/>
              <w:wordWrap w:val="1"/>
              <w:spacing w:after="0" w:before="0" w:line="240"/>
              <w:jc w:val="left"/>
            </w:pPr>
            <w:r>
              <w:rPr>
                <w:rFonts w:ascii="굴림" w:cs="굴림" w:eastAsia="굴림" w:hAnsi="굴림"/>
                <w:sz w:val="16"/>
                <w:szCs w:val="16"/>
                <w:lang w:val="en-US" w:eastAsia="ko-KR"/>
              </w:rPr>
              <w:t xml:space="preserve">Romano 외(2019)</w:t>
            </w:r>
          </w:p>
        </w:tc>
        <w:tc>
          <w:tcPr>
            <w:tcW w:type="dxa" w:w="13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15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해당 없음</w:t>
            </w:r>
          </w:p>
          <w:p>
            <w:pPr>
              <w:keepNext/>
              <w:keepLines/>
              <w:wordWrap w:val="1"/>
              <w:spacing w:after="0" w:before="0" w:line="240"/>
              <w:jc w:val="center"/>
            </w:pPr>
            <w:r>
              <w:rPr>
                <w:rFonts w:ascii="굴림" w:cs="굴림" w:eastAsia="굴림" w:hAnsi="굴림"/>
                <w:sz w:val="16"/>
                <w:szCs w:val="16"/>
                <w:lang w:val="en-US" w:eastAsia="ko-KR"/>
              </w:rPr>
              <w:t xml:space="preserve">(방법론)</w:t>
            </w:r>
          </w:p>
        </w:tc>
        <w:tc>
          <w:tcPr>
            <w:tcW w:type="dxa" w:w="15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91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85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r>
      <w:tr>
        <w:trPr>
          <w:cantSplit/>
          <w:trHeight w:val="656" w:hRule="atLeast"/>
        </w:trPr>
        <w:tc>
          <w:tcPr>
            <w:tcW w:type="dxa" w:w="171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b/>
                <w:bCs/>
                <w:sz w:val="16"/>
                <w:szCs w:val="16"/>
                <w:lang w:val="en-US" w:eastAsia="ko-KR"/>
              </w:rPr>
              <w:t xml:space="preserve">본 연구</w:t>
            </w:r>
          </w:p>
        </w:tc>
        <w:tc>
          <w:tcPr>
            <w:tcW w:type="dxa" w:w="137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6"/>
                <w:szCs w:val="16"/>
                <w:lang w:val="en-US" w:eastAsia="ko-KR"/>
              </w:rPr>
              <w:t xml:space="preserve">○</w:t>
            </w:r>
          </w:p>
          <w:p>
            <w:pPr>
              <w:keepNext w:val="false"/>
              <w:keepLines/>
              <w:wordWrap w:val="1"/>
              <w:spacing w:after="0" w:before="0" w:line="240"/>
              <w:jc w:val="center"/>
            </w:pPr>
            <w:r>
              <w:rPr>
                <w:rFonts w:ascii="굴림" w:cs="굴림" w:eastAsia="굴림" w:hAnsi="굴림"/>
                <w:sz w:val="16"/>
                <w:szCs w:val="16"/>
                <w:lang w:val="en-US" w:eastAsia="ko-KR"/>
              </w:rPr>
              <w:t xml:space="preserve">(4종 × 4조건)</w:t>
            </w:r>
          </w:p>
        </w:tc>
        <w:tc>
          <w:tcPr>
            <w:tcW w:type="dxa" w:w="155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6"/>
                <w:szCs w:val="16"/>
                <w:lang w:val="en-US" w:eastAsia="ko-KR"/>
              </w:rPr>
              <w:t xml:space="preserve">○</w:t>
            </w:r>
          </w:p>
          <w:p>
            <w:pPr>
              <w:keepNext w:val="false"/>
              <w:keepLines/>
              <w:wordWrap w:val="1"/>
              <w:spacing w:after="0" w:before="0" w:line="240"/>
              <w:jc w:val="center"/>
            </w:pPr>
            <w:r>
              <w:rPr>
                <w:rFonts w:ascii="굴림" w:cs="굴림" w:eastAsia="굴림" w:hAnsi="굴림"/>
                <w:sz w:val="16"/>
                <w:szCs w:val="16"/>
                <w:lang w:val="en-US" w:eastAsia="ko-KR"/>
              </w:rPr>
              <w:t xml:space="preserve">(미국·한국 10종목)</w:t>
            </w:r>
          </w:p>
        </w:tc>
        <w:tc>
          <w:tcPr>
            <w:tcW w:type="dxa" w:w="152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6"/>
                <w:szCs w:val="16"/>
                <w:lang w:val="en-US" w:eastAsia="ko-KR"/>
              </w:rPr>
              <w:t xml:space="preserve">○</w:t>
            </w:r>
          </w:p>
          <w:p>
            <w:pPr>
              <w:keepNext w:val="false"/>
              <w:keepLines/>
              <w:wordWrap w:val="1"/>
              <w:spacing w:after="0" w:before="0" w:line="240"/>
              <w:jc w:val="center"/>
            </w:pPr>
            <w:r>
              <w:rPr>
                <w:rFonts w:ascii="굴림" w:cs="굴림" w:eastAsia="굴림" w:hAnsi="굴림"/>
                <w:sz w:val="16"/>
                <w:szCs w:val="16"/>
                <w:lang w:val="en-US" w:eastAsia="ko-KR"/>
              </w:rPr>
              <w:t xml:space="preserve">(4축, 실측 모수)</w:t>
            </w:r>
          </w:p>
        </w:tc>
        <w:tc>
          <w:tcPr>
            <w:tcW w:type="dxa" w:w="91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6"/>
                <w:szCs w:val="16"/>
                <w:lang w:val="en-US" w:eastAsia="ko-KR"/>
              </w:rPr>
              <w:t xml:space="preserve">○</w:t>
            </w:r>
          </w:p>
        </w:tc>
        <w:tc>
          <w:tcPr>
            <w:tcW w:type="dxa" w:w="85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6"/>
                <w:szCs w:val="16"/>
                <w:lang w:val="en-US" w:eastAsia="ko-KR"/>
              </w:rPr>
              <w:t xml:space="preserve">○</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정리하면, 금융 TSFM 연구는 점 예측 정확도에, 합성 진단 연구는 학습형 모델에, 사후보정 연구는 방법 자체에 초점을 두었다. 본 연구는 이 세 흐름이 만나는 지점, 곧 사전학습 TSFM의 금융 예측구간이 명목 수준을 벗어나는 원인과 그 교정 방법을 다룬다.</w:t>
      </w:r>
    </w:p>
    <w:p>
      <w:pPr>
        <w:pStyle w:val="Heading1"/>
        <w:keepNext/>
        <w:pageBreakBefore/>
      </w:pPr>
      <w:r>
        <w:rPr>
          <w:rFonts w:ascii="바탕" w:cs="바탕" w:eastAsia="바탕" w:hAnsi="바탕"/>
          <w:lang w:val="en-US" w:eastAsia="ko-KR"/>
        </w:rPr>
        <w:t xml:space="preserve">제3장 연구 설계</w:t>
      </w:r>
    </w:p>
    <w:p>
      <w:pPr>
        <w:keepNext w:val="false"/>
        <w:widowControl/>
        <w:spacing w:after="120" w:before="0" w:line="384"/>
        <w:ind w:firstLine="220"/>
        <w:jc w:val="both"/>
      </w:pPr>
      <w:r>
        <w:rPr>
          <w:rFonts w:ascii="바탕" w:cs="바탕" w:eastAsia="바탕" w:hAnsi="바탕"/>
          <w:sz w:val="22"/>
          <w:szCs w:val="22"/>
          <w:lang w:val="en-US" w:eastAsia="ko-KR"/>
        </w:rPr>
        <w:t xml:space="preserve">본 장에서는 실험의 설계를 설명한다. 3.1절에서 예측 문제를 정의하고, 3.2절에서 합성 데이터, 3.3절에서 실제 주식 데이터를 다룬다. 3.4절은 비교 모델, 3.5절은 사후보정, 3.6절은 평가 지표와 가설 검정, 3.7절은 실험 절차와 검산을 설명한다. 합성 데이터 실험과 실제 주가 실증은 같은 예측 절차와 같은 지표를 쓰며, 다른 것은 데이터뿐이다.</w:t>
      </w:r>
    </w:p>
    <w:p>
      <w:pPr>
        <w:pStyle w:val="Heading2"/>
        <w:keepNext/>
      </w:pPr>
      <w:r>
        <w:rPr>
          <w:rFonts w:ascii="바탕" w:cs="바탕" w:eastAsia="바탕" w:hAnsi="바탕"/>
          <w:lang w:val="en-US" w:eastAsia="ko-KR"/>
        </w:rPr>
        <w:t xml:space="preserve">3.1 예측 문제</w:t>
      </w:r>
    </w:p>
    <w:p>
      <w:pPr>
        <w:keepNext/>
        <w:widowControl/>
        <w:spacing w:after="120" w:before="0" w:line="384"/>
        <w:ind w:firstLine="220"/>
        <w:jc w:val="both"/>
      </w:pPr>
      <w:r>
        <w:rPr>
          <w:rFonts w:ascii="바탕" w:cs="바탕" w:eastAsia="바탕" w:hAnsi="바탕"/>
          <w:sz w:val="22"/>
          <w:szCs w:val="22"/>
          <w:lang w:val="en-US" w:eastAsia="ko-KR"/>
        </w:rPr>
        <w:t xml:space="preserve">본 연구가 평가하는 대상은 TSFM이 내놓는 내일 로그수익률의 80% 예측구간이다. 매 거래일 t에 과거 L일의 자료만 보고 다음 날 수익률 r</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 = ln(P</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/P</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)의 분포를 예측하며, 일별 이동 창(rolling window) 방식으로 동일한 예측을 반복한다. 모델은 재학습하지 않는다(제로샷). 입력은 해당 종목의 일별 종가에서 얻은 단일 계열(단변량)이며, 거래량이나 다른 종목·거시 변수는 쓰지 않는다. 기준 모형(RW, GARCH-t)도 같은 정보만 쓰며, 선행연구(Rahimikia 외, 2025)도 단변량 설정에서 평가하였다. 예측 문제의 설정은 표 3-1과 같다.</w:t>
      </w:r>
    </w:p>
    <w:p>
      <w:pPr>
        <w:pStyle w:val="TableCaption"/>
        <w:keepNext/>
        <w:spacing w:after="80" w:before="200" w:line="276"/>
        <w:jc w:val="center"/>
      </w:pPr>
      <w:r>
        <w:rPr>
          <w:rFonts w:ascii="바탕" w:cs="바탕" w:eastAsia="바탕" w:hAnsi="바탕"/>
          <w:sz w:val="19"/>
          <w:szCs w:val="19"/>
          <w:lang w:val="en-US" w:eastAsia="ko-KR"/>
        </w:rPr>
        <w:t xml:space="preserve">표 3-1. 예측 문제 설정</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4"/>
        <w:gridCol w:w="1844"/>
        <w:gridCol w:w="4848"/>
      </w:tblGrid>
      <w:tr>
        <w:trPr>
          <w:cantSplit/>
          <w:tblHeader/>
        </w:trPr>
        <w:tc>
          <w:tcPr>
            <w:tcW w:type="dxa" w:w="124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항목</w:t>
            </w:r>
          </w:p>
        </w:tc>
        <w:tc>
          <w:tcPr>
            <w:tcW w:type="dxa" w:w="184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설정</w:t>
            </w:r>
          </w:p>
        </w:tc>
        <w:tc>
          <w:tcPr>
            <w:tcW w:type="dxa" w:w="484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근거</w:t>
            </w:r>
          </w:p>
        </w:tc>
      </w:tr>
      <w:tr>
        <w:trPr>
          <w:cantSplit/>
          <w:trHeight w:val="728" w:hRule="atLeast"/>
        </w:trPr>
        <w:tc>
          <w:tcPr>
            <w:tcW w:type="dxa" w:w="124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예측 대상</w:t>
            </w:r>
          </w:p>
        </w:tc>
        <w:tc>
          <w:tcPr>
            <w:tcW w:type="dxa" w:w="184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다음 날 로그수익률</w:t>
            </w:r>
          </w:p>
        </w:tc>
        <w:tc>
          <w:tcPr>
            <w:tcW w:type="dxa" w:w="484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일 단위 위험 관리(VaR 등)가 실무 표준이며, 선행연구(Rahimikia 외, 2025)도 다음 날을 예측함</w:t>
            </w:r>
          </w:p>
        </w:tc>
      </w:tr>
      <w:tr>
        <w:trPr>
          <w:cantSplit/>
          <w:trHeight w:val="728" w:hRule="atLeast"/>
        </w:trPr>
        <w:tc>
          <w:tcPr>
            <w:tcW w:type="dxa" w:w="124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출력</w:t>
            </w:r>
          </w:p>
        </w:tc>
        <w:tc>
          <w:tcPr>
            <w:tcW w:type="dxa" w:w="184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0.1, 0.2, …, 0.9 분위수 9개</w:t>
            </w:r>
          </w:p>
        </w:tc>
        <w:tc>
          <w:tcPr>
            <w:tcW w:type="dxa" w:w="484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비교 모델 네 개가 공통으로 낼 수 있는 분위수 범위</w:t>
            </w:r>
          </w:p>
        </w:tc>
      </w:tr>
      <w:tr>
        <w:trPr>
          <w:cantSplit/>
          <w:trHeight w:val="728" w:hRule="atLeast"/>
        </w:trPr>
        <w:tc>
          <w:tcPr>
            <w:tcW w:type="dxa" w:w="124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평가 구간</w:t>
            </w:r>
          </w:p>
        </w:tc>
        <w:tc>
          <w:tcPr>
            <w:tcW w:type="dxa" w:w="184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80% 구간 = [q</w:t>
            </w:r>
            <w:r>
              <w:rPr>
                <w:rFonts w:ascii="굴림" w:cs="굴림" w:eastAsia="굴림" w:hAnsi="굴림"/>
                <w:sz w:val="18"/>
                <w:szCs w:val="18"/>
                <w:vertAlign w:val="subscript"/>
                <w:lang w:val="en-US" w:eastAsia="ko-KR"/>
              </w:rPr>
              <w:t xml:space="preserve">0.1</w:t>
            </w:r>
            <w:r>
              <w:rPr>
                <w:rFonts w:ascii="굴림" w:cs="굴림" w:eastAsia="굴림" w:hAnsi="굴림"/>
                <w:sz w:val="18"/>
                <w:szCs w:val="18"/>
                <w:lang w:val="en-US" w:eastAsia="ko-KR"/>
              </w:rPr>
              <w:t xml:space="preserve">, q</w:t>
            </w:r>
            <w:r>
              <w:rPr>
                <w:rFonts w:ascii="굴림" w:cs="굴림" w:eastAsia="굴림" w:hAnsi="굴림"/>
                <w:sz w:val="18"/>
                <w:szCs w:val="18"/>
                <w:vertAlign w:val="subscript"/>
                <w:lang w:val="en-US" w:eastAsia="ko-KR"/>
              </w:rPr>
              <w:t xml:space="preserve">0.9</w:t>
            </w:r>
            <w:r>
              <w:rPr>
                <w:rFonts w:ascii="굴림" w:cs="굴림" w:eastAsia="굴림" w:hAnsi="굴림"/>
                <w:sz w:val="18"/>
                <w:szCs w:val="18"/>
                <w:lang w:val="en-US" w:eastAsia="ko-KR"/>
              </w:rPr>
              <w:t xml:space="preserve">]</w:t>
            </w:r>
          </w:p>
        </w:tc>
        <w:tc>
          <w:tcPr>
            <w:tcW w:type="dxa" w:w="484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일부 모델(TimesFM-2.5, Moirai-2.0)이 0.1~0.9 분위수만 출력하므로 네 모델이 공유하는 가장 넓은 대칭 구간</w:t>
            </w:r>
          </w:p>
        </w:tc>
      </w:tr>
      <w:tr>
        <w:trPr>
          <w:cantSplit/>
          <w:trHeight w:val="728" w:hRule="atLeast"/>
        </w:trPr>
        <w:tc>
          <w:tcPr>
            <w:tcW w:type="dxa" w:w="124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과거 길이 L</w:t>
            </w:r>
          </w:p>
        </w:tc>
        <w:tc>
          <w:tcPr>
            <w:tcW w:type="dxa" w:w="184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21일(약 한 달), 252일(약 1년)</w:t>
            </w:r>
          </w:p>
        </w:tc>
        <w:tc>
          <w:tcPr>
            <w:tcW w:type="dxa" w:w="484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단기 정보만 쓰는 경우와 1년치 맥락을 쓰는 경우 비교</w:t>
            </w:r>
          </w:p>
        </w:tc>
      </w:tr>
      <w:tr>
        <w:trPr>
          <w:cantSplit/>
          <w:trHeight w:val="728" w:hRule="atLeast"/>
        </w:trPr>
        <w:tc>
          <w:tcPr>
            <w:tcW w:type="dxa" w:w="124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입력 형태</w:t>
            </w:r>
          </w:p>
        </w:tc>
        <w:tc>
          <w:tcPr>
            <w:tcW w:type="dxa" w:w="184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① 로그수익률</w:t>
            </w:r>
          </w:p>
          <w:p>
            <w:pPr>
              <w:keepNext/>
              <w:keepLines/>
              <w:wordWrap w:val="1"/>
              <w:spacing w:after="0" w:before="0" w:line="240"/>
              <w:jc w:val="left"/>
            </w:pPr>
            <w:r>
              <w:rPr>
                <w:rFonts w:ascii="굴림" w:cs="굴림" w:eastAsia="굴림" w:hAnsi="굴림"/>
                <w:sz w:val="18"/>
                <w:szCs w:val="18"/>
                <w:lang w:val="en-US" w:eastAsia="ko-KR"/>
              </w:rPr>
              <w:t xml:space="preserve">② 가격 그대로</w:t>
            </w:r>
          </w:p>
        </w:tc>
        <w:tc>
          <w:tcPr>
            <w:tcW w:type="dxa" w:w="484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TSFM은 입력을 내부에서 정규화하지만 입력 형태에 따라 출력이 달라질 수 있음. 가격 입력의 출력 분위수 q는 ln(q/P</w:t>
            </w:r>
            <w:r>
              <w:rPr>
                <w:rFonts w:ascii="굴림" w:cs="굴림" w:eastAsia="굴림" w:hAnsi="굴림"/>
                <w:sz w:val="18"/>
                <w:szCs w:val="18"/>
                <w:vertAlign w:val="subscript"/>
                <w:lang w:val="en-US" w:eastAsia="ko-KR"/>
              </w:rPr>
              <w:t xml:space="preserve">t</w:t>
            </w:r>
            <w:r>
              <w:rPr>
                <w:rFonts w:ascii="굴림" w:cs="굴림" w:eastAsia="굴림" w:hAnsi="굴림"/>
                <w:sz w:val="18"/>
                <w:szCs w:val="18"/>
                <w:lang w:val="en-US" w:eastAsia="ko-KR"/>
              </w:rPr>
              <w:t xml:space="preserve">)로 바꿔 채점</w:t>
            </w:r>
          </w:p>
        </w:tc>
      </w:tr>
      <w:tr>
        <w:trPr>
          <w:cantSplit/>
          <w:trHeight w:val="728" w:hRule="atLeast"/>
        </w:trPr>
        <w:tc>
          <w:tcPr>
            <w:tcW w:type="dxa" w:w="124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에피소드</w:t>
            </w:r>
          </w:p>
        </w:tc>
        <w:tc>
          <w:tcPr>
            <w:tcW w:type="dxa" w:w="184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80일 = 준비 20일 + 채점 60일</w:t>
            </w:r>
          </w:p>
        </w:tc>
        <w:tc>
          <w:tcPr>
            <w:tcW w:type="dxa" w:w="484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준비 20일은 사후보정 기록을 시작하는 데만 쓰고, 모든 지표는 채점 60일로 계산</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과거 길이 2가지와 입력 형태 2가지를 교차하여 TSFM마다 4개 조건(한 달·수익률, 한 달·가격, 1년·수익률, 1년·가격)을 구성하고, 모든 실험 결과는 조건별로 구분하여 제시한다.</w:t>
      </w:r>
    </w:p>
    <w:p>
      <w:pPr>
        <w:keepNext w:val="false"/>
        <w:widowControl/>
        <w:spacing w:after="120" w:before="0" w:line="384"/>
        <w:ind w:firstLine="220"/>
        <w:jc w:val="both"/>
      </w:pPr>
      <w:r>
        <w:rPr>
          <w:rFonts w:ascii="바탕" w:cs="바탕" w:eastAsia="바탕" w:hAnsi="바탕"/>
          <w:sz w:val="22"/>
          <w:szCs w:val="22"/>
          <w:lang w:val="en-US" w:eastAsia="ko-KR"/>
        </w:rPr>
        <w:t xml:space="preserve">에피소드 길이 80일은 다음 계산에서 정하였다. 80% 구간은 평균 다섯 날에 한 번 구간을 벗어나므로, 채점 60일 동안 약 12회의 이탈이 누적된다. 사후보정은 과거 이탈 기록을 바탕으로 구간을 조정하는 방식이므로, 이 정도의 이탈 기록이 있어야 보정 효과를 검증할 수 있다.</w:t>
      </w:r>
    </w:p>
    <w:p>
      <w:pPr>
        <w:pStyle w:val="Heading2"/>
        <w:keepNext/>
      </w:pPr>
      <w:r>
        <w:rPr>
          <w:rFonts w:ascii="바탕" w:cs="바탕" w:eastAsia="바탕" w:hAnsi="바탕"/>
          <w:lang w:val="en-US" w:eastAsia="ko-KR"/>
        </w:rPr>
        <w:t xml:space="preserve">3.2 실측 기반 합성 데이터</w:t>
      </w:r>
    </w:p>
    <w:p>
      <w:pPr>
        <w:pStyle w:val="Heading3"/>
        <w:keepNext/>
      </w:pPr>
      <w:r>
        <w:rPr>
          <w:rFonts w:ascii="바탕" w:cs="바탕" w:eastAsia="바탕" w:hAnsi="바탕"/>
          <w:lang w:val="en-US" w:eastAsia="ko-KR"/>
        </w:rPr>
        <w:t xml:space="preserve">3.2.1 설계 원칙</w:t>
      </w:r>
    </w:p>
    <w:p>
      <w:pPr>
        <w:keepNext w:val="false"/>
        <w:widowControl/>
        <w:spacing w:after="120" w:before="0" w:line="384"/>
        <w:ind w:firstLine="220"/>
        <w:jc w:val="both"/>
      </w:pPr>
      <w:r>
        <w:rPr>
          <w:rFonts w:ascii="바탕" w:cs="바탕" w:eastAsia="바탕" w:hAnsi="바탕"/>
          <w:sz w:val="22"/>
          <w:szCs w:val="22"/>
          <w:lang w:val="en-US" w:eastAsia="ko-KR"/>
        </w:rPr>
        <w:t xml:space="preserve">합성 데이터 실험의 목적은 금융 데이터의 특성 하나만 강하게 설정했을 때 예측구간이 어떻게 변하는지를 분리해서 보는 것이다. 이를 위해 세 가지 원칙을 지켰다.</w:t>
      </w:r>
    </w:p>
    <w:p>
      <w:pPr>
        <w:keepNext w:val="false"/>
        <w:widowControl/>
        <w:spacing w:after="120" w:before="0" w:line="384"/>
        <w:ind w:firstLine="220"/>
        <w:jc w:val="both"/>
      </w:pPr>
      <w:r>
        <w:rPr>
          <w:rFonts w:ascii="바탕" w:cs="바탕" w:eastAsia="바탕" w:hAnsi="바탕"/>
          <w:sz w:val="22"/>
          <w:szCs w:val="22"/>
          <w:lang w:val="en-US" w:eastAsia="ko-KR"/>
        </w:rPr>
        <w:t xml:space="preserve">첫째, 같은 난수를 공유한다(공통 난수, common random numbers). 계열 번호 s마다 난수(정규난수 z, 균등난수 u·v, 초기 상태 s</w:t>
      </w:r>
      <w:r>
        <w:rPr>
          <w:rFonts w:ascii="바탕" w:cs="바탕" w:eastAsia="바탕" w:hAnsi="바탕"/>
          <w:sz w:val="22"/>
          <w:szCs w:val="22"/>
          <w:vertAlign w:val="subscript"/>
          <w:lang w:val="en-US" w:eastAsia="ko-KR"/>
        </w:rPr>
        <w:t xml:space="preserve">0</w:t>
      </w:r>
      <w:r>
        <w:rPr>
          <w:rFonts w:ascii="바탕" w:cs="바탕" w:eastAsia="바탕" w:hAnsi="바탕"/>
          <w:sz w:val="22"/>
          <w:szCs w:val="22"/>
          <w:lang w:val="en-US" w:eastAsia="ko-KR"/>
        </w:rPr>
        <w:t xml:space="preserve">)를 한 번만 뽑고, 모든 시나리오가 이를 함께 쓴다. 따라서 같은 계열 번호의 L1과 L5 차이는 우연이 아니라 특성 설정의 차이에서만 생긴다. 네 축의 L1 모수(α+β = 0, ν = ∞, 전환 없음, 변동비 1)로 데이터를 만들면 모두 같은 L1 계열이 되는지를 생성 코드가 실행할 때마다 점검한다.</w:t>
      </w:r>
    </w:p>
    <w:p>
      <w:pPr>
        <w:keepNext w:val="false"/>
        <w:widowControl/>
        <w:spacing w:after="120" w:before="0" w:line="384"/>
        <w:ind w:firstLine="220"/>
        <w:jc w:val="both"/>
      </w:pPr>
      <w:r>
        <w:rPr>
          <w:rFonts w:ascii="바탕" w:cs="바탕" w:eastAsia="바탕" w:hAnsi="바탕"/>
          <w:sz w:val="22"/>
          <w:szCs w:val="22"/>
          <w:lang w:val="en-US" w:eastAsia="ko-KR"/>
        </w:rPr>
        <w:t xml:space="preserve">둘째, 변동의 크기는 고정한다. 모든 시나리오의 무조건부 평균은 0, 하루 변동(무조건부 표준편차)은 2.11%로 같다. 바뀌는 것은 변동의 형태뿐이다.</w:t>
      </w:r>
    </w:p>
    <w:p>
      <w:pPr>
        <w:keepNext w:val="false"/>
        <w:widowControl/>
        <w:spacing w:after="120" w:before="0" w:line="384"/>
        <w:ind w:firstLine="220"/>
        <w:jc w:val="both"/>
      </w:pPr>
      <w:r>
        <w:rPr>
          <w:rFonts w:ascii="바탕" w:cs="바탕" w:eastAsia="바탕" w:hAnsi="바탕"/>
          <w:sz w:val="22"/>
          <w:szCs w:val="22"/>
          <w:lang w:val="en-US" w:eastAsia="ko-KR"/>
        </w:rPr>
        <w:t xml:space="preserve">셋째, 강도 단계는 실제 주식에서 정한다. 합성 단계를 연구자가 임의로 정하면 실제보다 지나치게 약하거나 강한 조건을 시험하게 된다. 본 연구는 실제 10종목(3.3절)에서 각 특성의 강도를 측정하고, 그 측정값으로 단계를 정하였다.</w:t>
      </w:r>
    </w:p>
    <w:p>
      <w:pPr>
        <w:pStyle w:val="Heading3"/>
        <w:keepNext/>
      </w:pPr>
      <w:r>
        <w:rPr>
          <w:rFonts w:ascii="바탕" w:cs="바탕" w:eastAsia="바탕" w:hAnsi="바탕"/>
          <w:lang w:val="en-US" w:eastAsia="ko-KR"/>
        </w:rPr>
        <w:t xml:space="preserve">3.2.2 금융 데이터의 세 가지 특성</w:t>
      </w:r>
    </w:p>
    <w:p>
      <w:pPr>
        <w:keepNext/>
        <w:widowControl/>
        <w:spacing w:after="120" w:before="0" w:line="384"/>
        <w:ind w:firstLine="220"/>
        <w:jc w:val="both"/>
      </w:pPr>
      <w:r>
        <w:rPr>
          <w:rFonts w:ascii="바탕" w:cs="바탕" w:eastAsia="바탕" w:hAnsi="바탕"/>
          <w:sz w:val="22"/>
          <w:szCs w:val="22"/>
          <w:lang w:val="en-US" w:eastAsia="ko-KR"/>
        </w:rPr>
        <w:t xml:space="preserve">주식 수익률은 정규분포와 다른 세 가지 성질을 보인다고 널리 알려져 있다. 그림 3-1은 실제 주가에서 이 성질이 어떻게 나타나는지 보여 준다.</w:t>
      </w:r>
    </w:p>
    <w:p>
      <w:pPr>
        <w:keepNext/>
        <w:spacing w:after="60" w:before="120"/>
        <w:jc w:val="center"/>
      </w:pPr>
      <w:r>
        <w:drawing>
          <wp:inline distT="0" distB="0" distL="0" distR="0">
            <wp:extent cx="50387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38725" cy="2647950"/>
                    </a:xfrm>
                    <a:prstGeom prst="rect">
                      <a:avLst/>
                    </a:prstGeom>
                  </pic:spPr>
                </pic:pic>
              </a:graphicData>
            </a:graphic>
          </wp:inline>
        </w:drawing>
      </w:r>
    </w:p>
    <w:p>
      <w:pPr>
        <w:pStyle w:val="FigureCaption"/>
        <w:keepNext/>
        <w:spacing w:after="40" w:before="0" w:line="276"/>
        <w:jc w:val="center"/>
      </w:pPr>
      <w:r>
        <w:rPr>
          <w:rFonts w:ascii="바탕" w:cs="바탕" w:eastAsia="바탕" w:hAnsi="바탕"/>
          <w:sz w:val="19"/>
          <w:szCs w:val="19"/>
          <w:lang w:val="en-US" w:eastAsia="ko-KR"/>
        </w:rPr>
        <w:t xml:space="preserve">그림 3-1. 실제 주식의 하루 수익률(2019-07 ~ 2021-06)</w:t>
      </w:r>
    </w:p>
    <w:p>
      <w:pPr>
        <w:keepNext w:val="false"/>
        <w:spacing w:after="240" w:line="276"/>
        <w:jc w:val="center"/>
      </w:pPr>
      <w:r>
        <w:rPr>
          <w:rFonts w:ascii="바탕" w:cs="바탕" w:eastAsia="바탕" w:hAnsi="바탕"/>
          <w:sz w:val="17"/>
          <w:szCs w:val="17"/>
          <w:lang w:val="en-US" w:eastAsia="ko-KR"/>
        </w:rPr>
        <w:t xml:space="preserve">2020년 3월 전후로 큰 움직임이 몰려서 나타나고(변동성 군집), 평소 변동의 3배를 넘는 날(빨간 점)이 정규분포가 예상하는 것보다 훨씬 자주 나타난다(두꺼운 꼬리). 저변동기와 고변동기가 번갈아 나타나는 모습은 국면 전환으로도 볼 수 있다.</w:t>
      </w:r>
    </w:p>
    <w:p>
      <w:pPr>
        <w:keepNext w:val="false"/>
        <w:widowControl/>
        <w:spacing w:after="120" w:before="0" w:line="384"/>
        <w:ind w:firstLine="220"/>
        <w:jc w:val="both"/>
      </w:pPr>
      <w:r>
        <w:rPr>
          <w:rFonts w:ascii="바탕" w:cs="바탕" w:eastAsia="바탕" w:hAnsi="바탕"/>
          <w:sz w:val="22"/>
          <w:szCs w:val="22"/>
          <w:lang w:val="en-US" w:eastAsia="ko-KR"/>
        </w:rPr>
        <w:t xml:space="preserve">① 변동성 군집: 한 번 크게 움직이면 그 뒤 며칠에서 몇 주 동안 계속 크게 움직이는 성질이다. GARCH(1,1) 모형으로 표현하며, 지속성 α+β가 0이면 어제의 변동이 오늘에 영향을 주지 않고, 1에 가까울수록 변동의 영향이 오래 지속된다.</w:t>
      </w:r>
    </w:p>
    <w:p>
      <w:pPr>
        <w:keepNext w:val="false"/>
        <w:widowControl/>
        <w:spacing w:after="120" w:before="0" w:line="384"/>
        <w:ind w:firstLine="220"/>
        <w:jc w:val="both"/>
      </w:pPr>
      <w:r>
        <w:rPr>
          <w:rFonts w:ascii="바탕" w:cs="바탕" w:eastAsia="바탕" w:hAnsi="바탕"/>
          <w:sz w:val="22"/>
          <w:szCs w:val="22"/>
          <w:lang w:val="en-US" w:eastAsia="ko-KR"/>
        </w:rPr>
        <w:t xml:space="preserve">② 두꺼운 꼬리: 평소에는 변동이 작다가 간헐적으로 극단적인 일별 변동이 발생하는 성질이다. 군집과 달리 극단적인 수익률이 특정 시기에 집중되지 않고 무작위로 발생한다. Student-t 분포로 표현하며, 자유도 ν가 작을수록 극단적인 날이 잦다. 표 3-2의 실제 10종목에서 평소 변동의 3배를 넘은 날의 비율은 1.3~1.8%로, 정규분포라면 기대되는 0.27%의 5~7배였다. 5배를 넘은 날은 정규분포에서는 사실상 일어나지 않지만(약 2,900일에 0.002일) 실제로는 종목마다 5~11일 있었다.</w:t>
      </w:r>
    </w:p>
    <w:p>
      <w:pPr>
        <w:keepNext w:val="false"/>
        <w:widowControl/>
        <w:spacing w:after="120" w:before="0" w:line="384"/>
        <w:ind w:firstLine="220"/>
        <w:jc w:val="both"/>
      </w:pPr>
      <w:r>
        <w:rPr>
          <w:rFonts w:ascii="바탕" w:cs="바탕" w:eastAsia="바탕" w:hAnsi="바탕"/>
          <w:sz w:val="22"/>
          <w:szCs w:val="22"/>
          <w:lang w:val="en-US" w:eastAsia="ko-KR"/>
        </w:rPr>
        <w:t xml:space="preserve">③ 국면 전환: 시장이 평온한 상태와 격변 상태를 오가는 성질이다. 2국면 마르코프 전환 모형으로 표현한다. 본 연구는 이 특성을 두 축으로 나눈다. 전환 빈도(국면 지속 기간)와 전환 크기(국면 간 변동성 비율)를 구분하지 않으면 어느 쪽이 영향을 주는지 식별할 수 없기 때문이다. 그 결과 합성 축은 군집·꼬리·전환 빈도·전환 크기의 4개로 구성된다.</w:t>
      </w:r>
    </w:p>
    <w:p>
      <w:pPr>
        <w:pStyle w:val="Heading3"/>
        <w:keepNext/>
      </w:pPr>
      <w:r>
        <w:rPr>
          <w:rFonts w:ascii="바탕" w:cs="바탕" w:eastAsia="바탕" w:hAnsi="바탕"/>
          <w:lang w:val="en-US" w:eastAsia="ko-KR"/>
        </w:rPr>
        <w:t xml:space="preserve">3.2.3 실제 10종목에서 특성 강도 측정</w:t>
      </w:r>
    </w:p>
    <w:p>
      <w:pPr>
        <w:keepNext/>
        <w:widowControl/>
        <w:spacing w:after="120" w:before="0" w:line="384"/>
        <w:ind w:firstLine="220"/>
        <w:jc w:val="both"/>
      </w:pPr>
      <w:r>
        <w:rPr>
          <w:rFonts w:ascii="바탕" w:cs="바탕" w:eastAsia="바탕" w:hAnsi="바탕"/>
          <w:sz w:val="22"/>
          <w:szCs w:val="22"/>
          <w:lang w:val="en-US" w:eastAsia="ko-KR"/>
        </w:rPr>
        <w:t xml:space="preserve">10종목(3.3절) 각각의 2015-01-02~2026-09-22 일별 로그수익률(×100)에 두 모형을 적합하였다.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GARCH(1,1)-t, 상수 평균(arch 8.0.0): α+β(군집), ν(꼬리)를 얻는다.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2국면 마르코프 전환, 평균·분산 전환(statsmodels 0.15.0): 국면별 평균 지속일 1/(1 − p</w:t>
      </w:r>
      <w:r>
        <w:rPr>
          <w:rFonts w:ascii="바탕" w:cs="바탕" w:eastAsia="바탕" w:hAnsi="바탕"/>
          <w:sz w:val="22"/>
          <w:szCs w:val="22"/>
          <w:vertAlign w:val="subscript"/>
          <w:lang w:val="en-US" w:eastAsia="ko-KR"/>
        </w:rPr>
        <w:t xml:space="preserve">ii</w:t>
      </w:r>
      <w:r>
        <w:rPr>
          <w:rFonts w:ascii="바탕" w:cs="바탕" w:eastAsia="바탕" w:hAnsi="바탕"/>
          <w:sz w:val="22"/>
          <w:szCs w:val="22"/>
          <w:lang w:val="en-US" w:eastAsia="ko-KR"/>
        </w:rPr>
        <w:t xml:space="preserve">)와 격변/평온 표준편차 비(변동비)를 얻는다. 무작위 시작값 30개로 추정하여 로그우도가 가장 큰 해를 택하였다.</w:t>
      </w:r>
    </w:p>
    <w:p>
      <w:pPr>
        <w:keepNext/>
        <w:widowControl/>
        <w:spacing w:after="120" w:before="0" w:line="384"/>
        <w:ind w:firstLine="220"/>
        <w:jc w:val="both"/>
      </w:pPr>
      <w:r>
        <w:rPr>
          <w:rFonts w:ascii="바탕" w:cs="바탕" w:eastAsia="바탕" w:hAnsi="바탕"/>
          <w:sz w:val="22"/>
          <w:szCs w:val="22"/>
          <w:lang w:val="en-US" w:eastAsia="ko-KR"/>
        </w:rPr>
        <w:t xml:space="preserve">국면 전환 추정에서 한 가지 문제가 있었다. 한국 종목은 호가 단위 때문에 종가가 전날과 같은 날이 4~7% 있고, 이런 날들이 모여 "분산이 0인 국면"이라는 퇴화해(degenerate solution)를 만들 수 있다. 이런 해는 우도가 무한히 커지는 수학적 특이해로서 실제 시장의 성질이 아니다. 이를 막기 위해 국면 표준편차가 표본 표준편차의 25% 미만인 해는 버리도록 했으며, 최종 추정에서는 10종목 × 30개 시작값 모두 정상 해로 수렴하였다. 거래량이 0인 날(삼성전자 2018년 액면분할 거래정지 3일)은 제외했고, 같은 규칙을 실제 주식 실험에도 적용하였다.</w:t>
      </w:r>
    </w:p>
    <w:p>
      <w:pPr>
        <w:pStyle w:val="TableCaption"/>
        <w:keepNext/>
        <w:spacing w:after="80" w:before="200" w:line="276"/>
        <w:jc w:val="center"/>
      </w:pPr>
      <w:r>
        <w:rPr>
          <w:rFonts w:ascii="바탕" w:cs="바탕" w:eastAsia="바탕" w:hAnsi="바탕"/>
          <w:sz w:val="19"/>
          <w:szCs w:val="19"/>
          <w:lang w:val="en-US" w:eastAsia="ko-KR"/>
        </w:rPr>
        <w:t xml:space="preserve">표 3-2. 실제 10종목의 특성 측정값</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19"/>
        <w:gridCol w:w="1120"/>
        <w:gridCol w:w="799"/>
        <w:gridCol w:w="1100"/>
        <w:gridCol w:w="1100"/>
        <w:gridCol w:w="710"/>
        <w:gridCol w:w="1010"/>
        <w:gridCol w:w="978"/>
      </w:tblGrid>
      <w:tr>
        <w:trPr>
          <w:cantSplit/>
          <w:tblHeader/>
        </w:trPr>
        <w:tc>
          <w:tcPr>
            <w:tcW w:type="dxa" w:w="111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종목</w:t>
            </w:r>
          </w:p>
        </w:tc>
        <w:tc>
          <w:tcPr>
            <w:tcW w:type="dxa" w:w="112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α+β (군집)</w:t>
            </w:r>
          </w:p>
        </w:tc>
        <w:tc>
          <w:tcPr>
            <w:tcW w:type="dxa" w:w="79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ν (꼬리)</w:t>
            </w:r>
          </w:p>
        </w:tc>
        <w:tc>
          <w:tcPr>
            <w:tcW w:type="dxa" w:w="110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평온 지속(일)</w:t>
            </w:r>
          </w:p>
        </w:tc>
        <w:tc>
          <w:tcPr>
            <w:tcW w:type="dxa" w:w="110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격변 지속(일)</w:t>
            </w:r>
          </w:p>
        </w:tc>
        <w:tc>
          <w:tcPr>
            <w:tcW w:type="dxa" w:w="71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변동비</w:t>
            </w:r>
          </w:p>
        </w:tc>
        <w:tc>
          <w:tcPr>
            <w:tcW w:type="dxa" w:w="101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일변동(%)</w:t>
            </w:r>
          </w:p>
        </w:tc>
        <w:tc>
          <w:tcPr>
            <w:tcW w:type="dxa" w:w="97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±3σ 초과(%)</w:t>
            </w:r>
          </w:p>
        </w:tc>
      </w:tr>
      <w:tr>
        <w:trPr>
          <w:cantSplit/>
          <w:trHeight w:val="284" w:hRule="atLeast"/>
        </w:trPr>
        <w:tc>
          <w:tcPr>
            <w:tcW w:type="dxa" w:w="11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AAPL</w:t>
            </w:r>
          </w:p>
        </w:tc>
        <w:tc>
          <w:tcPr>
            <w:tcW w:type="dxa" w:w="11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0.976</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4.32</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19.4</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7.1</w:t>
            </w:r>
          </w:p>
        </w:tc>
        <w:tc>
          <w:tcPr>
            <w:tcW w:type="dxa" w:w="7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2.55</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1.81</w:t>
            </w:r>
          </w:p>
        </w:tc>
        <w:tc>
          <w:tcPr>
            <w:tcW w:type="dxa" w:w="9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1.49</w:t>
            </w:r>
          </w:p>
        </w:tc>
      </w:tr>
      <w:tr>
        <w:trPr>
          <w:cantSplit/>
          <w:trHeight w:val="284" w:hRule="atLeast"/>
        </w:trPr>
        <w:tc>
          <w:tcPr>
            <w:tcW w:type="dxa" w:w="11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AMZN</w:t>
            </w:r>
          </w:p>
        </w:tc>
        <w:tc>
          <w:tcPr>
            <w:tcW w:type="dxa" w:w="11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0.972</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4.46</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32.3</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12.4</w:t>
            </w:r>
          </w:p>
        </w:tc>
        <w:tc>
          <w:tcPr>
            <w:tcW w:type="dxa" w:w="7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2.52</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2.07</w:t>
            </w:r>
          </w:p>
        </w:tc>
        <w:tc>
          <w:tcPr>
            <w:tcW w:type="dxa" w:w="9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1.49</w:t>
            </w:r>
          </w:p>
        </w:tc>
      </w:tr>
      <w:tr>
        <w:trPr>
          <w:cantSplit/>
          <w:trHeight w:val="284" w:hRule="atLeast"/>
        </w:trPr>
        <w:tc>
          <w:tcPr>
            <w:tcW w:type="dxa" w:w="11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GOOG</w:t>
            </w:r>
          </w:p>
        </w:tc>
        <w:tc>
          <w:tcPr>
            <w:tcW w:type="dxa" w:w="11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0.996</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3.90</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18.9</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w:t>
            </w:r>
          </w:p>
        </w:tc>
        <w:tc>
          <w:tcPr>
            <w:tcW w:type="dxa" w:w="7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2.50</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1.82</w:t>
            </w:r>
          </w:p>
        </w:tc>
        <w:tc>
          <w:tcPr>
            <w:tcW w:type="dxa" w:w="9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1.46</w:t>
            </w:r>
          </w:p>
        </w:tc>
      </w:tr>
      <w:tr>
        <w:trPr>
          <w:cantSplit/>
          <w:trHeight w:val="284" w:hRule="atLeast"/>
        </w:trPr>
        <w:tc>
          <w:tcPr>
            <w:tcW w:type="dxa" w:w="11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JPM</w:t>
            </w:r>
          </w:p>
        </w:tc>
        <w:tc>
          <w:tcPr>
            <w:tcW w:type="dxa" w:w="11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0.952</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4.70</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39.5</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6.4</w:t>
            </w:r>
          </w:p>
        </w:tc>
        <w:tc>
          <w:tcPr>
            <w:tcW w:type="dxa" w:w="7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3.08</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1.70</w:t>
            </w:r>
          </w:p>
        </w:tc>
        <w:tc>
          <w:tcPr>
            <w:tcW w:type="dxa" w:w="9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1.36</w:t>
            </w:r>
          </w:p>
        </w:tc>
      </w:tr>
      <w:tr>
        <w:trPr>
          <w:cantSplit/>
          <w:trHeight w:val="284" w:hRule="atLeast"/>
        </w:trPr>
        <w:tc>
          <w:tcPr>
            <w:tcW w:type="dxa" w:w="11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META</w:t>
            </w:r>
          </w:p>
        </w:tc>
        <w:tc>
          <w:tcPr>
            <w:tcW w:type="dxa" w:w="11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0.991</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3.56</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24.3</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5.9</w:t>
            </w:r>
          </w:p>
        </w:tc>
        <w:tc>
          <w:tcPr>
            <w:tcW w:type="dxa" w:w="7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3.11</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2.41</w:t>
            </w:r>
          </w:p>
        </w:tc>
        <w:tc>
          <w:tcPr>
            <w:tcW w:type="dxa" w:w="9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1.32</w:t>
            </w:r>
          </w:p>
        </w:tc>
      </w:tr>
      <w:tr>
        <w:trPr>
          <w:cantSplit/>
          <w:trHeight w:val="284" w:hRule="atLeast"/>
        </w:trPr>
        <w:tc>
          <w:tcPr>
            <w:tcW w:type="dxa" w:w="11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삼성전자</w:t>
            </w:r>
          </w:p>
        </w:tc>
        <w:tc>
          <w:tcPr>
            <w:tcW w:type="dxa" w:w="11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0.993</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6.51</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166.6</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16.8</w:t>
            </w:r>
          </w:p>
        </w:tc>
        <w:tc>
          <w:tcPr>
            <w:tcW w:type="dxa" w:w="7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3.19</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2.11</w:t>
            </w:r>
          </w:p>
        </w:tc>
        <w:tc>
          <w:tcPr>
            <w:tcW w:type="dxa" w:w="9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1.67</w:t>
            </w:r>
          </w:p>
        </w:tc>
      </w:tr>
      <w:tr>
        <w:trPr>
          <w:cantSplit/>
          <w:trHeight w:val="284" w:hRule="atLeast"/>
        </w:trPr>
        <w:tc>
          <w:tcPr>
            <w:tcW w:type="dxa" w:w="11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SK하이닉스</w:t>
            </w:r>
          </w:p>
        </w:tc>
        <w:tc>
          <w:tcPr>
            <w:tcW w:type="dxa" w:w="11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0.987</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7.64</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275.2</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36.9</w:t>
            </w:r>
          </w:p>
        </w:tc>
        <w:tc>
          <w:tcPr>
            <w:tcW w:type="dxa" w:w="7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2.50</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2.85</w:t>
            </w:r>
          </w:p>
        </w:tc>
        <w:tc>
          <w:tcPr>
            <w:tcW w:type="dxa" w:w="9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1.70</w:t>
            </w:r>
          </w:p>
        </w:tc>
      </w:tr>
      <w:tr>
        <w:trPr>
          <w:cantSplit/>
          <w:trHeight w:val="284" w:hRule="atLeast"/>
        </w:trPr>
        <w:tc>
          <w:tcPr>
            <w:tcW w:type="dxa" w:w="11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현대차</w:t>
            </w:r>
          </w:p>
        </w:tc>
        <w:tc>
          <w:tcPr>
            <w:tcW w:type="dxa" w:w="11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0.987</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4.58</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49.2</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9.4</w:t>
            </w:r>
          </w:p>
        </w:tc>
        <w:tc>
          <w:tcPr>
            <w:tcW w:type="dxa" w:w="7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2.73</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2.29</w:t>
            </w:r>
          </w:p>
        </w:tc>
        <w:tc>
          <w:tcPr>
            <w:tcW w:type="dxa" w:w="9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1.84</w:t>
            </w:r>
          </w:p>
        </w:tc>
      </w:tr>
      <w:tr>
        <w:trPr>
          <w:cantSplit/>
          <w:trHeight w:val="284" w:hRule="atLeast"/>
        </w:trPr>
        <w:tc>
          <w:tcPr>
            <w:tcW w:type="dxa" w:w="11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한국전력</w:t>
            </w:r>
          </w:p>
        </w:tc>
        <w:tc>
          <w:tcPr>
            <w:tcW w:type="dxa" w:w="11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0.946</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4.11</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20.7</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6.3</w:t>
            </w:r>
          </w:p>
        </w:tc>
        <w:tc>
          <w:tcPr>
            <w:tcW w:type="dxa" w:w="7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2.68</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2.10</w:t>
            </w:r>
          </w:p>
        </w:tc>
        <w:tc>
          <w:tcPr>
            <w:tcW w:type="dxa" w:w="9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1.43</w:t>
            </w:r>
          </w:p>
        </w:tc>
      </w:tr>
      <w:tr>
        <w:trPr>
          <w:cantSplit/>
          <w:trHeight w:val="284" w:hRule="atLeast"/>
        </w:trPr>
        <w:tc>
          <w:tcPr>
            <w:tcW w:type="dxa" w:w="111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7"/>
                <w:szCs w:val="17"/>
                <w:lang w:val="en-US" w:eastAsia="ko-KR"/>
              </w:rPr>
              <w:t xml:space="preserve">현대모비스</w:t>
            </w:r>
          </w:p>
        </w:tc>
        <w:tc>
          <w:tcPr>
            <w:tcW w:type="dxa" w:w="112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0.977</w:t>
            </w:r>
          </w:p>
        </w:tc>
        <w:tc>
          <w:tcPr>
            <w:tcW w:type="dxa" w:w="79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4.28</w:t>
            </w:r>
          </w:p>
        </w:tc>
        <w:tc>
          <w:tcPr>
            <w:tcW w:type="dxa" w:w="110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40.1</w:t>
            </w:r>
          </w:p>
        </w:tc>
        <w:tc>
          <w:tcPr>
            <w:tcW w:type="dxa" w:w="110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6.8</w:t>
            </w:r>
          </w:p>
        </w:tc>
        <w:tc>
          <w:tcPr>
            <w:tcW w:type="dxa" w:w="71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2.74</w:t>
            </w:r>
          </w:p>
        </w:tc>
        <w:tc>
          <w:tcPr>
            <w:tcW w:type="dxa" w:w="101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2.35</w:t>
            </w:r>
          </w:p>
        </w:tc>
        <w:tc>
          <w:tcPr>
            <w:tcW w:type="dxa" w:w="97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1.56</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굵은 글씨는 단계값의 출처가 된 최솟값·최댓값이다.</w:t>
      </w:r>
    </w:p>
    <w:p>
      <w:pPr>
        <w:pStyle w:val="Heading3"/>
        <w:keepNext/>
      </w:pPr>
      <w:r>
        <w:rPr>
          <w:rFonts w:ascii="바탕" w:cs="바탕" w:eastAsia="바탕" w:hAnsi="바탕"/>
          <w:lang w:val="en-US" w:eastAsia="ko-KR"/>
        </w:rPr>
        <w:t xml:space="preserve">3.2.4 단계 규칙과 확정 단계값</w:t>
      </w:r>
    </w:p>
    <w:p>
      <w:pPr>
        <w:keepNext/>
        <w:widowControl/>
        <w:spacing w:after="120" w:before="0" w:line="384"/>
        <w:ind w:firstLine="220"/>
        <w:jc w:val="both"/>
      </w:pPr>
      <w:r>
        <w:rPr>
          <w:rFonts w:ascii="바탕" w:cs="바탕" w:eastAsia="바탕" w:hAnsi="바탕"/>
          <w:sz w:val="22"/>
          <w:szCs w:val="22"/>
          <w:lang w:val="en-US" w:eastAsia="ko-KR"/>
        </w:rPr>
        <w:t xml:space="preserve">단계 규칙은 측정 전에 정하여 실험 계획서에 기록하였다. L1은 특성 없음으로 4축이 공유하는 하나의 시나리오이다. L3은 10종목 중 가장 약한 값, L4는 중앙값, L5는 가장 강한 값이다. L2는 L1과 L3의 중간으로, 꼬리 축은 초과첨도 6/(ν−4)의 중간에 해당하는 ν를 쓴다. 전환 빈도 축의 L5만 예외로, 실측 최대 이탈확률의 2배로 정해 실측 범위를 넘는 스트레스를 주었다. 이 규칙으로 확정한 단계값은 표 3-3과 같다.</w:t>
      </w:r>
    </w:p>
    <w:p>
      <w:pPr>
        <w:pStyle w:val="TableCaption"/>
        <w:keepNext/>
        <w:spacing w:after="80" w:before="200" w:line="276"/>
        <w:jc w:val="center"/>
      </w:pPr>
      <w:r>
        <w:rPr>
          <w:rFonts w:ascii="바탕" w:cs="바탕" w:eastAsia="바탕" w:hAnsi="바탕"/>
          <w:sz w:val="19"/>
          <w:szCs w:val="19"/>
          <w:lang w:val="en-US" w:eastAsia="ko-KR"/>
        </w:rPr>
        <w:t xml:space="preserve">표 3-3. 합성 데이터 단계값</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1625"/>
        <w:gridCol w:w="1349"/>
        <w:gridCol w:w="2153"/>
        <w:gridCol w:w="2289"/>
      </w:tblGrid>
      <w:tr>
        <w:trPr>
          <w:cantSplit/>
          <w:tblHeader/>
        </w:trPr>
        <w:tc>
          <w:tcPr>
            <w:tcW w:type="dxa" w:w="52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단계</w:t>
            </w:r>
          </w:p>
        </w:tc>
        <w:tc>
          <w:tcPr>
            <w:tcW w:type="dxa" w:w="162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① 군집 α+β</w:t>
            </w:r>
          </w:p>
          <w:p>
            <w:pPr>
              <w:keepNext/>
              <w:keepLines/>
              <w:wordWrap w:val="1"/>
              <w:spacing w:after="0" w:before="0" w:line="240"/>
              <w:jc w:val="center"/>
            </w:pPr>
            <w:r>
              <w:rPr>
                <w:rFonts w:ascii="굴림" w:cs="굴림" w:eastAsia="굴림" w:hAnsi="굴림"/>
                <w:b/>
                <w:bCs/>
                <w:sz w:val="17"/>
                <w:szCs w:val="17"/>
                <w:lang w:val="en-US" w:eastAsia="ko-KR"/>
              </w:rPr>
              <w:t xml:space="preserve">(α:β = 1:9)</w:t>
            </w:r>
          </w:p>
        </w:tc>
        <w:tc>
          <w:tcPr>
            <w:tcW w:type="dxa" w:w="134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② 꼬리 ν</w:t>
            </w:r>
          </w:p>
        </w:tc>
        <w:tc>
          <w:tcPr>
            <w:tcW w:type="dxa" w:w="215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③ 전환 빈도</w:t>
            </w:r>
          </w:p>
          <w:p>
            <w:pPr>
              <w:keepNext/>
              <w:keepLines/>
              <w:wordWrap w:val="1"/>
              <w:spacing w:after="0" w:before="0" w:line="240"/>
              <w:jc w:val="center"/>
            </w:pPr>
            <w:r>
              <w:rPr>
                <w:rFonts w:ascii="굴림" w:cs="굴림" w:eastAsia="굴림" w:hAnsi="굴림"/>
                <w:b/>
                <w:bCs/>
                <w:sz w:val="17"/>
                <w:szCs w:val="17"/>
                <w:lang w:val="en-US" w:eastAsia="ko-KR"/>
              </w:rPr>
              <w:t xml:space="preserve">(평온/격변 일수)</w:t>
            </w:r>
          </w:p>
          <w:p>
            <w:pPr>
              <w:keepNext/>
              <w:keepLines/>
              <w:wordWrap w:val="1"/>
              <w:spacing w:after="0" w:before="0" w:line="240"/>
              <w:jc w:val="center"/>
            </w:pPr>
            <w:r>
              <w:rPr>
                <w:rFonts w:ascii="굴림" w:cs="굴림" w:eastAsia="굴림" w:hAnsi="굴림"/>
                <w:b/>
                <w:bCs/>
                <w:sz w:val="17"/>
                <w:szCs w:val="17"/>
                <w:lang w:val="en-US" w:eastAsia="ko-KR"/>
              </w:rPr>
              <w:t xml:space="preserve">(변동비 2.70 고정)</w:t>
            </w:r>
          </w:p>
        </w:tc>
        <w:tc>
          <w:tcPr>
            <w:tcW w:type="dxa" w:w="228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④ 전환 크기: 변동비</w:t>
            </w:r>
          </w:p>
          <w:p>
            <w:pPr>
              <w:keepNext/>
              <w:keepLines/>
              <w:wordWrap w:val="1"/>
              <w:spacing w:after="0" w:before="0" w:line="240"/>
              <w:jc w:val="center"/>
            </w:pPr>
            <w:r>
              <w:rPr>
                <w:rFonts w:ascii="굴림" w:cs="굴림" w:eastAsia="굴림" w:hAnsi="굴림"/>
                <w:b/>
                <w:bCs/>
                <w:sz w:val="17"/>
                <w:szCs w:val="17"/>
                <w:lang w:val="en-US" w:eastAsia="ko-KR"/>
              </w:rPr>
              <w:t xml:space="preserve">(지속 35.6/7.6일 고정)</w:t>
            </w:r>
          </w:p>
        </w:tc>
      </w:tr>
      <w:tr>
        <w:trPr>
          <w:cantSplit/>
          <w:trHeight w:val="488" w:hRule="atLeast"/>
        </w:trPr>
        <w:tc>
          <w:tcPr>
            <w:tcW w:type="dxa" w:w="5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L1</w:t>
            </w:r>
          </w:p>
        </w:tc>
        <w:tc>
          <w:tcPr>
            <w:tcW w:type="dxa" w:w="162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w:t>
            </w:r>
          </w:p>
        </w:tc>
        <w:tc>
          <w:tcPr>
            <w:tcW w:type="dxa" w:w="13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 (정규)</w:t>
            </w:r>
          </w:p>
        </w:tc>
        <w:tc>
          <w:tcPr>
            <w:tcW w:type="dxa" w:w="215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전환 없음</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1.00</w:t>
            </w:r>
          </w:p>
        </w:tc>
      </w:tr>
      <w:tr>
        <w:trPr>
          <w:cantSplit/>
          <w:trHeight w:val="488" w:hRule="atLeast"/>
        </w:trPr>
        <w:tc>
          <w:tcPr>
            <w:tcW w:type="dxa" w:w="5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L2</w:t>
            </w:r>
          </w:p>
        </w:tc>
        <w:tc>
          <w:tcPr>
            <w:tcW w:type="dxa" w:w="162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0.473</w:t>
            </w:r>
          </w:p>
        </w:tc>
        <w:tc>
          <w:tcPr>
            <w:tcW w:type="dxa" w:w="13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11.28</w:t>
            </w:r>
          </w:p>
        </w:tc>
        <w:tc>
          <w:tcPr>
            <w:tcW w:type="dxa" w:w="215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550.4 / 117.5</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1.75</w:t>
            </w:r>
          </w:p>
        </w:tc>
      </w:tr>
      <w:tr>
        <w:trPr>
          <w:cantSplit/>
          <w:trHeight w:val="488" w:hRule="atLeast"/>
        </w:trPr>
        <w:tc>
          <w:tcPr>
            <w:tcW w:type="dxa" w:w="5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L3</w:t>
            </w:r>
          </w:p>
        </w:tc>
        <w:tc>
          <w:tcPr>
            <w:tcW w:type="dxa" w:w="162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0.946 (한국전력)</w:t>
            </w:r>
          </w:p>
        </w:tc>
        <w:tc>
          <w:tcPr>
            <w:tcW w:type="dxa" w:w="13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7.64</w:t>
            </w:r>
          </w:p>
          <w:p>
            <w:pPr>
              <w:keepNext/>
              <w:keepLines/>
              <w:wordWrap w:val="1"/>
              <w:spacing w:after="0" w:before="0" w:line="240"/>
              <w:jc w:val="center"/>
            </w:pPr>
            <w:r>
              <w:rPr>
                <w:rFonts w:ascii="굴림" w:cs="굴림" w:eastAsia="굴림" w:hAnsi="굴림"/>
                <w:sz w:val="17"/>
                <w:szCs w:val="17"/>
                <w:lang w:val="en-US" w:eastAsia="ko-KR"/>
              </w:rPr>
              <w:t xml:space="preserve">(SK하이닉스)</w:t>
            </w:r>
          </w:p>
        </w:tc>
        <w:tc>
          <w:tcPr>
            <w:tcW w:type="dxa" w:w="215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275.2 / 58.7</w:t>
            </w:r>
          </w:p>
          <w:p>
            <w:pPr>
              <w:keepNext/>
              <w:keepLines/>
              <w:wordWrap w:val="1"/>
              <w:spacing w:after="0" w:before="0" w:line="240"/>
              <w:jc w:val="center"/>
            </w:pPr>
            <w:r>
              <w:rPr>
                <w:rFonts w:ascii="굴림" w:cs="굴림" w:eastAsia="굴림" w:hAnsi="굴림"/>
                <w:sz w:val="17"/>
                <w:szCs w:val="17"/>
                <w:lang w:val="en-US" w:eastAsia="ko-KR"/>
              </w:rPr>
              <w:t xml:space="preserve">(SK하이닉스)</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2.50</w:t>
            </w:r>
          </w:p>
          <w:p>
            <w:pPr>
              <w:keepNext/>
              <w:keepLines/>
              <w:wordWrap w:val="1"/>
              <w:spacing w:after="0" w:before="0" w:line="240"/>
              <w:jc w:val="center"/>
            </w:pPr>
            <w:r>
              <w:rPr>
                <w:rFonts w:ascii="굴림" w:cs="굴림" w:eastAsia="굴림" w:hAnsi="굴림"/>
                <w:sz w:val="17"/>
                <w:szCs w:val="17"/>
                <w:lang w:val="en-US" w:eastAsia="ko-KR"/>
              </w:rPr>
              <w:t xml:space="preserve">(SK하이닉스)</w:t>
            </w:r>
          </w:p>
        </w:tc>
      </w:tr>
      <w:tr>
        <w:trPr>
          <w:cantSplit/>
          <w:trHeight w:val="488" w:hRule="atLeast"/>
        </w:trPr>
        <w:tc>
          <w:tcPr>
            <w:tcW w:type="dxa" w:w="5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L4</w:t>
            </w:r>
          </w:p>
        </w:tc>
        <w:tc>
          <w:tcPr>
            <w:tcW w:type="dxa" w:w="162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0.982 (중앙값)</w:t>
            </w:r>
          </w:p>
        </w:tc>
        <w:tc>
          <w:tcPr>
            <w:tcW w:type="dxa" w:w="13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4.39 (중앙값)</w:t>
            </w:r>
          </w:p>
        </w:tc>
        <w:tc>
          <w:tcPr>
            <w:tcW w:type="dxa" w:w="215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35.6 / 7.6 (중앙값)</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2.70 (중앙값)</w:t>
            </w:r>
          </w:p>
        </w:tc>
      </w:tr>
      <w:tr>
        <w:trPr>
          <w:cantSplit/>
          <w:trHeight w:val="488" w:hRule="atLeast"/>
        </w:trPr>
        <w:tc>
          <w:tcPr>
            <w:tcW w:type="dxa" w:w="52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L5</w:t>
            </w:r>
          </w:p>
        </w:tc>
        <w:tc>
          <w:tcPr>
            <w:tcW w:type="dxa" w:w="162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0.996 (GOOG)</w:t>
            </w:r>
          </w:p>
        </w:tc>
        <w:tc>
          <w:tcPr>
            <w:tcW w:type="dxa" w:w="134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3.56 (META)</w:t>
            </w:r>
          </w:p>
        </w:tc>
        <w:tc>
          <w:tcPr>
            <w:tcW w:type="dxa" w:w="215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9.5 / 2.0</w:t>
            </w:r>
          </w:p>
          <w:p>
            <w:pPr>
              <w:keepNext w:val="false"/>
              <w:keepLines/>
              <w:wordWrap w:val="1"/>
              <w:spacing w:after="0" w:before="0" w:line="240"/>
              <w:jc w:val="center"/>
            </w:pPr>
            <w:r>
              <w:rPr>
                <w:rFonts w:ascii="굴림" w:cs="굴림" w:eastAsia="굴림" w:hAnsi="굴림"/>
                <w:sz w:val="17"/>
                <w:szCs w:val="17"/>
                <w:lang w:val="en-US" w:eastAsia="ko-KR"/>
              </w:rPr>
              <w:t xml:space="preserve">(최대 이탈확률×2)</w:t>
            </w:r>
          </w:p>
        </w:tc>
        <w:tc>
          <w:tcPr>
            <w:tcW w:type="dxa" w:w="228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3.19 (삼성전자)</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하루 변동은 10종목 중앙값 2.11%, 평온/격변 지속일 비는 중앙값 4.69로 고정하였다. ③과 ④의 L4는 같은 설정이다. ③의 L2·L3은 평온 지속이 계열 길이(532일)와 비슷하거나 길어서 한 계열 안에서 전환이 0~2번에 그친다. 따라서 이 두 단계는 "자주 바뀜"보다 "계열마다 변동 수준이 다름"에 가깝다. 이는 규칙을 그대로 적용한 결과이며, 결과 해석에서 고려한다.</w:t>
      </w:r>
    </w:p>
    <w:p>
      <w:pPr>
        <w:pStyle w:val="Heading3"/>
        <w:keepNext/>
      </w:pPr>
      <w:r>
        <w:rPr>
          <w:rFonts w:ascii="바탕" w:cs="바탕" w:eastAsia="바탕" w:hAnsi="바탕"/>
          <w:lang w:val="en-US" w:eastAsia="ko-KR"/>
        </w:rPr>
        <w:t xml:space="preserve">3.2.5 생성식</w:t>
      </w:r>
    </w:p>
    <w:p>
      <w:pPr>
        <w:keepNext/>
        <w:widowControl/>
        <w:spacing w:after="120" w:before="0" w:line="384"/>
        <w:ind w:firstLine="220"/>
        <w:jc w:val="both"/>
      </w:pPr>
      <w:r>
        <w:rPr>
          <w:rFonts w:ascii="바탕" w:cs="바탕" w:eastAsia="바탕" w:hAnsi="바탕"/>
          <w:sz w:val="22"/>
          <w:szCs w:val="22"/>
          <w:lang w:val="en-US" w:eastAsia="ko-KR"/>
        </w:rPr>
        <w:t xml:space="preserve">모든 시나리오는 하루 변동 σ = 2.11%, 평균 0을 만족한다.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군집(CL): 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σ</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z</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σ</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² = ω + α r</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² + β σ</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², α = 0.1(α+β), β = 0.9(α+β), ω = σ²(1 − α − β).</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꼬리(TL): 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σ √((ν−2)/ν) · τ</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τ</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z</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√(χ²</w:t>
      </w:r>
      <w:r>
        <w:rPr>
          <w:rFonts w:ascii="바탕" w:cs="바탕" w:eastAsia="바탕" w:hAnsi="바탕"/>
          <w:sz w:val="22"/>
          <w:szCs w:val="22"/>
          <w:vertAlign w:val="subscript"/>
          <w:lang w:val="en-US" w:eastAsia="ko-KR"/>
        </w:rPr>
        <w:t xml:space="preserve">ν</w:t>
      </w:r>
      <w:r>
        <w:rPr>
          <w:rFonts w:ascii="바탕" w:cs="바탕" w:eastAsia="바탕" w:hAnsi="바탕"/>
          <w:sz w:val="22"/>
          <w:szCs w:val="22"/>
          <w:lang w:val="en-US" w:eastAsia="ko-KR"/>
        </w:rPr>
        <w:t xml:space="preserve">(v</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)/ν). 같은 z</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를 쓰므로 ν만 다르고 난수는 같다.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국면(RF·RS): 상태 S</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{평온, 격변}이 평균 지속일에 따른 확률로 바뀌고, 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σ</w:t>
      </w:r>
      <w:r>
        <w:rPr>
          <w:rFonts w:ascii="바탕" w:cs="바탕" w:eastAsia="바탕" w:hAnsi="바탕"/>
          <w:sz w:val="22"/>
          <w:szCs w:val="22"/>
          <w:vertAlign w:val="subscript"/>
          <w:lang w:val="en-US" w:eastAsia="ko-KR"/>
        </w:rPr>
        <w:t xml:space="preserve">St</w:t>
      </w:r>
      <w:r>
        <w:rPr>
          <w:rFonts w:ascii="바탕" w:cs="바탕" w:eastAsia="바탕" w:hAnsi="바탕"/>
          <w:sz w:val="22"/>
          <w:szCs w:val="22"/>
          <w:lang w:val="en-US" w:eastAsia="ko-KR"/>
        </w:rPr>
        <w:t xml:space="preserve"> z</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격변 σ = 변동비 × 평온 σ이며, 정상분포 기준 분산이 σ²가 되도록 두 값을 정한다. 두 국면의 평균은 모두 0이다.</w:t>
      </w:r>
    </w:p>
    <w:p>
      <w:pPr>
        <w:keepNext/>
        <w:widowControl/>
        <w:spacing w:after="120" w:before="0" w:line="384"/>
        <w:ind w:firstLine="220"/>
        <w:jc w:val="both"/>
      </w:pPr>
      <w:r>
        <w:rPr>
          <w:rFonts w:ascii="바탕" w:cs="바탕" w:eastAsia="바탕" w:hAnsi="바탕"/>
          <w:sz w:val="22"/>
          <w:szCs w:val="22"/>
          <w:lang w:val="en-US" w:eastAsia="ko-KR"/>
        </w:rPr>
        <w:t xml:space="preserve">계열 하나는 532일(워밍업 200일 + 과거 252일 + 에피소드 80일)이며, 시나리오 17개(L1 + 4축 × L2~L5) × 계열 100개를 만든다. 그림 3-2는 같은 난수로 만든 한 계열을 L1과 각 축의 L5로 비교한 것이다.</w:t>
      </w:r>
    </w:p>
    <w:p>
      <w:pPr>
        <w:keepNext/>
        <w:spacing w:after="60" w:before="120"/>
        <w:jc w:val="center"/>
      </w:pPr>
      <w:r>
        <w:drawing>
          <wp:inline distT="0" distB="0" distL="0" distR="0">
            <wp:extent cx="503872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38725" cy="5667375"/>
                    </a:xfrm>
                    <a:prstGeom prst="rect">
                      <a:avLst/>
                    </a:prstGeom>
                  </pic:spPr>
                </pic:pic>
              </a:graphicData>
            </a:graphic>
          </wp:inline>
        </w:drawing>
      </w:r>
    </w:p>
    <w:p>
      <w:pPr>
        <w:pStyle w:val="FigureCaption"/>
        <w:keepNext/>
        <w:spacing w:after="40" w:before="0" w:line="276"/>
        <w:jc w:val="center"/>
      </w:pPr>
      <w:r>
        <w:rPr>
          <w:rFonts w:ascii="바탕" w:cs="바탕" w:eastAsia="바탕" w:hAnsi="바탕"/>
          <w:sz w:val="19"/>
          <w:szCs w:val="19"/>
          <w:lang w:val="en-US" w:eastAsia="ko-KR"/>
        </w:rPr>
        <w:t xml:space="preserve">그림 3-2. 같은 난수로 만든 계열의 L1과 축별 L5</w:t>
      </w:r>
    </w:p>
    <w:p>
      <w:pPr>
        <w:keepNext w:val="false"/>
        <w:spacing w:after="240" w:line="276"/>
        <w:jc w:val="center"/>
      </w:pPr>
      <w:r>
        <w:rPr>
          <w:rFonts w:ascii="바탕" w:cs="바탕" w:eastAsia="바탕" w:hAnsi="바탕"/>
          <w:sz w:val="17"/>
          <w:szCs w:val="17"/>
          <w:lang w:val="en-US" w:eastAsia="ko-KR"/>
        </w:rPr>
        <w:t xml:space="preserve">군집 L5는 고변동 구간과 저변동 구간이 몰려 나타나고, 꼬리 L5는 극단적인 수익률이 시기와 무관하게 흩어져 나타난다. 전환 빈도 L5는 짧은 격변(음영)이 자주 나타나고, 전환 크기 L5는 격변 구간 안의 변동이 커진다.</w:t>
      </w:r>
    </w:p>
    <w:p>
      <w:pPr>
        <w:pStyle w:val="Heading3"/>
        <w:keepNext/>
      </w:pPr>
      <w:r>
        <w:rPr>
          <w:rFonts w:ascii="바탕" w:cs="바탕" w:eastAsia="바탕" w:hAnsi="바탕"/>
          <w:lang w:val="en-US" w:eastAsia="ko-KR"/>
        </w:rPr>
        <w:t xml:space="preserve">3.2.6 생성 검증</w:t>
      </w:r>
    </w:p>
    <w:p>
      <w:pPr>
        <w:keepNext/>
        <w:widowControl/>
        <w:spacing w:after="120" w:before="0" w:line="384"/>
        <w:ind w:firstLine="220"/>
        <w:jc w:val="both"/>
      </w:pPr>
      <w:r>
        <w:rPr>
          <w:rFonts w:ascii="바탕" w:cs="바탕" w:eastAsia="바탕" w:hAnsi="바탕"/>
          <w:sz w:val="22"/>
          <w:szCs w:val="22"/>
          <w:lang w:val="en-US" w:eastAsia="ko-KR"/>
        </w:rPr>
        <w:t xml:space="preserve">데이터가 의도대로 만들어졌는지 100개 계열 전체(워밍업 200일을 제외한 계열당 332일 × 100개 = 시나리오당 33,200일)로 확인하였다(표 3-4).</w:t>
      </w:r>
    </w:p>
    <w:p>
      <w:pPr>
        <w:pStyle w:val="TableCaption"/>
        <w:keepNext/>
        <w:spacing w:after="80" w:before="200" w:line="276"/>
        <w:jc w:val="center"/>
      </w:pPr>
      <w:r>
        <w:rPr>
          <w:rFonts w:ascii="바탕" w:cs="바탕" w:eastAsia="바탕" w:hAnsi="바탕"/>
          <w:sz w:val="19"/>
          <w:szCs w:val="19"/>
          <w:lang w:val="en-US" w:eastAsia="ko-KR"/>
        </w:rPr>
        <w:t xml:space="preserve">표 3-4. 합성 데이터 생성 검증</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8"/>
        <w:gridCol w:w="3089"/>
        <w:gridCol w:w="3089"/>
      </w:tblGrid>
      <w:tr>
        <w:trPr>
          <w:cantSplit/>
          <w:tblHeader/>
        </w:trPr>
        <w:tc>
          <w:tcPr>
            <w:tcW w:type="dxa" w:w="175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확인 항목</w:t>
            </w:r>
          </w:p>
        </w:tc>
        <w:tc>
          <w:tcPr>
            <w:tcW w:type="dxa" w:w="308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목표</w:t>
            </w:r>
          </w:p>
        </w:tc>
        <w:tc>
          <w:tcPr>
            <w:tcW w:type="dxa" w:w="308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생성 결과</w:t>
            </w:r>
          </w:p>
        </w:tc>
      </w:tr>
      <w:tr>
        <w:trPr>
          <w:cantSplit/>
          <w:trHeight w:val="512" w:hRule="atLeast"/>
        </w:trPr>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하루 변동 (17개 시나리오)</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2.11%</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2.08~2.19%</w:t>
            </w:r>
          </w:p>
        </w:tc>
      </w:tr>
      <w:tr>
        <w:trPr>
          <w:cantSplit/>
          <w:trHeight w:val="512" w:hRule="atLeast"/>
        </w:trPr>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L1의 ±3σ 초과일 비율</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0.270% (정규분포)</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0.271%</w:t>
            </w:r>
          </w:p>
        </w:tc>
      </w:tr>
      <w:tr>
        <w:trPr>
          <w:cantSplit/>
          <w:trHeight w:val="512" w:hRule="atLeast"/>
        </w:trPr>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꼬리 L2~L5의 ±3σ 초과일 비율</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0.676 / 0.879 / 1.264 / 1.379% (이론)</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0.663 / 0.877 / 1.268 / 1.386%</w:t>
            </w:r>
          </w:p>
        </w:tc>
      </w:tr>
      <w:tr>
        <w:trPr>
          <w:cantSplit/>
          <w:trHeight w:val="512" w:hRule="atLeast"/>
        </w:trPr>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군집 L2~L5의 제곱수익률 자기상관</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단계가 오를수록 증가</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0.045 / 0.122 / 0.151 / 0.165</w:t>
            </w:r>
          </w:p>
        </w:tc>
      </w:tr>
      <w:tr>
        <w:trPr>
          <w:cantSplit/>
          <w:trHeight w:val="512" w:hRule="atLeast"/>
        </w:trPr>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국면 축의 격변 일수 비율</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17.6%</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16.6~17.7%</w:t>
            </w:r>
          </w:p>
        </w:tc>
      </w:tr>
      <w:tr>
        <w:trPr>
          <w:cantSplit/>
          <w:trHeight w:val="512" w:hRule="atLeast"/>
        </w:trPr>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전환 크기 L2~L5의 변동비</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1.75 / 2.50 / 2.70 / 3.19</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1.76 / 2.52 / 2.72 / 3.21</w:t>
            </w:r>
          </w:p>
        </w:tc>
      </w:tr>
      <w:tr>
        <w:trPr>
          <w:cantSplit/>
          <w:trHeight w:val="512" w:hRule="atLeast"/>
        </w:trPr>
        <w:tc>
          <w:tcPr>
            <w:tcW w:type="dxa" w:w="175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전환 빈도 L4·L5의 평균 지속일</w:t>
            </w:r>
          </w:p>
        </w:tc>
        <w:tc>
          <w:tcPr>
            <w:tcW w:type="dxa" w:w="308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8"/>
                <w:szCs w:val="18"/>
                <w:lang w:val="en-US" w:eastAsia="ko-KR"/>
              </w:rPr>
              <w:t xml:space="preserve">35.6/7.6, 9.5/2.0일</w:t>
            </w:r>
          </w:p>
        </w:tc>
        <w:tc>
          <w:tcPr>
            <w:tcW w:type="dxa" w:w="308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8"/>
                <w:szCs w:val="18"/>
                <w:lang w:val="en-US" w:eastAsia="ko-KR"/>
              </w:rPr>
              <w:t xml:space="preserve">31.4/7.4, 9.2/2.0일</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군집 축의 자기상관은 이론값과의 일치 대신 증가 방향만 확인하였다. 계열 길이(332일)에서는 표본 자기상관이 이론값보다 작게 나오고, L5는 4차 적률이 존재하지 않아 이론값 자체가 정의되지 않기 때문이다. 전환 빈도의 실제 지속일이 목표보다 약간 짧은 것도 관측 기간이 끝나면서 마지막 구간이 잘리기 때문이다. 격변 일수 비율과 변동비가 목표와 일치하므로 전환 확률이 의도대로 들어갔다고 판단하였다.</w:t>
      </w:r>
    </w:p>
    <w:p>
      <w:pPr>
        <w:keepNext w:val="false"/>
        <w:widowControl/>
        <w:spacing w:after="120" w:before="0" w:line="384"/>
        <w:ind w:firstLine="220"/>
        <w:jc w:val="both"/>
      </w:pPr>
      <w:r>
        <w:rPr>
          <w:rFonts w:ascii="바탕" w:cs="바탕" w:eastAsia="바탕" w:hAnsi="바탕"/>
          <w:sz w:val="22"/>
          <w:szCs w:val="22"/>
          <w:lang w:val="en-US" w:eastAsia="ko-KR"/>
        </w:rPr>
        <w:t xml:space="preserve">추가로, 생성 과정을 알고 있으므로 각 날짜의 참 조건부 분포(군집: 그날의 σ</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를 아는 정규분포, 꼬리: 스케일된 t분포, 국면: 어제 국면을 알 때 오늘 국면의 혼합정규분포)의 분위수를 계산할 수 있다. 이를 오라클 모형이라 부르며, 데이터 생성과 채점 과정의 오류를 점검하는 기준선으로 활용한다(4.1절).</w:t>
      </w:r>
    </w:p>
    <w:p>
      <w:pPr>
        <w:pStyle w:val="Heading2"/>
        <w:keepNext/>
      </w:pPr>
      <w:r>
        <w:rPr>
          <w:rFonts w:ascii="바탕" w:cs="바탕" w:eastAsia="바탕" w:hAnsi="바탕"/>
          <w:lang w:val="en-US" w:eastAsia="ko-KR"/>
        </w:rPr>
        <w:t xml:space="preserve">3.3 실제 주식 데이터</w:t>
      </w:r>
    </w:p>
    <w:p>
      <w:pPr>
        <w:keepNext/>
        <w:widowControl/>
        <w:spacing w:after="120" w:before="0" w:line="384"/>
        <w:ind w:firstLine="220"/>
        <w:jc w:val="both"/>
      </w:pPr>
      <w:r>
        <w:rPr>
          <w:rFonts w:ascii="바탕" w:cs="바탕" w:eastAsia="바탕" w:hAnsi="바탕"/>
          <w:sz w:val="22"/>
          <w:szCs w:val="22"/>
          <w:lang w:val="en-US" w:eastAsia="ko-KR"/>
        </w:rPr>
        <w:t xml:space="preserve">실증에 사용한 종목, 가격 자료, 평가 기간은 표 3-5와 같다.</w:t>
      </w:r>
    </w:p>
    <w:p>
      <w:pPr>
        <w:pStyle w:val="TableCaption"/>
        <w:keepNext/>
        <w:spacing w:after="80" w:before="200" w:line="276"/>
        <w:jc w:val="center"/>
      </w:pPr>
      <w:r>
        <w:rPr>
          <w:rFonts w:ascii="바탕" w:cs="바탕" w:eastAsia="바탕" w:hAnsi="바탕"/>
          <w:sz w:val="19"/>
          <w:szCs w:val="19"/>
          <w:lang w:val="en-US" w:eastAsia="ko-KR"/>
        </w:rPr>
        <w:t xml:space="preserve">표 3-5. 실제 주식 데이터</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8"/>
        <w:gridCol w:w="6828"/>
      </w:tblGrid>
      <w:tr>
        <w:trPr>
          <w:cantSplit/>
          <w:tblHeader/>
        </w:trPr>
        <w:tc>
          <w:tcPr>
            <w:tcW w:type="dxa" w:w="110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항목</w:t>
            </w:r>
          </w:p>
        </w:tc>
        <w:tc>
          <w:tcPr>
            <w:tcW w:type="dxa" w:w="682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내용</w:t>
            </w:r>
          </w:p>
        </w:tc>
      </w:tr>
      <w:tr>
        <w:trPr>
          <w:cantSplit/>
          <w:trHeight w:val="944" w:hRule="atLeast"/>
        </w:trPr>
        <w:tc>
          <w:tcPr>
            <w:tcW w:type="dxa" w:w="110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미국 5종목</w:t>
            </w:r>
          </w:p>
        </w:tc>
        <w:tc>
          <w:tcPr>
            <w:tcW w:type="dxa" w:w="68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AAPL, AMZN, GOOG, JPM, META. Noguer i Alonso, Franklin(2026)과 같은 종목(그 연구는 20영업일 앞 중앙값을, 본 연구는 다음 날 분포를 예측하므로 수치를 직접 비교하지는 않음). 모두 2017년 초 미국 시가총액 상위 10위 안의 대형주</w:t>
            </w:r>
          </w:p>
        </w:tc>
      </w:tr>
      <w:tr>
        <w:trPr>
          <w:cantSplit/>
          <w:trHeight w:val="944" w:hRule="atLeast"/>
        </w:trPr>
        <w:tc>
          <w:tcPr>
            <w:tcW w:type="dxa" w:w="110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한국 5종목</w:t>
            </w:r>
          </w:p>
        </w:tc>
        <w:tc>
          <w:tcPr>
            <w:tcW w:type="dxa" w:w="68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삼성전자, SK하이닉스, 현대차, 한국전력, 현대모비스. 2017-01-02 KOSPI 보통주 시가총액 순위 위에서부터, 그 날 이전 거래 이력이 252일 이상인 종목 5개(우선주 제외, 4위 삼성전자우 제외). 순위 출처는 KRX 일별 시가총액 기록(FinanceData/marcap)</w:t>
            </w:r>
          </w:p>
        </w:tc>
      </w:tr>
      <w:tr>
        <w:trPr>
          <w:cantSplit/>
          <w:trHeight w:val="944" w:hRule="atLeast"/>
        </w:trPr>
        <w:tc>
          <w:tcPr>
            <w:tcW w:type="dxa" w:w="110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가격</w:t>
            </w:r>
          </w:p>
        </w:tc>
        <w:tc>
          <w:tcPr>
            <w:tcW w:type="dxa" w:w="68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2015-01-02~2026-09-22 일별 종가. 미국 yfinance(분할 반영·배당 미반영), 한국 FinanceDataReader(pykrx와 2,878일 전부 일치, 분할 의심 0건)</w:t>
            </w:r>
          </w:p>
        </w:tc>
      </w:tr>
      <w:tr>
        <w:trPr>
          <w:cantSplit/>
          <w:trHeight w:val="944" w:hRule="atLeast"/>
        </w:trPr>
        <w:tc>
          <w:tcPr>
            <w:tcW w:type="dxa" w:w="110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평가</w:t>
            </w:r>
          </w:p>
        </w:tc>
        <w:tc>
          <w:tcPr>
            <w:tcW w:type="dxa" w:w="68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2017-01-02부터 매 거래일 예측(종목당 2,381~2,443일, 총 24,132건). 종목별로 80일씩 연속 에피소드를 만들고, 끝에 80일이 안 되는 나머지는 주분석에서 제외(295개 에피소드, 채점 17,700건)</w:t>
            </w:r>
          </w:p>
        </w:tc>
      </w:tr>
      <w:tr>
        <w:trPr>
          <w:cantSplit/>
          <w:trHeight w:val="944" w:hRule="atLeast"/>
        </w:trPr>
        <w:tc>
          <w:tcPr>
            <w:tcW w:type="dxa" w:w="110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보조 분석</w:t>
            </w:r>
          </w:p>
        </w:tc>
        <w:tc>
          <w:tcPr>
            <w:tcW w:type="dxa" w:w="682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① 에피소드를 끊지 않는 연속 보정 ② 모델 공개 이후 기간만 따로 본 학습 데이터 누출 점검</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실제 주가는 끊기지 않은 긴 계열이지만, 주분석에서는 합성 데이터 실험과 같은 80일 에피소드(준비 20일, 채점 60일)로 나누어 평가하였다. 두 환경에서 보정에 쓰는 기록의 양과 채점 방식을 같게 맞추어 결과를 직접 비교하기 위해서이며, 실제 운용처럼 에피소드를 끊지 않고 이어서 보정한 결과는 보조 분석으로 함께 보고한다(6.2절).</w:t>
      </w:r>
    </w:p>
    <w:p>
      <w:pPr>
        <w:keepNext w:val="false"/>
        <w:widowControl/>
        <w:spacing w:after="120" w:before="0" w:line="384"/>
        <w:ind w:firstLine="220"/>
        <w:jc w:val="both"/>
      </w:pPr>
      <w:r>
        <w:rPr>
          <w:rFonts w:ascii="바탕" w:cs="바탕" w:eastAsia="바탕" w:hAnsi="바탕"/>
          <w:sz w:val="22"/>
          <w:szCs w:val="22"/>
          <w:lang w:val="en-US" w:eastAsia="ko-KR"/>
        </w:rPr>
        <w:t xml:space="preserve">한국 종목을 평가 시작 시점의 시가총액으로 고른 것은 사후 선택 편향을 막기 위해서이다. 2026년 기준으로 고르면 결과적으로 성장한 종목만 포함된다. 미국 종목은 선정 방식이 다르지만(선행연구와 같은 종목), 모두 같은 시점의 대형주이므로 두 시장 모두 "2017년 시점 대형주"라는 공통 기준을 만족한다. 업종 구성은 미국이 기술 4·금융 1, 한국이 기술 2·자동차 2·전력 1로 다르다.</w:t>
      </w:r>
    </w:p>
    <w:p>
      <w:pPr>
        <w:pStyle w:val="Heading2"/>
        <w:keepNext/>
      </w:pPr>
      <w:r>
        <w:rPr>
          <w:rFonts w:ascii="바탕" w:cs="바탕" w:eastAsia="바탕" w:hAnsi="바탕"/>
          <w:lang w:val="en-US" w:eastAsia="ko-KR"/>
        </w:rPr>
        <w:t xml:space="preserve">3.4 비교 모델</w:t>
      </w:r>
    </w:p>
    <w:p>
      <w:pPr>
        <w:pStyle w:val="TableCaption"/>
        <w:keepNext/>
        <w:spacing w:after="80" w:before="200" w:line="276"/>
        <w:jc w:val="center"/>
      </w:pPr>
      <w:r>
        <w:rPr>
          <w:rFonts w:ascii="바탕" w:cs="바탕" w:eastAsia="바탕" w:hAnsi="바탕"/>
          <w:sz w:val="19"/>
          <w:szCs w:val="19"/>
          <w:lang w:val="en-US" w:eastAsia="ko-KR"/>
        </w:rPr>
        <w:t xml:space="preserve">표 3-6. 비교 모델</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7"/>
        <w:gridCol w:w="3787"/>
        <w:gridCol w:w="2206"/>
        <w:gridCol w:w="936"/>
      </w:tblGrid>
      <w:tr>
        <w:trPr>
          <w:cantSplit/>
          <w:tblHeader/>
        </w:trPr>
        <w:tc>
          <w:tcPr>
            <w:tcW w:type="dxa" w:w="100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구분</w:t>
            </w:r>
          </w:p>
        </w:tc>
        <w:tc>
          <w:tcPr>
            <w:tcW w:type="dxa" w:w="378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모델</w:t>
            </w:r>
          </w:p>
        </w:tc>
        <w:tc>
          <w:tcPr>
            <w:tcW w:type="dxa" w:w="2206"/>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출력 방식</w:t>
            </w:r>
          </w:p>
        </w:tc>
        <w:tc>
          <w:tcPr>
            <w:tcW w:type="dxa" w:w="936"/>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조건</w:t>
            </w:r>
          </w:p>
        </w:tc>
      </w:tr>
      <w:tr>
        <w:trPr>
          <w:cantSplit/>
          <w:trHeight w:val="728" w:hRule="atLeast"/>
        </w:trPr>
        <w:tc>
          <w:tcPr>
            <w:tcW w:type="dxa" w:w="100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TSFM</w:t>
            </w:r>
          </w:p>
        </w:tc>
        <w:tc>
          <w:tcPr>
            <w:tcW w:type="dxa" w:w="378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 base (amazon/chronos-t5-base)</w:t>
            </w:r>
          </w:p>
        </w:tc>
        <w:tc>
          <w:tcPr>
            <w:tcW w:type="dxa" w:w="22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표본 200개 → 분위수(어휘 전체에서 추출)</w:t>
            </w:r>
          </w:p>
        </w:tc>
        <w:tc>
          <w:tcPr>
            <w:tcW w:type="dxa" w:w="93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4조건</w:t>
            </w:r>
          </w:p>
        </w:tc>
      </w:tr>
      <w:tr>
        <w:trPr>
          <w:cantSplit/>
          <w:trHeight w:val="728" w:hRule="atLeast"/>
        </w:trPr>
        <w:tc>
          <w:tcPr>
            <w:tcW w:type="dxa" w:w="100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TSFM</w:t>
            </w:r>
          </w:p>
        </w:tc>
        <w:tc>
          <w:tcPr>
            <w:tcW w:type="dxa" w:w="378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 (amazon/chronos-2)</w:t>
            </w:r>
          </w:p>
        </w:tc>
        <w:tc>
          <w:tcPr>
            <w:tcW w:type="dxa" w:w="22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분위수 직접 출력</w:t>
            </w:r>
          </w:p>
        </w:tc>
        <w:tc>
          <w:tcPr>
            <w:tcW w:type="dxa" w:w="93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4조건</w:t>
            </w:r>
          </w:p>
        </w:tc>
      </w:tr>
      <w:tr>
        <w:trPr>
          <w:cantSplit/>
          <w:trHeight w:val="728" w:hRule="atLeast"/>
        </w:trPr>
        <w:tc>
          <w:tcPr>
            <w:tcW w:type="dxa" w:w="100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TSFM</w:t>
            </w:r>
          </w:p>
        </w:tc>
        <w:tc>
          <w:tcPr>
            <w:tcW w:type="dxa" w:w="378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 (google/timesfm-2.5-200m-pytorch)</w:t>
            </w:r>
          </w:p>
        </w:tc>
        <w:tc>
          <w:tcPr>
            <w:tcW w:type="dxa" w:w="22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평균 + 0.1~0.9 분위수</w:t>
            </w:r>
          </w:p>
        </w:tc>
        <w:tc>
          <w:tcPr>
            <w:tcW w:type="dxa" w:w="93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4조건</w:t>
            </w:r>
          </w:p>
        </w:tc>
      </w:tr>
      <w:tr>
        <w:trPr>
          <w:cantSplit/>
          <w:trHeight w:val="728" w:hRule="atLeast"/>
        </w:trPr>
        <w:tc>
          <w:tcPr>
            <w:tcW w:type="dxa" w:w="100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TSFM</w:t>
            </w:r>
          </w:p>
        </w:tc>
        <w:tc>
          <w:tcPr>
            <w:tcW w:type="dxa" w:w="378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Moirai-2.0-R-small (Salesforce/moirai-2.0-R-small)</w:t>
            </w:r>
          </w:p>
        </w:tc>
        <w:tc>
          <w:tcPr>
            <w:tcW w:type="dxa" w:w="22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분위수 직접 출력</w:t>
            </w:r>
          </w:p>
        </w:tc>
        <w:tc>
          <w:tcPr>
            <w:tcW w:type="dxa" w:w="93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4조건</w:t>
            </w:r>
          </w:p>
        </w:tc>
      </w:tr>
      <w:tr>
        <w:trPr>
          <w:cantSplit/>
          <w:trHeight w:val="728" w:hRule="atLeast"/>
        </w:trPr>
        <w:tc>
          <w:tcPr>
            <w:tcW w:type="dxa" w:w="100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기준 모형</w:t>
            </w:r>
          </w:p>
        </w:tc>
        <w:tc>
          <w:tcPr>
            <w:tcW w:type="dxa" w:w="378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과거 변동 기준선(랜덤워크 가정, RW)</w:t>
            </w:r>
          </w:p>
        </w:tc>
        <w:tc>
          <w:tcPr>
            <w:tcW w:type="dxa" w:w="22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과거 L일 수익률의 평균·표준편차를 갖는 정규분포</w:t>
            </w:r>
          </w:p>
        </w:tc>
        <w:tc>
          <w:tcPr>
            <w:tcW w:type="dxa" w:w="93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21·252일</w:t>
            </w:r>
          </w:p>
        </w:tc>
      </w:tr>
      <w:tr>
        <w:trPr>
          <w:cantSplit/>
          <w:trHeight w:val="728" w:hRule="atLeast"/>
        </w:trPr>
        <w:tc>
          <w:tcPr>
            <w:tcW w:type="dxa" w:w="100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기준 모형</w:t>
            </w:r>
          </w:p>
        </w:tc>
        <w:tc>
          <w:tcPr>
            <w:tcW w:type="dxa" w:w="378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GARCH(1,1)-t</w:t>
            </w:r>
          </w:p>
        </w:tc>
        <w:tc>
          <w:tcPr>
            <w:tcW w:type="dxa" w:w="2206"/>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매일 재추정한 1일 조건부 t분포</w:t>
            </w:r>
          </w:p>
        </w:tc>
        <w:tc>
          <w:tcPr>
            <w:tcW w:type="dxa" w:w="936"/>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8"/>
                <w:szCs w:val="18"/>
                <w:lang w:val="en-US" w:eastAsia="ko-KR"/>
              </w:rPr>
              <w:t xml:space="preserve">252일</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표 3-6의 TSFM 네 개는 Noguer i Alonso와 Franklin(2026)이 평가한 모델과 맞추었다. 이하 표와 본문에서는 Moirai-2.0을 Moirai-2로 줄여 쓴다. Chronos-T5는 계산 자원(GPU 1장)의 제약으로 large 대신 base를 사용하였다. 사전 측정에서 large는 한 번 예측에 base의 약 4배(0.109초 대 0.028초)가 걸려, large 하나에만 약 19.4시간이 예상되어, 네 모델과 기준 모형 전체의 본 실행 시간(약 5.4시간)의 3배를 넘었다. 과거 21일 조건에서는 TimesFM-2.5와 Moirai-2.0이 패치 길이보다 짧은 입력을 패딩(padding)하여 처리한다.</w:t>
      </w:r>
    </w:p>
    <w:p>
      <w:pPr>
        <w:keepNext w:val="false"/>
        <w:widowControl/>
        <w:spacing w:after="120" w:before="0" w:line="384"/>
        <w:ind w:firstLine="220"/>
        <w:jc w:val="both"/>
      </w:pPr>
      <w:r>
        <w:rPr>
          <w:rFonts w:ascii="바탕" w:cs="바탕" w:eastAsia="바탕" w:hAnsi="바탕"/>
          <w:sz w:val="22"/>
          <w:szCs w:val="22"/>
          <w:lang w:val="en-US" w:eastAsia="ko-KR"/>
        </w:rPr>
        <w:t xml:space="preserve">Chronos-T5는 다음 값을 4,096개 칸(토큰) 가운데 하나로 뽑는 방식이며(2.2.3절), 라이브러리의 기본 생성 설정은 확률이 높은 상위 50칸 안에서만 뽑는다(top-k = 50). 실험 과정에서 이 설정으로 낸 수익률 입력의 80% 구간 커버리지가 합성 데이터에서 14~16%, 실제 주가에서 17~18%로 비정상적으로 낮은 것을 발견하여 원인을 점검하였다(부록 A.3). 다음 값의 퍼짐이 입력의 평균 절댓값에 비해 큰 수익률 입력에서는 상위 50칸이 분포의 양 끝을 잘라 내고 있었고, 가격 입력은 다음 값이 마지막 값 근처에 모여 영향을 받지 않았다(해제 전후 차이 0.01%p). 이는 모델의 예측이 아니라 그 예측을 잘라 내는 생성 설정의 문제이므로, 본 연구는 제한을 해제하여(어휘 전체에서 추출) Chronos-T5의 수익률 조건을 다시 예측하였고, 본문의 결과는 모두 이 설정에 따른 것이다. 다른 모델의 출력 방식 선택(예: TimesFM-2.5의 연속 분위수 헤드)은 라이브러리 권장값을 그대로 두었다. 모델별 설정은 표 A-1에, 점검 과정과 기본 설정의 결과는 부록 A.3에 싣는다.</w:t>
      </w:r>
    </w:p>
    <w:p>
      <w:pPr>
        <w:keepNext w:val="false"/>
        <w:widowControl/>
        <w:spacing w:after="120" w:before="0" w:line="384"/>
        <w:ind w:firstLine="220"/>
        <w:jc w:val="both"/>
      </w:pPr>
      <w:r>
        <w:rPr>
          <w:rFonts w:ascii="바탕" w:cs="바탕" w:eastAsia="바탕" w:hAnsi="바탕"/>
          <w:sz w:val="22"/>
          <w:szCs w:val="22"/>
          <w:lang w:val="en-US" w:eastAsia="ko-KR"/>
        </w:rPr>
        <w:t xml:space="preserve">과거 변동 기준선(RW)은 "주가는 예측 가능한 방향 없이 움직인다"는 랜덤워크 가정에 따라, 최근 변동 크기만으로 다음 날 수익률의 정규분포를 산출한다. 학습이나 패턴 분석이 전혀 없는 가장 단순한 기준이다. GARCH(1,1)-t는 변동성 군집을 직접 모형화하는 전통적 계량 모형이다. 추정이 실패하거나 값이 비정상이면(유한값이 아님, 분산 ≤ 0, ν ≤ 2) 그날만 RW와 같은 분포로 대체하도록 사전에 정하였다.</w:t>
      </w:r>
    </w:p>
    <w:p>
      <w:pPr>
        <w:keepNext w:val="false"/>
        <w:widowControl/>
        <w:spacing w:after="120" w:before="0" w:line="384"/>
        <w:ind w:firstLine="220"/>
        <w:jc w:val="both"/>
      </w:pPr>
      <w:r>
        <w:rPr>
          <w:rFonts w:ascii="바탕" w:cs="바탕" w:eastAsia="바탕" w:hAnsi="바탕"/>
          <w:sz w:val="22"/>
          <w:szCs w:val="22"/>
          <w:lang w:val="en-US" w:eastAsia="ko-KR"/>
        </w:rPr>
        <w:t xml:space="preserve">모델이 낸 9개 분위수가 오름차순이 아니면(분위수 교차) 오름차순으로 다시 정렬한 뒤 채점하고, 교차 비율을 함께 보고한다.</w:t>
      </w:r>
    </w:p>
    <w:p>
      <w:pPr>
        <w:pStyle w:val="Heading2"/>
        <w:keepNext/>
      </w:pPr>
      <w:r>
        <w:rPr>
          <w:rFonts w:ascii="바탕" w:cs="바탕" w:eastAsia="바탕" w:hAnsi="바탕"/>
          <w:lang w:val="en-US" w:eastAsia="ko-KR"/>
        </w:rPr>
        <w:t xml:space="preserve">3.5 사후보정</w:t>
      </w:r>
    </w:p>
    <w:p>
      <w:pPr>
        <w:pStyle w:val="Heading3"/>
        <w:keepNext/>
      </w:pPr>
      <w:r>
        <w:rPr>
          <w:rFonts w:ascii="바탕" w:cs="바탕" w:eastAsia="바탕" w:hAnsi="바탕"/>
          <w:lang w:val="en-US" w:eastAsia="ko-KR"/>
        </w:rPr>
        <w:t xml:space="preserve">3.5.1 ACI-CQR</w:t>
      </w:r>
    </w:p>
    <w:p>
      <w:pPr>
        <w:keepNext/>
        <w:widowControl/>
        <w:spacing w:after="120" w:before="0" w:line="384"/>
        <w:ind w:firstLine="220"/>
        <w:jc w:val="both"/>
      </w:pPr>
      <w:r>
        <w:rPr>
          <w:rFonts w:ascii="바탕" w:cs="바탕" w:eastAsia="바탕" w:hAnsi="바탕"/>
          <w:sz w:val="22"/>
          <w:szCs w:val="22"/>
          <w:lang w:val="en-US" w:eastAsia="ko-KR"/>
        </w:rPr>
        <w:t xml:space="preserve">모델은 그대로 두고 출력 구간만 고치는 사후보정으로 적응형 콘포멀 추론(ACI)과 콘포멀 분위수 회귀(CQR)를 결합한 방식을 쓴다. 전날까지의 구간 이탈 기록에 따라 당일 구간을 넓히거나 좁히는 방식이다.</w:t>
      </w:r>
    </w:p>
    <w:p>
      <w:pPr>
        <w:keepNext/>
        <w:keepLines/>
        <w:widowControl/>
        <w:spacing w:after="60" w:line="384"/>
        <w:ind w:left="360" w:hanging="360"/>
        <w:jc w:val="both"/>
      </w:pPr>
      <w:r>
        <w:rPr>
          <w:rFonts w:ascii="바탕" w:cs="바탕" w:eastAsia="바탕" w:hAnsi="바탕"/>
          <w:sz w:val="22"/>
          <w:szCs w:val="22"/>
          <w:lang w:val="en-US" w:eastAsia="ko-KR"/>
        </w:rPr>
        <w:t xml:space="preserve">1. 매일 이탈 점수 s</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max(l</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y</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y</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u</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(u</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l</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)를 기록한다. 구간 [l</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u</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안에 들어오면 음수, 밖으로 나가면 양수이며, 구간 폭으로 나누어 변동 크기와 무관하게 비교한다.</w:t>
      </w:r>
    </w:p>
    <w:p>
      <w:pPr>
        <w:keepNext/>
        <w:keepLines/>
        <w:widowControl/>
        <w:spacing w:after="60" w:line="384"/>
        <w:ind w:left="360" w:hanging="360"/>
        <w:jc w:val="both"/>
      </w:pPr>
      <w:r>
        <w:rPr>
          <w:rFonts w:ascii="바탕" w:cs="바탕" w:eastAsia="바탕" w:hAnsi="바탕"/>
          <w:sz w:val="22"/>
          <w:szCs w:val="22"/>
          <w:lang w:val="en-US" w:eastAsia="ko-KR"/>
        </w:rPr>
        <w:t xml:space="preserve">2. 준비 20일 동안은 점수만 기록한다.</w:t>
      </w:r>
    </w:p>
    <w:p>
      <w:pPr>
        <w:keepNext/>
        <w:keepLines/>
        <w:widowControl/>
        <w:spacing w:after="60" w:line="384"/>
        <w:ind w:left="360" w:hanging="360"/>
        <w:jc w:val="both"/>
      </w:pPr>
      <w:r>
        <w:rPr>
          <w:rFonts w:ascii="바탕" w:cs="바탕" w:eastAsia="바탕" w:hAnsi="바탕"/>
          <w:sz w:val="22"/>
          <w:szCs w:val="22"/>
          <w:lang w:val="en-US" w:eastAsia="ko-KR"/>
        </w:rPr>
        <w:t xml:space="preserve">3. 채점일에는 기록 n개 가운데 k = ⌈(n+1)(1−α</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)⌉번째로 작은 점수에 그날 구간 폭을 곱한 만큼 양쪽을 넓힌다(음수면 좁힌다). k &gt; n이면 기록의 최댓값을 쓴다.</w:t>
      </w:r>
    </w:p>
    <w:p>
      <w:pPr>
        <w:keepNext w:val="false"/>
        <w:keepLines/>
        <w:widowControl/>
        <w:spacing w:after="60" w:line="384"/>
        <w:ind w:left="360" w:hanging="360"/>
        <w:jc w:val="both"/>
      </w:pPr>
      <w:r>
        <w:rPr>
          <w:rFonts w:ascii="바탕" w:cs="바탕" w:eastAsia="바탕" w:hAnsi="바탕"/>
          <w:sz w:val="22"/>
          <w:szCs w:val="22"/>
          <w:lang w:val="en-US" w:eastAsia="ko-KR"/>
        </w:rPr>
        <w:t xml:space="preserve">4. 실제값을 확인한 뒤 α</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 = clip(α</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γ(α − err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0.02, 0.50)로 갱신한다(단, err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는 실제값이 구간을 벗어나면 1, 구간 안에 있으면 0). 이탈이 발생하면 α가 줄어 다음 구간이 넓어지고, 이탈 없이 포함이 이어지면 α가 늘어 구간이 좁아진다.</w:t>
      </w:r>
    </w:p>
    <w:p>
      <w:pPr>
        <w:keepNext w:val="false"/>
        <w:widowControl/>
        <w:spacing w:after="120" w:before="0" w:line="384"/>
        <w:ind w:firstLine="220"/>
        <w:jc w:val="both"/>
      </w:pPr>
      <w:r>
        <w:rPr>
          <w:rFonts w:ascii="바탕" w:cs="바탕" w:eastAsia="바탕" w:hAnsi="바탕"/>
          <w:sz w:val="22"/>
          <w:szCs w:val="22"/>
          <w:lang w:val="en-US" w:eastAsia="ko-KR"/>
        </w:rPr>
        <w:t xml:space="preserve">설정은 α = 0.20, γ = 0.05로 고정하였다(γ에 대한 민감도는 6.2절). 보정은 에피소드마다 새로 시작하며, 실제 주식에서는 종목별로 끊지 않는 연속 보정을 보조 분석으로 함께 보고한다.</w:t>
      </w:r>
    </w:p>
    <w:p>
      <w:pPr>
        <w:pStyle w:val="Heading3"/>
        <w:keepNext/>
      </w:pPr>
      <w:r>
        <w:rPr>
          <w:rFonts w:ascii="바탕" w:cs="바탕" w:eastAsia="바탕" w:hAnsi="바탕"/>
          <w:lang w:val="en-US" w:eastAsia="ko-KR"/>
        </w:rPr>
        <w:t xml:space="preserve">3.5.2 대조군</w:t>
      </w:r>
    </w:p>
    <w:p>
      <w:pPr>
        <w:keepNext w:val="false"/>
        <w:widowControl/>
        <w:spacing w:after="120" w:before="0" w:line="384"/>
        <w:ind w:firstLine="220"/>
        <w:jc w:val="both"/>
      </w:pPr>
      <w:r>
        <w:rPr>
          <w:rFonts w:ascii="바탕" w:cs="바탕" w:eastAsia="바탕" w:hAnsi="바탕"/>
          <w:sz w:val="22"/>
          <w:szCs w:val="22"/>
          <w:lang w:val="en-US" w:eastAsia="ko-KR"/>
        </w:rPr>
        <w:t xml:space="preserve">보정의 효과가 단순히 "구간을 넓혀서" 생긴 것인지 확인하기 위해, 원래 구간을 중심 기준으로 일괄 확대한 대조군을 둔다. 확대 배율은 같은 묶음(합성은 모델·조건·시나리오, 실제는 모델·조건) 채점일의 평균 보정폭과 같아지도록 정한다. 이 배율은 결과를 본 뒤에 정한 값이므로 실제 운용에서는 알 수 없다. 따라서 대조군은 미래 정보를 일부 사용한 비교 대상에 해당하며, 보정은 매일 그때까지의 실제값만으로 조정한다는 차이가 있다.</w:t>
      </w:r>
    </w:p>
    <w:p>
      <w:pPr>
        <w:pStyle w:val="Heading2"/>
        <w:keepNext/>
      </w:pPr>
      <w:r>
        <w:rPr>
          <w:rFonts w:ascii="바탕" w:cs="바탕" w:eastAsia="바탕" w:hAnsi="바탕"/>
          <w:lang w:val="en-US" w:eastAsia="ko-KR"/>
        </w:rPr>
        <w:t xml:space="preserve">3.6 평가 지표와 가설 검정</w:t>
      </w:r>
    </w:p>
    <w:p>
      <w:pPr>
        <w:pStyle w:val="Heading3"/>
        <w:keepNext/>
      </w:pPr>
      <w:r>
        <w:rPr>
          <w:rFonts w:ascii="바탕" w:cs="바탕" w:eastAsia="바탕" w:hAnsi="바탕"/>
          <w:lang w:val="en-US" w:eastAsia="ko-KR"/>
        </w:rPr>
        <w:t xml:space="preserve">3.6.1 지표</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커버리지(주지표): 실제값이 80% 구간 안에 들어온 날의 비율. 목표는 80%이며, 80%보다 낮으면 구간이 좁아 위험을 과소평가한 것(과소), 높으면 불필요하게 넓은 것(과대)이다.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분위수 손실: 9개 분위수의 pinball 손실 평균(CRPS 근사). 구간이 정확하면서 좁을수록 작다.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구간 폭: 보조 지표.</w:t>
      </w:r>
    </w:p>
    <w:p>
      <w:pPr>
        <w:keepNext w:val="false"/>
        <w:widowControl/>
        <w:spacing w:after="120" w:before="0" w:line="384"/>
        <w:ind w:firstLine="220"/>
        <w:jc w:val="both"/>
      </w:pPr>
      <w:r>
        <w:rPr>
          <w:rFonts w:ascii="바탕" w:cs="바탕" w:eastAsia="바탕" w:hAnsi="바탕"/>
          <w:sz w:val="22"/>
          <w:szCs w:val="22"/>
          <w:lang w:val="en-US" w:eastAsia="ko-KR"/>
        </w:rPr>
        <w:t xml:space="preserve">모든 지표는 채점 60일로만 계산한다.</w:t>
      </w:r>
    </w:p>
    <w:p>
      <w:pPr>
        <w:pStyle w:val="Heading3"/>
        <w:keepNext/>
      </w:pPr>
      <w:r>
        <w:rPr>
          <w:rFonts w:ascii="바탕" w:cs="바탕" w:eastAsia="바탕" w:hAnsi="바탕"/>
          <w:lang w:val="en-US" w:eastAsia="ko-KR"/>
        </w:rPr>
        <w:t xml:space="preserve">3.6.2 연구 질문과 가설</w:t>
      </w:r>
    </w:p>
    <w:p>
      <w:pPr>
        <w:keepNext/>
        <w:widowControl/>
        <w:spacing w:after="120" w:before="0" w:line="384"/>
        <w:ind w:firstLine="220"/>
        <w:jc w:val="both"/>
      </w:pPr>
      <w:r>
        <w:rPr>
          <w:rFonts w:ascii="바탕" w:cs="바탕" w:eastAsia="바탕" w:hAnsi="바탕"/>
          <w:sz w:val="22"/>
          <w:szCs w:val="22"/>
          <w:lang w:val="en-US" w:eastAsia="ko-KR"/>
        </w:rPr>
        <w:t xml:space="preserve">세 연구 질문에 대응하는 가설과 검정 방법은 표 3-7과 같다.</w:t>
      </w:r>
    </w:p>
    <w:p>
      <w:pPr>
        <w:pStyle w:val="TableCaption"/>
        <w:keepNext/>
        <w:spacing w:after="80" w:before="200" w:line="276"/>
        <w:jc w:val="center"/>
      </w:pPr>
      <w:r>
        <w:rPr>
          <w:rFonts w:ascii="바탕" w:cs="바탕" w:eastAsia="바탕" w:hAnsi="바탕"/>
          <w:sz w:val="19"/>
          <w:szCs w:val="19"/>
          <w:lang w:val="en-US" w:eastAsia="ko-KR"/>
        </w:rPr>
        <w:t xml:space="preserve">표 3-7. 가설과 검정</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42"/>
        <w:gridCol w:w="2313"/>
        <w:gridCol w:w="1742"/>
        <w:gridCol w:w="2289"/>
      </w:tblGrid>
      <w:tr>
        <w:trPr>
          <w:cantSplit/>
          <w:tblHeader/>
        </w:trPr>
        <w:tc>
          <w:tcPr>
            <w:tcW w:type="dxa" w:w="105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연구 질문</w:t>
            </w:r>
          </w:p>
        </w:tc>
        <w:tc>
          <w:tcPr>
            <w:tcW w:type="dxa" w:w="54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가설</w:t>
            </w:r>
          </w:p>
        </w:tc>
        <w:tc>
          <w:tcPr>
            <w:tcW w:type="dxa" w:w="231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내용</w:t>
            </w:r>
          </w:p>
        </w:tc>
        <w:tc>
          <w:tcPr>
            <w:tcW w:type="dxa" w:w="174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비교</w:t>
            </w:r>
          </w:p>
        </w:tc>
        <w:tc>
          <w:tcPr>
            <w:tcW w:type="dxa" w:w="228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검정</w:t>
            </w:r>
          </w:p>
        </w:tc>
      </w:tr>
      <w:tr>
        <w:trPr>
          <w:cantSplit/>
          <w:trHeight w:val="728" w:hRule="atLeast"/>
        </w:trPr>
        <w:tc>
          <w:tcPr>
            <w:tcW w:type="dxa" w:w="10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RQ1</w:t>
            </w:r>
          </w:p>
        </w:tc>
        <w:tc>
          <w:tcPr>
            <w:tcW w:type="dxa" w:w="5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H1</w:t>
            </w:r>
          </w:p>
        </w:tc>
        <w:tc>
          <w:tcPr>
            <w:tcW w:type="dxa" w:w="23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군집이 강해질수록 커버리지 하락</w:t>
            </w:r>
          </w:p>
        </w:tc>
        <w:tc>
          <w:tcPr>
            <w:tcW w:type="dxa" w:w="17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같은 계열의 L5−L1, L5−L3</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Wilcoxon 부호순위(양측)</w:t>
            </w:r>
          </w:p>
        </w:tc>
      </w:tr>
      <w:tr>
        <w:trPr>
          <w:cantSplit/>
          <w:trHeight w:val="728" w:hRule="atLeast"/>
        </w:trPr>
        <w:tc>
          <w:tcPr>
            <w:tcW w:type="dxa" w:w="10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RQ1</w:t>
            </w:r>
          </w:p>
        </w:tc>
        <w:tc>
          <w:tcPr>
            <w:tcW w:type="dxa" w:w="5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H2</w:t>
            </w:r>
          </w:p>
        </w:tc>
        <w:tc>
          <w:tcPr>
            <w:tcW w:type="dxa" w:w="23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꼬리가 두꺼울수록 하락</w:t>
            </w:r>
          </w:p>
        </w:tc>
        <w:tc>
          <w:tcPr>
            <w:tcW w:type="dxa" w:w="17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w:t>
            </w:r>
          </w:p>
        </w:tc>
      </w:tr>
      <w:tr>
        <w:trPr>
          <w:cantSplit/>
          <w:trHeight w:val="728" w:hRule="atLeast"/>
        </w:trPr>
        <w:tc>
          <w:tcPr>
            <w:tcW w:type="dxa" w:w="10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RQ1</w:t>
            </w:r>
          </w:p>
        </w:tc>
        <w:tc>
          <w:tcPr>
            <w:tcW w:type="dxa" w:w="5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H3a</w:t>
            </w:r>
          </w:p>
        </w:tc>
        <w:tc>
          <w:tcPr>
            <w:tcW w:type="dxa" w:w="23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전환이 잦을수록 하락</w:t>
            </w:r>
          </w:p>
        </w:tc>
        <w:tc>
          <w:tcPr>
            <w:tcW w:type="dxa" w:w="17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w:t>
            </w:r>
          </w:p>
        </w:tc>
      </w:tr>
      <w:tr>
        <w:trPr>
          <w:cantSplit/>
          <w:trHeight w:val="728" w:hRule="atLeast"/>
        </w:trPr>
        <w:tc>
          <w:tcPr>
            <w:tcW w:type="dxa" w:w="10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RQ1</w:t>
            </w:r>
          </w:p>
        </w:tc>
        <w:tc>
          <w:tcPr>
            <w:tcW w:type="dxa" w:w="5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H3b</w:t>
            </w:r>
          </w:p>
        </w:tc>
        <w:tc>
          <w:tcPr>
            <w:tcW w:type="dxa" w:w="23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전환 충격이 클수록 하락</w:t>
            </w:r>
          </w:p>
        </w:tc>
        <w:tc>
          <w:tcPr>
            <w:tcW w:type="dxa" w:w="17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w:t>
            </w:r>
          </w:p>
        </w:tc>
      </w:tr>
      <w:tr>
        <w:trPr>
          <w:cantSplit/>
          <w:trHeight w:val="728" w:hRule="atLeast"/>
        </w:trPr>
        <w:tc>
          <w:tcPr>
            <w:tcW w:type="dxa" w:w="10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RQ1</w:t>
            </w:r>
          </w:p>
        </w:tc>
        <w:tc>
          <w:tcPr>
            <w:tcW w:type="dxa" w:w="5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H4</w:t>
            </w:r>
          </w:p>
        </w:tc>
        <w:tc>
          <w:tcPr>
            <w:tcW w:type="dxa" w:w="23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고강도(L4·L5)에서 축마다 결손이 다르다</w:t>
            </w:r>
          </w:p>
        </w:tc>
        <w:tc>
          <w:tcPr>
            <w:tcW w:type="dxa" w:w="17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같은 계열 4축</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Friedman → 축 쌍별 Wilcoxon</w:t>
            </w:r>
          </w:p>
        </w:tc>
      </w:tr>
      <w:tr>
        <w:trPr>
          <w:cantSplit/>
          <w:trHeight w:val="728" w:hRule="atLeast"/>
        </w:trPr>
        <w:tc>
          <w:tcPr>
            <w:tcW w:type="dxa" w:w="10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RQ2</w:t>
            </w:r>
          </w:p>
        </w:tc>
        <w:tc>
          <w:tcPr>
            <w:tcW w:type="dxa" w:w="5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H5</w:t>
            </w:r>
          </w:p>
        </w:tc>
        <w:tc>
          <w:tcPr>
            <w:tcW w:type="dxa" w:w="23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실제 주식에서 TSFM이 RW보다 분위수 손실이 작다</w:t>
            </w:r>
          </w:p>
        </w:tc>
        <w:tc>
          <w:tcPr>
            <w:tcW w:type="dxa" w:w="17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같은 날·종목, 같은 L</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달력 월 블록 평균 차이의 t검정(양측)</w:t>
            </w:r>
          </w:p>
        </w:tc>
      </w:tr>
      <w:tr>
        <w:trPr>
          <w:cantSplit/>
          <w:trHeight w:val="728" w:hRule="atLeast"/>
        </w:trPr>
        <w:tc>
          <w:tcPr>
            <w:tcW w:type="dxa" w:w="105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8"/>
                <w:szCs w:val="18"/>
                <w:lang w:val="en-US" w:eastAsia="ko-KR"/>
              </w:rPr>
              <w:t xml:space="preserve">RQ3</w:t>
            </w:r>
          </w:p>
        </w:tc>
        <w:tc>
          <w:tcPr>
            <w:tcW w:type="dxa" w:w="54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8"/>
                <w:szCs w:val="18"/>
                <w:lang w:val="en-US" w:eastAsia="ko-KR"/>
              </w:rPr>
              <w:t xml:space="preserve">H6</w:t>
            </w:r>
          </w:p>
        </w:tc>
        <w:tc>
          <w:tcPr>
            <w:tcW w:type="dxa" w:w="231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보정 후 80% 복원</w:t>
            </w:r>
          </w:p>
        </w:tc>
        <w:tc>
          <w:tcPr>
            <w:tcW w:type="dxa" w:w="174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커버리지 90% 신뢰구간 ⊂ [0.77, 0.83]</w:t>
            </w:r>
          </w:p>
        </w:tc>
        <w:tc>
          <w:tcPr>
            <w:tcW w:type="dxa" w:w="228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클러스터 부트스트랩 2,000회</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H1~H3b는 금융 시계열의 특성이 예측 모델에 불리하게 작용한다는 기존 연구(Sun 외, 2026 등)의 관점을 그대로 가설로 둔 것으로, 이 관점이 사전학습 TSFM의 예측구간에도 성립하는지를 검정한다.</w:t>
      </w:r>
    </w:p>
    <w:p>
      <w:pPr>
        <w:keepNext w:val="false"/>
        <w:widowControl/>
        <w:spacing w:after="120" w:before="0" w:line="384"/>
        <w:ind w:firstLine="220"/>
        <w:jc w:val="both"/>
      </w:pPr>
      <w:r>
        <w:rPr>
          <w:rFonts w:ascii="바탕" w:cs="바탕" w:eastAsia="바탕" w:hAnsi="바탕"/>
          <w:sz w:val="22"/>
          <w:szCs w:val="22"/>
          <w:lang w:val="en-US" w:eastAsia="ko-KR"/>
        </w:rPr>
        <w:t xml:space="preserve">검정 단위는 서로 독립인 묶음이다. 합성은 계열 100개(같은 계열 번호끼리 대응), 실제는 달력 월이다. 같은 날 10종목의 예측은 서로 연관되어 있고 연속된 날도 독립이 아니므로, 날짜를 하나하나 독립 관측으로 쓰지 않는다.</w:t>
      </w:r>
    </w:p>
    <w:p>
      <w:pPr>
        <w:keepNext w:val="false"/>
        <w:widowControl/>
        <w:spacing w:after="120" w:before="0" w:line="384"/>
        <w:ind w:firstLine="220"/>
        <w:jc w:val="both"/>
      </w:pPr>
      <w:r>
        <w:rPr>
          <w:rFonts w:ascii="바탕" w:cs="바탕" w:eastAsia="바탕" w:hAnsi="바탕"/>
          <w:sz w:val="22"/>
          <w:szCs w:val="22"/>
          <w:lang w:val="en-US" w:eastAsia="ko-KR"/>
        </w:rPr>
        <w:t xml:space="preserve">유의성은 Holm 보정(Holm, 1979) 후 p &lt; 0.05로 판단하며, Holm 묶음은 가설·비교마다 TSFM 4개 × 조건 4개 = 16개이다. 유의하더라도 효과가 실질 기준(커버리지 2%p, 분위수 손실 RW 대비 2%)보다 작으면 "통계적으로는 유의하나 작음"으로 구분한다. 커버리지 기준 2%p는 시나리오당 채점 6,000건의 표본 오차(95% 구간 약 ±1%p)보다 확실히 큰 차이로 정하였다. TSFM마다 4개 조건에서 각각 판정하여, 4조건 모두 성립하면 "조건과 무관", 일부만 성립하면 "조건에 따라 다름", 없으면 "미지지"로 정리한다. 시나리오·모델·조건을 골라서 보고하지 않고 전체 표를 보고한다.</w:t>
      </w:r>
    </w:p>
    <w:p>
      <w:pPr>
        <w:pStyle w:val="Heading2"/>
        <w:keepNext/>
      </w:pPr>
      <w:r>
        <w:rPr>
          <w:rFonts w:ascii="바탕" w:cs="바탕" w:eastAsia="바탕" w:hAnsi="바탕"/>
          <w:lang w:val="en-US" w:eastAsia="ko-KR"/>
        </w:rPr>
        <w:t xml:space="preserve">3.7 실험 절차와 검산</w:t>
      </w:r>
    </w:p>
    <w:p>
      <w:pPr>
        <w:keepNext/>
        <w:widowControl/>
        <w:spacing w:after="120" w:before="0" w:line="384"/>
        <w:ind w:firstLine="220"/>
        <w:jc w:val="both"/>
      </w:pPr>
      <w:r>
        <w:rPr>
          <w:rFonts w:ascii="바탕" w:cs="바탕" w:eastAsia="바탕" w:hAnsi="바탕"/>
          <w:sz w:val="22"/>
          <w:szCs w:val="22"/>
          <w:lang w:val="en-US" w:eastAsia="ko-KR"/>
        </w:rPr>
        <w:t xml:space="preserve">본 연구는 결과를 본 뒤 가설이나 판정 기준을 바꾸는 일을 막기 위해, 실험 전에 연구 계획(가설·판정 기준)·코드·단계값을 정해 git 커밋으로 기록해 두었다(시점과 실행 환경은 부록 A.1·A.2). 예비 실험에서 확인한 설계상의 한계를 보완하여 본 실험을 설계하였으며, 실행 전에 다음을 확인하였다.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누출 점검: 실제·합성 과제 각 600건을 원자료에서 독립적으로 다시 계산하여, 모델에 주는 과거 자료가 예측 대상일 이전에서 끝나는지 확인</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오라클 모형: 17개 시나리오 모두 커버리지 79.3~80.2%</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보정기: 별도로 작성한 참조 구현과 200회 일치</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예비 실행: 실제 GPU 환경에서 소규모 실행(스모크)으로 모든 모델의 호출 확인</w:t>
      </w:r>
    </w:p>
    <w:p>
      <w:pPr>
        <w:keepNext w:val="false"/>
        <w:widowControl/>
        <w:spacing w:after="120" w:before="0" w:line="384"/>
        <w:ind w:firstLine="220"/>
        <w:jc w:val="both"/>
      </w:pPr>
      <w:r>
        <w:rPr>
          <w:rFonts w:ascii="바탕" w:cs="바탕" w:eastAsia="바탕" w:hAnsi="바탕"/>
          <w:sz w:val="22"/>
          <w:szCs w:val="22"/>
          <w:lang w:val="en-US" w:eastAsia="ko-KR"/>
        </w:rPr>
        <w:t xml:space="preserve">실행 후에는 분석 코드와 독립적으로 작성한 코드로 원본 예측 파일에서 모든 지표와 검정을 다시 계산하여 일치함을 확인하였다(최대 차이 1.5×10⁻¹⁴).</w:t>
      </w:r>
    </w:p>
    <w:p>
      <w:pPr>
        <w:keepNext w:val="false"/>
        <w:widowControl/>
        <w:spacing w:after="120" w:before="0" w:line="384"/>
        <w:ind w:firstLine="220"/>
        <w:jc w:val="both"/>
      </w:pPr>
      <w:r>
        <w:rPr>
          <w:rFonts w:ascii="바탕" w:cs="바탕" w:eastAsia="바탕" w:hAnsi="바탕"/>
          <w:sz w:val="22"/>
          <w:szCs w:val="22"/>
          <w:lang w:val="en-US" w:eastAsia="ko-KR"/>
        </w:rPr>
        <w:t xml:space="preserve">실험 과정에서 밝혀 둘 사항과 조치는 다음과 같다. 첫째, 실행 전 전체 규모 사전 시험에서 기준 모형(RW, GARCH-t)의 실제 주가 결과가 함께 산출되었으나, 이를 본 뒤 설정은 바꾸지 않았다. 둘째, 검산에서 GARCH-t가 합성 데이터 136,000건 중 2건에서 비정상 값을 낸 것을 발견하였으며, 가설 검정에는 영향이 없고 민감도 분석을 6.5절에 보고한다. 셋째, Chronos-T5 수익률 입력의 구간이 비정상적으로 좁은 것을 발견하여 원인을 확인하고, 샘플링 설정 하나만 바로잡아 같은 과제·난수 시드·채점 코드로 다시 계산하였다(3.4절). 다른 모델의 가설 판정은 바뀌지 않았으며, 바로잡기 전의 결과는 부록 A.3에 함께 싣는다. 그 밖의 추가 점검은 부록 A.4에 정리한다.</w:t>
      </w:r>
    </w:p>
    <w:p>
      <w:pPr>
        <w:keepNext w:val="false"/>
        <w:widowControl/>
        <w:spacing w:after="120" w:before="0" w:line="384"/>
        <w:ind w:firstLine="220"/>
        <w:jc w:val="both"/>
      </w:pPr>
      <w:r>
        <w:rPr>
          <w:rFonts w:ascii="바탕" w:cs="바탕" w:eastAsia="바탕" w:hAnsi="바탕"/>
          <w:sz w:val="22"/>
          <w:szCs w:val="22"/>
          <w:lang w:val="en-US" w:eastAsia="ko-KR"/>
        </w:rPr>
        <w:t xml:space="preserve">실행 환경은 Python 3.11.17, PyTorch 2.5.1(CUDA 12.1), NVIDIA RTX 3080 10GB, chronos-forecasting 2.3.2, timesfm 3.0.2, uni2ts 2.0.0, arch 8.0.0이다. 주요 패키지 버전은 부록 A.2에 싣는다.</w:t>
      </w:r>
    </w:p>
    <w:p>
      <w:pPr>
        <w:pStyle w:val="Heading1"/>
        <w:keepNext/>
        <w:pageBreakBefore/>
      </w:pPr>
      <w:r>
        <w:rPr>
          <w:rFonts w:ascii="바탕" w:cs="바탕" w:eastAsia="바탕" w:hAnsi="바탕"/>
          <w:lang w:val="en-US" w:eastAsia="ko-KR"/>
        </w:rPr>
        <w:t xml:space="preserve">제4장 금융 특성이 예측구간에 미치는 영향 (RQ1)</w:t>
      </w:r>
    </w:p>
    <w:p>
      <w:pPr>
        <w:keepNext w:val="false"/>
        <w:widowControl/>
        <w:spacing w:after="120" w:before="0" w:line="384"/>
        <w:ind w:firstLine="220"/>
        <w:jc w:val="both"/>
      </w:pPr>
      <w:r>
        <w:rPr>
          <w:rFonts w:ascii="바탕" w:cs="바탕" w:eastAsia="바탕" w:hAnsi="바탕"/>
          <w:sz w:val="22"/>
          <w:szCs w:val="22"/>
          <w:lang w:val="en-US" w:eastAsia="ko-KR"/>
        </w:rPr>
        <w:t xml:space="preserve">본 장에서는 합성 데이터 실험을 통해 TSFM 80% 예측구간의 오차가 금융 시계열의 특성(군집·꼬리·국면 전환)과 모델·입력 설정 중 어디에서 기인하는지 분석한다. 4.1절에서 실험 절차의 타당성을 확인하고, 4.2절에서 특성을 하나도 넣지 않은 기준 상태(L1)의 결과를, 4.3절에서 특성을 하나씩 강하게 설정했을 때의 변화(H1~H3b)를, 4.4절에서 특성끼리의 비교(H4)를 본다. 4.5절에서 RQ1에 답한다.</w:t>
      </w:r>
    </w:p>
    <w:p>
      <w:pPr>
        <w:keepNext w:val="false"/>
        <w:widowControl/>
        <w:spacing w:after="120" w:before="0" w:line="384"/>
        <w:ind w:firstLine="220"/>
        <w:jc w:val="both"/>
      </w:pPr>
      <w:r>
        <w:rPr>
          <w:rFonts w:ascii="바탕" w:cs="바탕" w:eastAsia="바탕" w:hAnsi="바탕"/>
          <w:sz w:val="22"/>
          <w:szCs w:val="22"/>
          <w:lang w:val="en-US" w:eastAsia="ko-KR"/>
        </w:rPr>
        <w:t xml:space="preserve">모든 수치는 시나리오마다 100계열 × 채점 60일 = 6,000건으로 계산한 보정 전 커버리지이다. 보정 후 결과는 제6장에서 다룬다.</w:t>
      </w:r>
    </w:p>
    <w:p>
      <w:pPr>
        <w:pStyle w:val="Heading2"/>
        <w:keepNext/>
      </w:pPr>
      <w:r>
        <w:rPr>
          <w:rFonts w:ascii="바탕" w:cs="바탕" w:eastAsia="바탕" w:hAnsi="바탕"/>
          <w:lang w:val="en-US" w:eastAsia="ko-KR"/>
        </w:rPr>
        <w:t xml:space="preserve">4.1 실험 절차 점검</w:t>
      </w:r>
    </w:p>
    <w:p>
      <w:pPr>
        <w:keepNext/>
        <w:widowControl/>
        <w:spacing w:after="120" w:before="0" w:line="384"/>
        <w:ind w:firstLine="220"/>
        <w:jc w:val="both"/>
      </w:pPr>
      <w:r>
        <w:rPr>
          <w:rFonts w:ascii="바탕" w:cs="바탕" w:eastAsia="바탕" w:hAnsi="바탕"/>
          <w:sz w:val="22"/>
          <w:szCs w:val="22"/>
          <w:lang w:val="en-US" w:eastAsia="ko-KR"/>
        </w:rPr>
        <w:t xml:space="preserve">결과를 해석하기 전에 실험 절차가 타당한지 다음 세 가지를 확인하였다.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오라클 모형: 데이터를 만든 참 분포의 분위수를 그대로 낸 오라클 모형은 17개 시나리오 모두에서 커버리지 79.3~80.2%였다(표 4-1 맨 아래 행). 따라서 채점 절차와 데이터 생성이 맞게 짝지어져 있고, 80%에서 벗어난 만큼은 모델의 책임이다.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분위수 교차: 9개 분위수의 순서가 뒤바뀐 비율은 모든 모델·조건에서 0~0.11%였다(Chronos-2 1년·가격 합성 0.11%가 최대). 정렬 후 채점 규칙이 결과에 주는 영향은 무시할 수준이다.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비정상 값: TSFM은 유한하지 않은 값을 한 건도 내지 않았다. GARCH-t는 136,000건 중 2건에서 추정 실패로 비정상적으로 큰 값(구간 끝이 수만~수천만 단위)을 냈다. 이는 커버리지에는 사실상 영향이 없고(79.31% → 79.31%) 평균 폭·손실 같은 서술용 평균값에만 영향을 준다. 가설 검정에는 GARCH-t를 쓰지 않으므로 결론은 바뀌지 않는다. 상세는 6.5절에 적는다.</w:t>
      </w:r>
    </w:p>
    <w:p>
      <w:pPr>
        <w:pStyle w:val="Heading2"/>
        <w:keepNext/>
      </w:pPr>
      <w:r>
        <w:rPr>
          <w:rFonts w:ascii="바탕" w:cs="바탕" w:eastAsia="바탕" w:hAnsi="바탕"/>
          <w:lang w:val="en-US" w:eastAsia="ko-KR"/>
        </w:rPr>
        <w:t xml:space="preserve">4.2 기준 상태(L1)의 보정 전 커버리지</w:t>
      </w:r>
    </w:p>
    <w:p>
      <w:pPr>
        <w:keepNext/>
        <w:widowControl/>
        <w:spacing w:after="120" w:before="0" w:line="384"/>
        <w:ind w:firstLine="220"/>
        <w:jc w:val="both"/>
      </w:pPr>
      <w:r>
        <w:rPr>
          <w:rFonts w:ascii="바탕" w:cs="바탕" w:eastAsia="바탕" w:hAnsi="바탕"/>
          <w:sz w:val="22"/>
          <w:szCs w:val="22"/>
          <w:lang w:val="en-US" w:eastAsia="ko-KR"/>
        </w:rPr>
        <w:t xml:space="preserve">L1은 금융 특성이 하나도 없는 데이터이다. 매일 같은 크기(일 변동 2.11%)의 정규분포에서 독립적으로 추출하였으므로, 과거 변동성 기반 정규분포를 사용하는 단순 기준선(과거변동 RW)이 곧바로 정답에 가까워지는 가장 기본적인 환경이다. 그러나 표 4-1에서 보듯 TSFM의 절반은 이 기본적인 문제에서부터 이미 80%를 벗어났다.</w:t>
      </w:r>
    </w:p>
    <w:p>
      <w:pPr>
        <w:pStyle w:val="TableCaption"/>
        <w:keepNext/>
        <w:spacing w:after="80" w:before="200" w:line="276"/>
        <w:jc w:val="center"/>
      </w:pPr>
      <w:r>
        <w:rPr>
          <w:rFonts w:ascii="바탕" w:cs="바탕" w:eastAsia="바탕" w:hAnsi="바탕"/>
          <w:sz w:val="19"/>
          <w:szCs w:val="19"/>
          <w:lang w:val="en-US" w:eastAsia="ko-KR"/>
        </w:rPr>
        <w:t xml:space="preserve">표 4-1. 기준 상태(L1)와 전체 시나리오의 보정 전 커버리지</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3"/>
        <w:gridCol w:w="1362"/>
        <w:gridCol w:w="1915"/>
        <w:gridCol w:w="1526"/>
        <w:gridCol w:w="1690"/>
      </w:tblGrid>
      <w:tr>
        <w:trPr>
          <w:cantSplit/>
          <w:tblHeader/>
        </w:trPr>
        <w:tc>
          <w:tcPr>
            <w:tcW w:type="dxa" w:w="144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모델</w:t>
            </w:r>
          </w:p>
        </w:tc>
        <w:tc>
          <w:tcPr>
            <w:tcW w:type="dxa" w:w="136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조건</w:t>
            </w:r>
          </w:p>
        </w:tc>
        <w:tc>
          <w:tcPr>
            <w:tcW w:type="dxa" w:w="191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L1 커버리지(%)</w:t>
            </w:r>
          </w:p>
          <w:p>
            <w:pPr>
              <w:keepNext/>
              <w:keepLines/>
              <w:wordWrap w:val="1"/>
              <w:spacing w:after="0" w:before="0" w:line="240"/>
              <w:jc w:val="center"/>
            </w:pPr>
            <w:r>
              <w:rPr>
                <w:rFonts w:ascii="굴림" w:cs="굴림" w:eastAsia="굴림" w:hAnsi="굴림"/>
                <w:b/>
                <w:bCs/>
                <w:sz w:val="18"/>
                <w:szCs w:val="18"/>
                <w:lang w:val="en-US" w:eastAsia="ko-KR"/>
              </w:rPr>
              <w:t xml:space="preserve">[95% 구간]</w:t>
            </w:r>
          </w:p>
        </w:tc>
        <w:tc>
          <w:tcPr>
            <w:tcW w:type="dxa" w:w="1526"/>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17개 시나리오</w:t>
            </w:r>
          </w:p>
          <w:p>
            <w:pPr>
              <w:keepNext/>
              <w:keepLines/>
              <w:wordWrap w:val="1"/>
              <w:spacing w:after="0" w:before="0" w:line="240"/>
              <w:jc w:val="center"/>
            </w:pPr>
            <w:r>
              <w:rPr>
                <w:rFonts w:ascii="굴림" w:cs="굴림" w:eastAsia="굴림" w:hAnsi="굴림"/>
                <w:b/>
                <w:bCs/>
                <w:sz w:val="18"/>
                <w:szCs w:val="18"/>
                <w:lang w:val="en-US" w:eastAsia="ko-KR"/>
              </w:rPr>
              <w:t xml:space="preserve">범위(%)</w:t>
            </w:r>
          </w:p>
        </w:tc>
        <w:tc>
          <w:tcPr>
            <w:tcW w:type="dxa" w:w="169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L1 평균 폭(%p)</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76.0 [75.2, 76.8]</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75.3~78.6</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5.35</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75.3 [74.5, 76.1]</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74.5~78.1</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5.50</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78.6 [77.6, 79.6]</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78.1~81.1</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5.34</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75.8 [74.8, 76.7]</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74.4~77.5</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5.09</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81.5 [80.8, 82.2]</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80.5~82.0</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6.40</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79.8 [79.0, 80.7]</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79.2~81.2</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6.25</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78.8 [77.8, 79.8]</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77.1~80.8</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5.36</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79.9 [78.6, 81.1]</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77.3~83.0</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5.70</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77.5 [76.8, 78.3]</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76.5~79.5</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5.65</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77.2 [76.2, 78.1]</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76.0~79.1</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5.97</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78.8 [77.8, 79.8]</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77.3~80.0</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5.31</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87.6 [86.5, 88.6]</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86.8~88.4</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7.00</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76.6 [75.9, 77.3]</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75.7~78.8</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5.51</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77.5 [76.6, 78.3]</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75.4~80.4</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6.18</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81.0 [80.1, 81.8]</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79.7~82.0</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5.59</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79.7 [78.5, 80.8]</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77.8~81.1</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5.74</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과거변동(RW)</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77.6 [76.8, 78.4]</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75.9~82.0</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5.38</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과거변동(RW)</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79.4 [78.5, 80.5]</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79.4~86.4</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5.40</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GARCH-t</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78.7 [77.7, 79.8]</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78.4~80.1</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5.34</w:t>
            </w:r>
          </w:p>
        </w:tc>
      </w:tr>
      <w:tr>
        <w:trPr>
          <w:cantSplit/>
          <w:trHeight w:val="296" w:hRule="atLeast"/>
        </w:trPr>
        <w:tc>
          <w:tcPr>
            <w:tcW w:type="dxa" w:w="144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오라클 모형</w:t>
            </w:r>
          </w:p>
        </w:tc>
        <w:tc>
          <w:tcPr>
            <w:tcW w:type="dxa" w:w="136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w:t>
            </w:r>
          </w:p>
        </w:tc>
        <w:tc>
          <w:tcPr>
            <w:tcW w:type="dxa" w:w="191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79.8 [78.7, 80.8]</w:t>
            </w:r>
          </w:p>
        </w:tc>
        <w:tc>
          <w:tcPr>
            <w:tcW w:type="dxa" w:w="1526"/>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79.3~80.2</w:t>
            </w:r>
          </w:p>
        </w:tc>
        <w:tc>
          <w:tcPr>
            <w:tcW w:type="dxa" w:w="169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5.40</w:t>
            </w:r>
          </w:p>
        </w:tc>
      </w:tr>
    </w:tbl>
    <w:p>
      <w:pPr>
        <w:spacing w:after="60"/>
      </w:pPr>
    </w:p>
    <w:p>
      <w:pPr>
        <w:spacing w:after="200" w:line="276"/>
        <w:jc w:val="both"/>
      </w:pPr>
      <w:r>
        <w:rPr>
          <w:rFonts w:ascii="바탕" w:cs="바탕" w:eastAsia="바탕" w:hAnsi="바탕"/>
          <w:sz w:val="17"/>
          <w:szCs w:val="17"/>
          <w:lang w:val="en-US" w:eastAsia="ko-KR"/>
        </w:rPr>
        <w:t xml:space="preserve">주: 평균 폭은 80% 구간의 폭(로그수익률, %p). 오라클 모형의 폭 5.40%p가 이 데이터에서 "올바른 폭"이다.</w:t>
      </w:r>
    </w:p>
    <w:p>
      <w:pPr>
        <w:keepNext w:val="false"/>
        <w:widowControl/>
        <w:spacing w:after="120" w:before="0" w:line="384"/>
        <w:ind w:firstLine="220"/>
        <w:jc w:val="both"/>
      </w:pPr>
      <w:r>
        <w:rPr>
          <w:rFonts w:ascii="바탕" w:cs="바탕" w:eastAsia="바탕" w:hAnsi="바탕"/>
          <w:sz w:val="22"/>
          <w:szCs w:val="22"/>
          <w:lang w:val="en-US" w:eastAsia="ko-KR"/>
        </w:rPr>
        <w:t xml:space="preserve">표 4-1에서 확인되는 주요 특징은 다음과 같다.</w:t>
      </w:r>
    </w:p>
    <w:p>
      <w:pPr>
        <w:keepNext w:val="false"/>
        <w:widowControl/>
        <w:spacing w:after="120" w:before="0" w:line="384"/>
        <w:ind w:firstLine="220"/>
        <w:jc w:val="both"/>
      </w:pPr>
      <w:r>
        <w:rPr>
          <w:rFonts w:ascii="바탕" w:cs="바탕" w:eastAsia="바탕" w:hAnsi="바탕"/>
          <w:sz w:val="22"/>
          <w:szCs w:val="22"/>
          <w:lang w:val="en-US" w:eastAsia="ko-KR"/>
        </w:rPr>
        <w:t xml:space="preserve">① 모델마다 오차의 방향과 크기가 다르다. Chronos-T5는 네 조건 모두 75.3~78.6%로 구간이 좁고, 1년·수익률(78.6%)을 뺀 세 조건은 실질 기준 하한(78%)에 못 미친다. 반대로 Chronos-2는 네 조건이 모두 실질 기준 안에 있다(③).</w:t>
      </w:r>
    </w:p>
    <w:p>
      <w:pPr>
        <w:keepNext w:val="false"/>
        <w:widowControl/>
        <w:spacing w:after="120" w:before="0" w:line="384"/>
        <w:ind w:firstLine="220"/>
        <w:jc w:val="both"/>
      </w:pPr>
      <w:r>
        <w:rPr>
          <w:rFonts w:ascii="바탕" w:cs="바탕" w:eastAsia="바탕" w:hAnsi="바탕"/>
          <w:sz w:val="22"/>
          <w:szCs w:val="22"/>
          <w:lang w:val="en-US" w:eastAsia="ko-KR"/>
        </w:rPr>
        <w:t xml:space="preserve">② 같은 모델에서도 입력 형태와 과거 길이에 따라 달라진다. TimesFM-2.5는 1년·가격에서만 87.6%로 구간이 지나치게 넓고(폭 7.00%p, 필요 폭의 1.3배), 같은 1년 과거를 수익률로 넣으면 78.8%로 오히려 약간 좁다. 이 과대는 추세가 없는(평균 0) 합성 데이터에서도 17개 시나리오 모두 86.8~88.4%로 나타나고 실제 주가(87.7%, 5.1절)와 크기가 같으므로, 표본 기간의 상승 추세 때문으로 볼 수 없다. 입력 창을 정규화하는 다른 패치 방식 모델인 Moirai-2(L1 79.7%)에는 나타나지 않아 TimesFM 고유의 현상으로 보인다. 분위수 출력 방식(연속 분위수 헤드)을 끄면 합성 83.4%, 실제 84.3%로 과대가 일부 줄어 원인의 일부는 출력 방식에 있으나, 나머지는 분리하지 못하였다(부록 A.4). Moirai-2는 한 달 조건(77% 안팎)에서 좁고 1년 조건(80~81%)에서는 목표에 가깝다.</w:t>
      </w:r>
    </w:p>
    <w:p>
      <w:pPr>
        <w:keepNext w:val="false"/>
        <w:widowControl/>
        <w:spacing w:after="120" w:before="0" w:line="384"/>
        <w:ind w:firstLine="220"/>
        <w:jc w:val="both"/>
      </w:pPr>
      <w:r>
        <w:rPr>
          <w:rFonts w:ascii="바탕" w:cs="바탕" w:eastAsia="바탕" w:hAnsi="바탕"/>
          <w:sz w:val="22"/>
          <w:szCs w:val="22"/>
          <w:lang w:val="en-US" w:eastAsia="ko-KR"/>
        </w:rPr>
        <w:t xml:space="preserve">③ 목표에 가장 가까운 것은 Chronos-2이다. 네 조건이 모두 78.8~81.5%로, 실질 기준(±2%p) 안에 있다.</w:t>
      </w:r>
    </w:p>
    <w:p>
      <w:pPr>
        <w:keepNext w:val="false"/>
        <w:widowControl/>
        <w:spacing w:after="120" w:before="0" w:line="384"/>
        <w:ind w:firstLine="220"/>
        <w:jc w:val="both"/>
      </w:pPr>
      <w:r>
        <w:rPr>
          <w:rFonts w:ascii="바탕" w:cs="바탕" w:eastAsia="바탕" w:hAnsi="바탕"/>
          <w:sz w:val="22"/>
          <w:szCs w:val="22"/>
          <w:lang w:val="en-US" w:eastAsia="ko-KR"/>
        </w:rPr>
        <w:t xml:space="preserve">설정이 커버리지를 얼마나 크게 바꿀 수 있는지는 실험 과정에서 발견한 Chronos-T5의 샘플링 설정에서도 드러났다. 이 모델을 라이브러리 기본 설정 그대로 쓰면 수익률 입력의 커버리지가 14~15%로 무너졌다(3.4절, 부록 A.3). 같은 모델과 같은 데이터에서 설정 하나로 커버리지가 60%p 넘게 달라진 것이다.</w:t>
      </w:r>
    </w:p>
    <w:p>
      <w:pPr>
        <w:keepNext/>
        <w:widowControl/>
        <w:spacing w:after="120" w:before="0" w:line="384"/>
        <w:ind w:firstLine="220"/>
        <w:jc w:val="both"/>
      </w:pPr>
      <w:r>
        <w:rPr>
          <w:rFonts w:ascii="바탕" w:cs="바탕" w:eastAsia="바탕" w:hAnsi="바탕"/>
          <w:sz w:val="22"/>
          <w:szCs w:val="22"/>
          <w:lang w:val="en-US" w:eastAsia="ko-KR"/>
        </w:rPr>
        <w:t xml:space="preserve">정리하면, 16개 TSFM 조건 중 L1에서 커버리지가 실질 기준(80% ± 2%p) 안에 든 것은 8개뿐이다. 금융 특성이 들어가기 전에 이미 모델과 입력 설정이 오차의 크기와 방향을 정하고 있다. 이를 수치로 나누어 보면, TSFM 16개 조건 × 17개 시나리오 커버리지의 변동 가운데 90%가 모델·조건의 차이로, 7%가 시나리오(금융 특성)의 차이로 설명된다(이원 분산 분해의 주효과 비율). 가장 크게 벗어난 TimesFM 1년·가격을 빼도 76% 대 18%로 모델·조건의 몫이 훨씬 크다. 그림 4-1은 이 사실을 17개 시나리오 전체로 보여 준다. 그림에서 색상은 세로(열, 모델·조건) 방향으로 뚜렷하게 구분되는 반면 가로(행, 시나리오) 방향으로는 거의 변하지 않는다. 시나리오(금융 특성)에 따른 변화는 미미하고 모델과 입력 설정이 커버리지 수준을 결정한다. 표 4-1의 "17개 시나리오 범위" 열도 같은 결과를 보여 준다. Chronos-T5 가격 입력(74~78%)과 TimesFM 1년·가격(87~88%)은 어떤 시나리오에서도 그 범위를 벗어나지 않는다.</w:t>
      </w:r>
    </w:p>
    <w:p>
      <w:pPr>
        <w:keepNext/>
        <w:spacing w:after="60" w:before="120"/>
        <w:jc w:val="center"/>
      </w:pPr>
      <w:r>
        <w:drawing>
          <wp:inline distT="0" distB="0" distL="0" distR="0">
            <wp:extent cx="50387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38725" cy="2838450"/>
                    </a:xfrm>
                    <a:prstGeom prst="rect">
                      <a:avLst/>
                    </a:prstGeom>
                  </pic:spPr>
                </pic:pic>
              </a:graphicData>
            </a:graphic>
          </wp:inline>
        </w:drawing>
      </w:r>
    </w:p>
    <w:p>
      <w:pPr>
        <w:pStyle w:val="FigureCaption"/>
        <w:keepNext w:val="false"/>
        <w:spacing w:after="240" w:before="0" w:line="276"/>
        <w:jc w:val="center"/>
      </w:pPr>
      <w:r>
        <w:rPr>
          <w:rFonts w:ascii="바탕" w:cs="바탕" w:eastAsia="바탕" w:hAnsi="바탕"/>
          <w:sz w:val="19"/>
          <w:szCs w:val="19"/>
          <w:lang w:val="en-US" w:eastAsia="ko-KR"/>
        </w:rPr>
        <w:t xml:space="preserve">그림 4-1. 합성 데이터 시나리오별 보정 전 커버리지(%, 시나리오당 100계열 × 채점 60일)</w:t>
      </w:r>
    </w:p>
    <w:p>
      <w:pPr>
        <w:pStyle w:val="Heading2"/>
        <w:keepNext/>
      </w:pPr>
      <w:r>
        <w:rPr>
          <w:rFonts w:ascii="바탕" w:cs="바탕" w:eastAsia="바탕" w:hAnsi="바탕"/>
          <w:lang w:val="en-US" w:eastAsia="ko-KR"/>
        </w:rPr>
        <w:t xml:space="preserve">4.3 특성 강도에 따른 커버리지 변화 (H1~H3b)</w:t>
      </w:r>
    </w:p>
    <w:p>
      <w:pPr>
        <w:keepNext/>
        <w:widowControl/>
        <w:spacing w:after="120" w:before="0" w:line="384"/>
        <w:ind w:firstLine="220"/>
        <w:jc w:val="both"/>
      </w:pPr>
      <w:r>
        <w:rPr>
          <w:rFonts w:ascii="바탕" w:cs="바탕" w:eastAsia="바탕" w:hAnsi="바탕"/>
          <w:sz w:val="22"/>
          <w:szCs w:val="22"/>
          <w:lang w:val="en-US" w:eastAsia="ko-KR"/>
        </w:rPr>
        <w:t xml:space="preserve">이제 같은 계열 번호(같은 난수)에서 특성 하나만 L1에서 L5로 강하게 설정했을 때 커버리지가 얼마나 변하는지 본다. 가설은 네 특성 모두 "강해질수록 커버리지가 떨어진다(구간이 상대적으로 좁아진다)"였다. 표 4-2는 L5−L1의 변화량, 그림 4-2는 L1부터 L5까지의 변화 경로이다.</w:t>
      </w:r>
    </w:p>
    <w:p>
      <w:pPr>
        <w:pStyle w:val="TableCaption"/>
        <w:keepNext/>
        <w:spacing w:after="80" w:before="200" w:line="276"/>
        <w:jc w:val="center"/>
      </w:pPr>
      <w:r>
        <w:rPr>
          <w:rFonts w:ascii="바탕" w:cs="바탕" w:eastAsia="바탕" w:hAnsi="바탕"/>
          <w:sz w:val="19"/>
          <w:szCs w:val="19"/>
          <w:lang w:val="en-US" w:eastAsia="ko-KR"/>
        </w:rPr>
        <w:t xml:space="preserve">표 4-2. 특성을 가장 강하게 설정했을 때(L5)의 커버리지 변화 (L5 − L1, %p)</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0"/>
        <w:gridCol w:w="1403"/>
        <w:gridCol w:w="1023"/>
        <w:gridCol w:w="1023"/>
        <w:gridCol w:w="1504"/>
        <w:gridCol w:w="1503"/>
      </w:tblGrid>
      <w:tr>
        <w:trPr>
          <w:cantSplit/>
          <w:tblHeader/>
        </w:trPr>
        <w:tc>
          <w:tcPr>
            <w:tcW w:type="dxa" w:w="148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모델</w:t>
            </w:r>
          </w:p>
        </w:tc>
        <w:tc>
          <w:tcPr>
            <w:tcW w:type="dxa" w:w="140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조건</w:t>
            </w:r>
          </w:p>
        </w:tc>
        <w:tc>
          <w:tcPr>
            <w:tcW w:type="dxa" w:w="102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H1 군집</w:t>
            </w:r>
          </w:p>
        </w:tc>
        <w:tc>
          <w:tcPr>
            <w:tcW w:type="dxa" w:w="102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H2 꼬리</w:t>
            </w:r>
          </w:p>
        </w:tc>
        <w:tc>
          <w:tcPr>
            <w:tcW w:type="dxa" w:w="150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H3a 전환빈도</w:t>
            </w:r>
          </w:p>
        </w:tc>
        <w:tc>
          <w:tcPr>
            <w:tcW w:type="dxa" w:w="150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H3b 전환크기</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+2.6▲</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+1.9△</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+1.0</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-0.7</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+2.8▲</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+2.2▲</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+1.8△</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+1.8△</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+1.7△</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+0.6</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-1.0</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+0.4</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+1.0</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+2.0△</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-2.5▼</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+3.2▲</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+1.3</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+1.9△</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+1.9△</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-0.6</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0.0</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+0.8</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0.0</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-0.8</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-0.6</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+2.2▲</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-2.0▼</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+2.9▲</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+1.8△</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0.0</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-0.4</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-1.8▽</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-0.4</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-1.7</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+4.5</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+3.2</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+2.3</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+6.8</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+5.5</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+7.0</w:t>
            </w:r>
          </w:p>
        </w:tc>
      </w:tr>
      <w:tr>
        <w:trPr>
          <w:cantSplit/>
          <w:trHeight w:val="284" w:hRule="atLeast"/>
        </w:trPr>
        <w:tc>
          <w:tcPr>
            <w:tcW w:type="dxa" w:w="148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7"/>
                <w:szCs w:val="17"/>
                <w:lang w:val="en-US" w:eastAsia="ko-KR"/>
              </w:rPr>
              <w:t xml:space="preserve">GARCH-t</w:t>
            </w:r>
          </w:p>
        </w:tc>
        <w:tc>
          <w:tcPr>
            <w:tcW w:type="dxa" w:w="140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-0.2</w:t>
            </w:r>
          </w:p>
        </w:tc>
        <w:tc>
          <w:tcPr>
            <w:tcW w:type="dxa" w:w="102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+1.0</w:t>
            </w:r>
          </w:p>
        </w:tc>
        <w:tc>
          <w:tcPr>
            <w:tcW w:type="dxa" w:w="150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+0.9</w:t>
            </w:r>
          </w:p>
        </w:tc>
        <w:tc>
          <w:tcPr>
            <w:tcW w:type="dxa" w:w="150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+1.3</w:t>
            </w:r>
          </w:p>
        </w:tc>
      </w:tr>
    </w:tbl>
    <w:p>
      <w:pPr>
        <w:spacing w:after="60"/>
      </w:pPr>
    </w:p>
    <w:p>
      <w:pPr>
        <w:keepNext/>
        <w:widowControl/>
        <w:spacing w:after="120" w:before="0" w:line="384"/>
        <w:ind w:firstLine="220"/>
        <w:jc w:val="both"/>
      </w:pPr>
      <w:r>
        <w:rPr>
          <w:rFonts w:ascii="바탕" w:cs="바탕" w:eastAsia="바탕" w:hAnsi="바탕"/>
          <w:sz w:val="22"/>
          <w:szCs w:val="22"/>
          <w:lang w:val="en-US" w:eastAsia="ko-KR"/>
        </w:rPr>
        <w:t xml:space="preserve">표시: ▼ 가설 방향(하락)으로 유의하고 실질 기준(2%p) 이상, ▽ 가설 방향으로 유의하나 작음, ▲ 반대 방향(상승)으로 유의하고 2%p 이상, △ 반대 방향으로 유의하나 작음, 표시 없음 = 유의하지 않음. 유의성은 Wilcoxon 부호순위 검정, Holm 보정(16개 묶음) 후 p &lt; 0.05. 기준 모형(RW, GARCH-t)은 서술용으로 검정하지 않았다. 비교 L5 − L3의 결과는 부록 B에 싣는다(16개 조건 모두 가설 방향으로 실질 유의한 것 없음).</w:t>
      </w:r>
    </w:p>
    <w:p>
      <w:pPr>
        <w:keepNext/>
        <w:spacing w:after="60" w:before="120"/>
        <w:jc w:val="center"/>
      </w:pPr>
      <w:r>
        <w:drawing>
          <wp:inline distT="0" distB="0" distL="0" distR="0">
            <wp:extent cx="50387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38725" cy="1600200"/>
                    </a:xfrm>
                    <a:prstGeom prst="rect">
                      <a:avLst/>
                    </a:prstGeom>
                  </pic:spPr>
                </pic:pic>
              </a:graphicData>
            </a:graphic>
          </wp:inline>
        </w:drawing>
      </w:r>
    </w:p>
    <w:p>
      <w:pPr>
        <w:pStyle w:val="FigureCaption"/>
        <w:keepNext/>
        <w:spacing w:after="40" w:before="0" w:line="276"/>
        <w:jc w:val="center"/>
      </w:pPr>
      <w:r>
        <w:rPr>
          <w:rFonts w:ascii="바탕" w:cs="바탕" w:eastAsia="바탕" w:hAnsi="바탕"/>
          <w:sz w:val="19"/>
          <w:szCs w:val="19"/>
          <w:lang w:val="en-US" w:eastAsia="ko-KR"/>
        </w:rPr>
        <w:t xml:space="preserve">그림 4-2. 특성 강도에 따른 커버리지 변화(L1 대비, %p)</w:t>
      </w:r>
    </w:p>
    <w:p>
      <w:pPr>
        <w:keepNext w:val="false"/>
        <w:spacing w:after="240" w:line="276"/>
        <w:jc w:val="center"/>
      </w:pPr>
      <w:r>
        <w:rPr>
          <w:rFonts w:ascii="바탕" w:cs="바탕" w:eastAsia="바탕" w:hAnsi="바탕"/>
          <w:sz w:val="17"/>
          <w:szCs w:val="17"/>
          <w:lang w:val="en-US" w:eastAsia="ko-KR"/>
        </w:rPr>
        <w:t xml:space="preserve">회색 띠는 실질 기준 ±2%p</w:t>
      </w:r>
    </w:p>
    <w:p>
      <w:pPr>
        <w:pStyle w:val="Heading3"/>
        <w:keepNext/>
      </w:pPr>
      <w:r>
        <w:rPr>
          <w:rFonts w:ascii="바탕" w:cs="바탕" w:eastAsia="바탕" w:hAnsi="바탕"/>
          <w:lang w:val="en-US" w:eastAsia="ko-KR"/>
        </w:rPr>
        <w:t xml:space="preserve">4.3.1 변동성 군집(H1)의 영향</w:t>
      </w:r>
    </w:p>
    <w:p>
      <w:pPr>
        <w:keepNext w:val="false"/>
        <w:widowControl/>
        <w:spacing w:after="120" w:before="0" w:line="384"/>
        <w:ind w:firstLine="220"/>
        <w:jc w:val="both"/>
      </w:pPr>
      <w:r>
        <w:rPr>
          <w:rFonts w:ascii="바탕" w:cs="바탕" w:eastAsia="바탕" w:hAnsi="바탕"/>
          <w:sz w:val="22"/>
          <w:szCs w:val="22"/>
          <w:lang w:val="en-US" w:eastAsia="ko-KR"/>
        </w:rPr>
        <w:t xml:space="preserve">변동성 군집을 가장 강하게 설정하면(α+β = 0.996, GOOG 수준) 대부분의 TSFM에서 커버리지가 조금 떨어졌다(그림 4-2 왼쪽, 선 대부분이 0 아래). 그러나 하락 폭이 실질 기준 2%p를 넘으면서 유의한 것은 Chronos-2 1년·가격(−2.5%p)과 Moirai-2 한 달·가격(−2.0%p) 두 조건뿐이다. 세 조건(Chronos-2 1년·수익률, TimesFM 한 달·가격, Moirai-2 1년·가격)은 유의하지만 2%p보다 작다. 나머지 11개 조건은 유의하지 않다. 사전에 정한 판정 규칙에 따라 H1은 Chronos-2와 Moirai-2에서 "조건에 따라 다름", Chronos-T5와 TimesFM에서 "미지지"이다.</w:t>
      </w:r>
    </w:p>
    <w:p>
      <w:pPr>
        <w:keepNext w:val="false"/>
        <w:widowControl/>
        <w:spacing w:after="120" w:before="0" w:line="384"/>
        <w:ind w:firstLine="220"/>
        <w:jc w:val="both"/>
      </w:pPr>
      <w:r>
        <w:rPr>
          <w:rFonts w:ascii="바탕" w:cs="바탕" w:eastAsia="바탕" w:hAnsi="바탕"/>
          <w:sz w:val="22"/>
          <w:szCs w:val="22"/>
          <w:lang w:val="en-US" w:eastAsia="ko-KR"/>
        </w:rPr>
        <w:t xml:space="preserve">변동성 군집이 강하게 나타나면 최근 변동을 빨리 따라가지 못하는 모델은 격변기에 구간이 좁아진다. 결과는 TSFM이 이 추종에 약간 늦다는 것을 보여 주지만, 그 손실은 대부분 1~2%p 수준으로 L1에서 이미 있던 오차(표 4-1)보다 훨씬 작다.</w:t>
      </w:r>
    </w:p>
    <w:p>
      <w:pPr>
        <w:pStyle w:val="Heading3"/>
        <w:keepNext/>
      </w:pPr>
      <w:r>
        <w:rPr>
          <w:rFonts w:ascii="바탕" w:cs="바탕" w:eastAsia="바탕" w:hAnsi="바탕"/>
          <w:lang w:val="en-US" w:eastAsia="ko-KR"/>
        </w:rPr>
        <w:t xml:space="preserve">4.3.2 두꺼운 꼬리(H2)의 영향</w:t>
      </w:r>
    </w:p>
    <w:p>
      <w:pPr>
        <w:keepNext w:val="false"/>
        <w:widowControl/>
        <w:spacing w:after="120" w:before="0" w:line="384"/>
        <w:ind w:firstLine="220"/>
        <w:jc w:val="both"/>
      </w:pPr>
      <w:r>
        <w:rPr>
          <w:rFonts w:ascii="바탕" w:cs="바탕" w:eastAsia="바탕" w:hAnsi="바탕"/>
          <w:sz w:val="22"/>
          <w:szCs w:val="22"/>
          <w:lang w:val="en-US" w:eastAsia="ko-KR"/>
        </w:rPr>
        <w:t xml:space="preserve">두꺼운 꼬리 특성을 강하게 설정하면(자유도 ν를 낮추면) 커버리지가 오히려 상승하였다. 16개 조건 중 11개에서 상승이 유의하였고(6개는 2%p 이상), 하락이 유의한 조건은 하나도 없다. 가설(H2)과 반대 방향이다.</w:t>
      </w:r>
    </w:p>
    <w:p>
      <w:pPr>
        <w:keepNext/>
        <w:widowControl/>
        <w:spacing w:after="120" w:before="0" w:line="384"/>
        <w:ind w:firstLine="220"/>
        <w:jc w:val="both"/>
      </w:pPr>
      <w:r>
        <w:rPr>
          <w:rFonts w:ascii="바탕" w:cs="바탕" w:eastAsia="바탕" w:hAnsi="바탕"/>
          <w:sz w:val="22"/>
          <w:szCs w:val="22"/>
          <w:lang w:val="en-US" w:eastAsia="ko-KR"/>
        </w:rPr>
        <w:t xml:space="preserve">이 결과는 80% 구간이 갖는 수학적 성질로 설명되며, 모델이 꼬리를 잘 다룬다는 뜻은 아니다. 분산을 동일하게 맞춘 정규분포와 두꺼운 꼬리를 갖는 t분포를 비교하면, t분포는 극단적인 관측치가 간헐적으로 발생하는 대신 중심부 밀도가 정규분포보다 높다. 따라서 분산이 동일한 정규분포 기반 80% 구간을 t분포 데이터에 적용하면 구간 내에 포함되는 비율이 80%를 상회하게 되며, 이론적 커버리지는 표 4-3과 같다.</w:t>
      </w:r>
    </w:p>
    <w:p>
      <w:pPr>
        <w:pStyle w:val="TableCaption"/>
        <w:keepNext/>
        <w:spacing w:after="80" w:before="200" w:line="276"/>
        <w:jc w:val="center"/>
      </w:pPr>
      <w:r>
        <w:rPr>
          <w:rFonts w:ascii="바탕" w:cs="바탕" w:eastAsia="바탕" w:hAnsi="바탕"/>
          <w:sz w:val="19"/>
          <w:szCs w:val="19"/>
          <w:lang w:val="en-US" w:eastAsia="ko-KR"/>
        </w:rPr>
        <w:t xml:space="preserve">표 4-3. 분산이 같은 정규분포 기반 구간을 t분포 데이터에 적용했을 때의 이론 커버리지 (%)</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6"/>
        <w:gridCol w:w="911"/>
        <w:gridCol w:w="1215"/>
        <w:gridCol w:w="1215"/>
        <w:gridCol w:w="1215"/>
        <w:gridCol w:w="2074"/>
      </w:tblGrid>
      <w:tr>
        <w:trPr>
          <w:cantSplit/>
          <w:tblHeader/>
        </w:trPr>
        <w:tc>
          <w:tcPr>
            <w:tcW w:type="dxa" w:w="1306"/>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꼬리 단계</w:t>
            </w:r>
          </w:p>
        </w:tc>
        <w:tc>
          <w:tcPr>
            <w:tcW w:type="dxa" w:w="911"/>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ν</w:t>
            </w:r>
          </w:p>
        </w:tc>
        <w:tc>
          <w:tcPr>
            <w:tcW w:type="dxa" w:w="121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80% 구간</w:t>
            </w:r>
          </w:p>
        </w:tc>
        <w:tc>
          <w:tcPr>
            <w:tcW w:type="dxa" w:w="121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95% 구간</w:t>
            </w:r>
          </w:p>
        </w:tc>
        <w:tc>
          <w:tcPr>
            <w:tcW w:type="dxa" w:w="121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99% 구간</w:t>
            </w:r>
          </w:p>
        </w:tc>
        <w:tc>
          <w:tcPr>
            <w:tcW w:type="dxa" w:w="207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99% 구간의 위반율</w:t>
            </w:r>
          </w:p>
        </w:tc>
      </w:tr>
      <w:tr>
        <w:trPr>
          <w:cantSplit/>
          <w:trHeight w:val="284" w:hRule="atLeast"/>
        </w:trPr>
        <w:tc>
          <w:tcPr>
            <w:tcW w:type="dxa" w:w="13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L1 (정규)</w:t>
            </w:r>
          </w:p>
        </w:tc>
        <w:tc>
          <w:tcPr>
            <w:tcW w:type="dxa" w:w="9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80.0</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95.0</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99.0</w:t>
            </w:r>
          </w:p>
        </w:tc>
        <w:tc>
          <w:tcPr>
            <w:tcW w:type="dxa" w:w="2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1.0</w:t>
            </w:r>
          </w:p>
        </w:tc>
      </w:tr>
      <w:tr>
        <w:trPr>
          <w:cantSplit/>
          <w:trHeight w:val="284" w:hRule="atLeast"/>
        </w:trPr>
        <w:tc>
          <w:tcPr>
            <w:tcW w:type="dxa" w:w="13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L2</w:t>
            </w:r>
          </w:p>
        </w:tc>
        <w:tc>
          <w:tcPr>
            <w:tcW w:type="dxa" w:w="9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11.28</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81.5</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94.7</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98.4</w:t>
            </w:r>
          </w:p>
        </w:tc>
        <w:tc>
          <w:tcPr>
            <w:tcW w:type="dxa" w:w="2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1.6</w:t>
            </w:r>
          </w:p>
        </w:tc>
      </w:tr>
      <w:tr>
        <w:trPr>
          <w:cantSplit/>
          <w:trHeight w:val="284" w:hRule="atLeast"/>
        </w:trPr>
        <w:tc>
          <w:tcPr>
            <w:tcW w:type="dxa" w:w="13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L3</w:t>
            </w:r>
          </w:p>
        </w:tc>
        <w:tc>
          <w:tcPr>
            <w:tcW w:type="dxa" w:w="9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7.64</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82.4</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94.7</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98.2</w:t>
            </w:r>
          </w:p>
        </w:tc>
        <w:tc>
          <w:tcPr>
            <w:tcW w:type="dxa" w:w="2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1.8</w:t>
            </w:r>
          </w:p>
        </w:tc>
      </w:tr>
      <w:tr>
        <w:trPr>
          <w:cantSplit/>
          <w:trHeight w:val="284" w:hRule="atLeast"/>
        </w:trPr>
        <w:tc>
          <w:tcPr>
            <w:tcW w:type="dxa" w:w="13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L4</w:t>
            </w:r>
          </w:p>
        </w:tc>
        <w:tc>
          <w:tcPr>
            <w:tcW w:type="dxa" w:w="9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4.39</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84.9</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94.9</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97.8</w:t>
            </w:r>
          </w:p>
        </w:tc>
        <w:tc>
          <w:tcPr>
            <w:tcW w:type="dxa" w:w="2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2.2</w:t>
            </w:r>
          </w:p>
        </w:tc>
      </w:tr>
      <w:tr>
        <w:trPr>
          <w:cantSplit/>
          <w:trHeight w:val="284" w:hRule="atLeast"/>
        </w:trPr>
        <w:tc>
          <w:tcPr>
            <w:tcW w:type="dxa" w:w="1306"/>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L5</w:t>
            </w:r>
          </w:p>
        </w:tc>
        <w:tc>
          <w:tcPr>
            <w:tcW w:type="dxa" w:w="911"/>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3.56</w:t>
            </w:r>
          </w:p>
        </w:tc>
        <w:tc>
          <w:tcPr>
            <w:tcW w:type="dxa" w:w="121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86.6</w:t>
            </w:r>
          </w:p>
        </w:tc>
        <w:tc>
          <w:tcPr>
            <w:tcW w:type="dxa" w:w="121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95.2</w:t>
            </w:r>
          </w:p>
        </w:tc>
        <w:tc>
          <w:tcPr>
            <w:tcW w:type="dxa" w:w="121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97.8</w:t>
            </w:r>
          </w:p>
        </w:tc>
        <w:tc>
          <w:tcPr>
            <w:tcW w:type="dxa" w:w="207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2.2</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과거 변동성 기반 정규분포를 사용하는 RW 1년이 정확히 이 경로를 따른다(그림 4-2 두 번째 칸, 검은 실선과 주황 점선이 거의 겹침. RW 1년 L5 86.3%, 이론 86.6%). TSFM의 상승 폭(0~3%p)은 RW보다 훨씬 작다. TSFM은 표본분산 기반 정규분포를 가정하는 방식보다는 꼬리 모양을 어느 정도 반영하지만, 완전히 반영하지는 못해 80% 구간이 약간 넓어진 것이다.</w:t>
      </w:r>
    </w:p>
    <w:p>
      <w:pPr>
        <w:keepNext/>
        <w:widowControl/>
        <w:spacing w:after="120" w:before="0" w:line="384"/>
        <w:ind w:firstLine="220"/>
        <w:jc w:val="both"/>
      </w:pPr>
      <w:r>
        <w:rPr>
          <w:rFonts w:ascii="바탕" w:cs="바탕" w:eastAsia="바탕" w:hAnsi="바탕"/>
          <w:sz w:val="22"/>
          <w:szCs w:val="22"/>
          <w:lang w:val="en-US" w:eastAsia="ko-KR"/>
        </w:rPr>
        <w:t xml:space="preserve">다만 이 결과는 80% 구간에 한정하여 해석해야 한다. 표 4-3에서 보듯 꼬리가 두꺼울 때의 효과는 구간 수준에 따라 방향이 바뀐다. 80% 구간에서는 커버리지가 올라가지만, 95% 근처에서 거의 변화가 없어지고, 99% 구간에서는 반대로 낮아진다. 99% 구간의 커버리지 하락은 1.2%p로 작아 보이지만, 위험 한도로 보면 한도를 넘는 날의 비율이 1%에서 2.2%로 두 배 넘게 늘어난다는 뜻이다. 따라서 "80% 구간에서 꼬리는 불리하지 않다"는 본 연구의 결과를 극단 위험(99% VaR 등)에 그대로 적용해서는 안 된다. 네 모델이 공통으로 내는 분위수는 0.1~0.9이지만, Chronos-2(Ansari 외, 2025)는 0.01~0.99 분위수도 직접 낸다. 이를 이용해 같은 과제를 분위수 21개로 다시 예측하여 90%·98% 구간에서 이 방향 전환이 실제로 나타나는지 확인하였다(표 4-4). 새 예측의 0.1·0.9 분위수는 본 실행과 같았다(부록 A.4).</w:t>
      </w:r>
    </w:p>
    <w:p>
      <w:pPr>
        <w:pStyle w:val="TableCaption"/>
        <w:keepNext/>
        <w:spacing w:after="80" w:before="200" w:line="276"/>
        <w:jc w:val="center"/>
      </w:pPr>
      <w:r>
        <w:rPr>
          <w:rFonts w:ascii="바탕" w:cs="바탕" w:eastAsia="바탕" w:hAnsi="바탕"/>
          <w:sz w:val="19"/>
          <w:szCs w:val="19"/>
          <w:lang w:val="en-US" w:eastAsia="ko-KR"/>
        </w:rPr>
        <w:t xml:space="preserve">표 4-4. Chronos-2의 구간 수준별 커버리지와 특성 강화의 효과 (합성 데이터, %)</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5"/>
        <w:gridCol w:w="2024"/>
        <w:gridCol w:w="1977"/>
        <w:gridCol w:w="930"/>
        <w:gridCol w:w="930"/>
      </w:tblGrid>
      <w:tr>
        <w:trPr>
          <w:cantSplit/>
          <w:tblHeader/>
        </w:trPr>
        <w:tc>
          <w:tcPr>
            <w:tcW w:type="dxa" w:w="207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조건</w:t>
            </w:r>
          </w:p>
        </w:tc>
        <w:tc>
          <w:tcPr>
            <w:tcW w:type="dxa" w:w="202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L1 커버리지</w:t>
            </w:r>
          </w:p>
          <w:p>
            <w:pPr>
              <w:keepNext/>
              <w:keepLines/>
              <w:wordWrap w:val="1"/>
              <w:spacing w:after="0" w:before="0" w:line="240"/>
              <w:jc w:val="center"/>
            </w:pPr>
            <w:r>
              <w:rPr>
                <w:rFonts w:ascii="굴림" w:cs="굴림" w:eastAsia="굴림" w:hAnsi="굴림"/>
                <w:b/>
                <w:bCs/>
                <w:sz w:val="18"/>
                <w:szCs w:val="18"/>
                <w:lang w:val="en-US" w:eastAsia="ko-KR"/>
              </w:rPr>
              <w:t xml:space="preserve">80 / 90 / 98% 구간</w:t>
            </w:r>
          </w:p>
        </w:tc>
        <w:tc>
          <w:tcPr>
            <w:tcW w:type="dxa" w:w="197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꼬리 L5 − L1(%p)</w:t>
            </w:r>
          </w:p>
          <w:p>
            <w:pPr>
              <w:keepNext/>
              <w:keepLines/>
              <w:wordWrap w:val="1"/>
              <w:spacing w:after="0" w:before="0" w:line="240"/>
              <w:jc w:val="center"/>
            </w:pPr>
            <w:r>
              <w:rPr>
                <w:rFonts w:ascii="굴림" w:cs="굴림" w:eastAsia="굴림" w:hAnsi="굴림"/>
                <w:b/>
                <w:bCs/>
                <w:sz w:val="18"/>
                <w:szCs w:val="18"/>
                <w:lang w:val="en-US" w:eastAsia="ko-KR"/>
              </w:rPr>
              <w:t xml:space="preserve">80 / 90 / 98% 구간</w:t>
            </w:r>
          </w:p>
        </w:tc>
        <w:tc>
          <w:tcPr>
            <w:tcW w:type="dxa" w:w="93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전환 빈도 L5 − L1(%p)</w:t>
            </w:r>
          </w:p>
          <w:p>
            <w:pPr>
              <w:keepNext/>
              <w:keepLines/>
              <w:wordWrap w:val="1"/>
              <w:spacing w:after="0" w:before="0" w:line="240"/>
              <w:jc w:val="center"/>
            </w:pPr>
            <w:r>
              <w:rPr>
                <w:rFonts w:ascii="굴림" w:cs="굴림" w:eastAsia="굴림" w:hAnsi="굴림"/>
                <w:b/>
                <w:bCs/>
                <w:sz w:val="18"/>
                <w:szCs w:val="18"/>
                <w:lang w:val="en-US" w:eastAsia="ko-KR"/>
              </w:rPr>
              <w:t xml:space="preserve">98% 구간</w:t>
            </w:r>
          </w:p>
        </w:tc>
        <w:tc>
          <w:tcPr>
            <w:tcW w:type="dxa" w:w="93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전환 크기 L5 − L1(%p)</w:t>
            </w:r>
          </w:p>
          <w:p>
            <w:pPr>
              <w:keepNext/>
              <w:keepLines/>
              <w:wordWrap w:val="1"/>
              <w:spacing w:after="0" w:before="0" w:line="240"/>
              <w:jc w:val="center"/>
            </w:pPr>
            <w:r>
              <w:rPr>
                <w:rFonts w:ascii="굴림" w:cs="굴림" w:eastAsia="굴림" w:hAnsi="굴림"/>
                <w:b/>
                <w:bCs/>
                <w:sz w:val="18"/>
                <w:szCs w:val="18"/>
                <w:lang w:val="en-US" w:eastAsia="ko-KR"/>
              </w:rPr>
              <w:t xml:space="preserve">98% 구간</w:t>
            </w:r>
          </w:p>
        </w:tc>
      </w:tr>
      <w:tr>
        <w:trPr>
          <w:cantSplit/>
          <w:trHeight w:val="512" w:hRule="atLeast"/>
        </w:trPr>
        <w:tc>
          <w:tcPr>
            <w:tcW w:type="dxa" w:w="2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20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81.5 / 92.1 / 99.6</w:t>
            </w:r>
          </w:p>
        </w:tc>
        <w:tc>
          <w:tcPr>
            <w:tcW w:type="dxa" w:w="197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+0.4 / −1.0* / −1.0*</w:t>
            </w:r>
          </w:p>
        </w:tc>
        <w:tc>
          <w:tcPr>
            <w:tcW w:type="dxa" w:w="9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w:t>
            </w:r>
          </w:p>
        </w:tc>
        <w:tc>
          <w:tcPr>
            <w:tcW w:type="dxa" w:w="9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−0.8*</w:t>
            </w:r>
          </w:p>
        </w:tc>
      </w:tr>
      <w:tr>
        <w:trPr>
          <w:cantSplit/>
          <w:trHeight w:val="512" w:hRule="atLeast"/>
        </w:trPr>
        <w:tc>
          <w:tcPr>
            <w:tcW w:type="dxa" w:w="2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20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79.9 / 92.1 / 99.6</w:t>
            </w:r>
          </w:p>
        </w:tc>
        <w:tc>
          <w:tcPr>
            <w:tcW w:type="dxa" w:w="197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+1.4* / −0.7* / −0.8*</w:t>
            </w:r>
          </w:p>
        </w:tc>
        <w:tc>
          <w:tcPr>
            <w:tcW w:type="dxa" w:w="9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−0.7*</w:t>
            </w:r>
          </w:p>
        </w:tc>
        <w:tc>
          <w:tcPr>
            <w:tcW w:type="dxa" w:w="9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−0.6*</w:t>
            </w:r>
          </w:p>
        </w:tc>
      </w:tr>
      <w:tr>
        <w:trPr>
          <w:cantSplit/>
          <w:trHeight w:val="512" w:hRule="atLeast"/>
        </w:trPr>
        <w:tc>
          <w:tcPr>
            <w:tcW w:type="dxa" w:w="2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20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78.8 / 88.8 / 97.9</w:t>
            </w:r>
          </w:p>
        </w:tc>
        <w:tc>
          <w:tcPr>
            <w:tcW w:type="dxa" w:w="197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+2.0* / +2.1* / 0.0</w:t>
            </w:r>
          </w:p>
        </w:tc>
        <w:tc>
          <w:tcPr>
            <w:tcW w:type="dxa" w:w="9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−0.6*</w:t>
            </w:r>
          </w:p>
        </w:tc>
        <w:tc>
          <w:tcPr>
            <w:tcW w:type="dxa" w:w="9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−0.7*</w:t>
            </w:r>
          </w:p>
        </w:tc>
      </w:tr>
      <w:tr>
        <w:trPr>
          <w:cantSplit/>
          <w:trHeight w:val="512" w:hRule="atLeast"/>
        </w:trPr>
        <w:tc>
          <w:tcPr>
            <w:tcW w:type="dxa" w:w="2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20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79.9 / 90.8 / 99.5</w:t>
            </w:r>
          </w:p>
        </w:tc>
        <w:tc>
          <w:tcPr>
            <w:tcW w:type="dxa" w:w="197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+3.2* / +0.6 / −0.9*</w:t>
            </w:r>
          </w:p>
        </w:tc>
        <w:tc>
          <w:tcPr>
            <w:tcW w:type="dxa" w:w="9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w:t>
            </w:r>
          </w:p>
        </w:tc>
        <w:tc>
          <w:tcPr>
            <w:tcW w:type="dxa" w:w="9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−0.9*</w:t>
            </w:r>
          </w:p>
        </w:tc>
      </w:tr>
      <w:tr>
        <w:trPr>
          <w:cantSplit/>
          <w:trHeight w:val="512" w:hRule="atLeast"/>
        </w:trPr>
        <w:tc>
          <w:tcPr>
            <w:tcW w:type="dxa" w:w="207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이론(정규 기준 구간)</w:t>
            </w:r>
          </w:p>
        </w:tc>
        <w:tc>
          <w:tcPr>
            <w:tcW w:type="dxa" w:w="202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80.0 / 90.0 / 98.0</w:t>
            </w:r>
          </w:p>
        </w:tc>
        <w:tc>
          <w:tcPr>
            <w:tcW w:type="dxa" w:w="197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+6.6 / +2.4 / −1.0</w:t>
            </w:r>
          </w:p>
        </w:tc>
        <w:tc>
          <w:tcPr>
            <w:tcW w:type="dxa" w:w="93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w:t>
            </w:r>
          </w:p>
        </w:tc>
        <w:tc>
          <w:tcPr>
            <w:tcW w:type="dxa" w:w="93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w:t>
            </w:r>
          </w:p>
        </w:tc>
      </w:tr>
    </w:tbl>
    <w:p>
      <w:pPr>
        <w:spacing w:after="60"/>
      </w:pPr>
    </w:p>
    <w:p>
      <w:pPr>
        <w:spacing w:after="200" w:line="276"/>
        <w:jc w:val="both"/>
      </w:pPr>
      <w:r>
        <w:rPr>
          <w:rFonts w:ascii="바탕" w:cs="바탕" w:eastAsia="바탕" w:hAnsi="바탕"/>
          <w:sz w:val="17"/>
          <w:szCs w:val="17"/>
          <w:lang w:val="en-US" w:eastAsia="ko-KR"/>
        </w:rPr>
        <w:t xml:space="preserve">주: * Wilcoxon 부호순위 검정(계열 100개 대응), 같은 구간 수준·축의 4개 조건 Holm 보정 후 p &lt; 0.05. 이론은 분산이 같은 정규분포 기반 구간을 꼬리 L5(ν = 3.56) 자료에 적용했을 때의 값(표 4-3과 같은 계산).</w:t>
      </w:r>
    </w:p>
    <w:p>
      <w:pPr>
        <w:keepNext w:val="false"/>
        <w:widowControl/>
        <w:spacing w:after="120" w:before="0" w:line="384"/>
        <w:ind w:firstLine="220"/>
        <w:jc w:val="both"/>
      </w:pPr>
      <w:r>
        <w:rPr>
          <w:rFonts w:ascii="바탕" w:cs="바탕" w:eastAsia="바탕" w:hAnsi="바탕"/>
          <w:sz w:val="22"/>
          <w:szCs w:val="22"/>
          <w:lang w:val="en-US" w:eastAsia="ko-KR"/>
        </w:rPr>
        <w:t xml:space="preserve">꼬리를 가장 강하게 설정하면 80% 구간 커버리지는 네 조건 중 세 조건에서 유의하게 올랐고(+1.4~+3.2%p), 98% 구간에서는 세 조건에서 유의하게 내려갔다(−0.8~−1.0%p). 국면 전환의 빈도와 크기도 98% 구간에서는 여덟 조건 모두 커버리지를 유의하게 낮추었다(−0.6~−1.0%p). 이론 계산이 예상한 대로 구간 수준이 높아질수록 꼬리와 국면 전환의 효과가 상승에서 하락으로 바뀌며, 98% 구간의 하락 폭(약 1%p)도 이론값과 비슷하다. 다만 Chronos-2의 98% 구간은 특성이 없는 L1에서 이미 97.9~99.6%로 넓은 편이어서, 하락한 뒤에도 98% 근처에 머문다. 실제 10종목에서 Chronos-2의 98% 구간 커버리지는 97.6~99.2%였다. 이 확인은 극단 분위수를 내는 Chronos-2 한 모델에 한정된다.</w:t>
      </w:r>
    </w:p>
    <w:p>
      <w:pPr>
        <w:pStyle w:val="Heading3"/>
        <w:keepNext/>
      </w:pPr>
      <w:r>
        <w:rPr>
          <w:rFonts w:ascii="바탕" w:cs="바탕" w:eastAsia="바탕" w:hAnsi="바탕"/>
          <w:lang w:val="en-US" w:eastAsia="ko-KR"/>
        </w:rPr>
        <w:t xml:space="preserve">4.3.3 국면 전환 빈도(H3a)와 크기(H3b)의 영향</w:t>
      </w:r>
    </w:p>
    <w:p>
      <w:pPr>
        <w:keepNext w:val="false"/>
        <w:widowControl/>
        <w:spacing w:after="120" w:before="0" w:line="384"/>
        <w:ind w:firstLine="220"/>
        <w:jc w:val="both"/>
      </w:pPr>
      <w:r>
        <w:rPr>
          <w:rFonts w:ascii="바탕" w:cs="바탕" w:eastAsia="바탕" w:hAnsi="바탕"/>
          <w:sz w:val="22"/>
          <w:szCs w:val="22"/>
          <w:lang w:val="en-US" w:eastAsia="ko-KR"/>
        </w:rPr>
        <w:t xml:space="preserve">전환 빈도를 높이면 7개 조건에서 커버리지가 유의하게 올라갔고(모두 2%p 미만), 내려간 조건은 없다. 전환 크기는 어느 조건에서도 유의한 변화가 없었다. 두 가설 모두 모든 모델에서 "미지지"이다. 같은 데이터에서 과거변동(RW) 1년의 커버리지가 5.5~7.0%p 움직인 것과 비교하면, TSFM은 국면 전환의 영향을 2%p 안으로 줄였다.</w:t>
      </w:r>
    </w:p>
    <w:p>
      <w:pPr>
        <w:keepNext w:val="false"/>
        <w:widowControl/>
        <w:spacing w:after="120" w:before="0" w:line="384"/>
        <w:ind w:firstLine="220"/>
        <w:jc w:val="both"/>
      </w:pPr>
      <w:r>
        <w:rPr>
          <w:rFonts w:ascii="바탕" w:cs="바탕" w:eastAsia="바탕" w:hAnsi="바탕"/>
          <w:sz w:val="22"/>
          <w:szCs w:val="22"/>
          <w:lang w:val="en-US" w:eastAsia="ko-KR"/>
        </w:rPr>
        <w:t xml:space="preserve">꼬리와 같은 원리가 작동한다. 평온기와 격변기가 섞인 데이터는 전체로 보면 꼬리가 두꺼운 분포가 된다(정규분포의 혼합). 예를 들어 전환 크기 L4(변동비 2.70, 평온 35.6일·격변 7.6일)를 단일 분포로 간주하고 정규분포 기반 80% 구간을 적용하면 이론 커버리지는 86.2%이다(같은 계산으로 95% 구간 94.5%, 99% 구간 97.1%로, 꼬리 축과 같은 방향 전환이 나타난다). RW 1년이 이 방향으로 크게 움직이는 것(+5.5~7.0%p)이 그 증거이다. TSFM은 최근 자료로 현재 국면의 변동성 수준을 일정 부분 포착하므로, 혼합 효과의 대부분을 피하고 0~2%p만 움직였다.</w:t>
      </w:r>
    </w:p>
    <w:p>
      <w:pPr>
        <w:keepNext w:val="false"/>
        <w:widowControl/>
        <w:spacing w:after="120" w:before="0" w:line="384"/>
        <w:ind w:firstLine="220"/>
        <w:jc w:val="both"/>
      </w:pPr>
      <w:r>
        <w:rPr>
          <w:rFonts w:ascii="바탕" w:cs="바탕" w:eastAsia="바탕" w:hAnsi="바탕"/>
          <w:sz w:val="22"/>
          <w:szCs w:val="22"/>
          <w:lang w:val="en-US" w:eastAsia="ko-KR"/>
        </w:rPr>
        <w:t xml:space="preserve">전환 빈도 L2·L3은 제3장에서 밝혔듯 한 계열 안에서 전환이 0~2번에 그쳐 "자주 바뀜"보다 "계열마다 수준이 다름"에 가깝다. 이 단계들에서 변화가 거의 없는 것은 TSFM이 계열 수준 차이에는 잘 적응한다는 뜻으로 읽을 수 있다.</w:t>
      </w:r>
    </w:p>
    <w:p>
      <w:pPr>
        <w:pStyle w:val="Heading2"/>
        <w:keepNext/>
      </w:pPr>
      <w:r>
        <w:rPr>
          <w:rFonts w:ascii="바탕" w:cs="바탕" w:eastAsia="바탕" w:hAnsi="바탕"/>
          <w:lang w:val="en-US" w:eastAsia="ko-KR"/>
        </w:rPr>
        <w:t xml:space="preserve">4.4 특성 간 결손 비교 (H4)</w:t>
      </w:r>
    </w:p>
    <w:p>
      <w:pPr>
        <w:keepNext/>
        <w:widowControl/>
        <w:spacing w:after="120" w:before="0" w:line="384"/>
        <w:ind w:firstLine="220"/>
        <w:jc w:val="both"/>
      </w:pPr>
      <w:r>
        <w:rPr>
          <w:rFonts w:ascii="바탕" w:cs="바탕" w:eastAsia="바탕" w:hAnsi="바탕"/>
          <w:sz w:val="22"/>
          <w:szCs w:val="22"/>
          <w:lang w:val="en-US" w:eastAsia="ko-KR"/>
        </w:rPr>
        <w:t xml:space="preserve">H4는 고강도(L4·L5 평균)에서 네 특성의 결손(80% − 커버리지)이 서로 다른지를 같은 계열끼리 비교한다. 특성별 결손은 표 4-5와 같다.</w:t>
      </w:r>
    </w:p>
    <w:p>
      <w:pPr>
        <w:pStyle w:val="TableCaption"/>
        <w:keepNext/>
        <w:spacing w:after="80" w:before="200" w:line="276"/>
        <w:jc w:val="center"/>
      </w:pPr>
      <w:r>
        <w:rPr>
          <w:rFonts w:ascii="바탕" w:cs="바탕" w:eastAsia="바탕" w:hAnsi="바탕"/>
          <w:sz w:val="19"/>
          <w:szCs w:val="19"/>
          <w:lang w:val="en-US" w:eastAsia="ko-KR"/>
        </w:rPr>
        <w:t xml:space="preserve">표 4-5. 고강도(L4·L5)에서 특성별 결손 (80% − 커버리지, %p; 양수 = 구간이 좁음)</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3"/>
        <w:gridCol w:w="998"/>
        <w:gridCol w:w="448"/>
        <w:gridCol w:w="448"/>
        <w:gridCol w:w="805"/>
        <w:gridCol w:w="805"/>
        <w:gridCol w:w="824"/>
        <w:gridCol w:w="807"/>
        <w:gridCol w:w="717"/>
        <w:gridCol w:w="891"/>
      </w:tblGrid>
      <w:tr>
        <w:trPr>
          <w:cantSplit/>
          <w:tblHeader/>
        </w:trPr>
        <w:tc>
          <w:tcPr>
            <w:tcW w:type="dxa" w:w="1193"/>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모델</w:t>
            </w:r>
          </w:p>
        </w:tc>
        <w:tc>
          <w:tcPr>
            <w:tcW w:type="dxa" w:w="998"/>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조건</w:t>
            </w:r>
          </w:p>
        </w:tc>
        <w:tc>
          <w:tcPr>
            <w:tcW w:type="dxa" w:w="448"/>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군집</w:t>
            </w:r>
          </w:p>
        </w:tc>
        <w:tc>
          <w:tcPr>
            <w:tcW w:type="dxa" w:w="448"/>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꼬리</w:t>
            </w:r>
          </w:p>
        </w:tc>
        <w:tc>
          <w:tcPr>
            <w:tcW w:type="dxa" w:w="805"/>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전환빈도</w:t>
            </w:r>
          </w:p>
        </w:tc>
        <w:tc>
          <w:tcPr>
            <w:tcW w:type="dxa" w:w="805"/>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전환크기</w:t>
            </w:r>
          </w:p>
        </w:tc>
        <w:tc>
          <w:tcPr>
            <w:tcW w:type="dxa" w:w="824"/>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범위(%p)</w:t>
            </w:r>
          </w:p>
        </w:tc>
        <w:tc>
          <w:tcPr>
            <w:tcW w:type="dxa" w:w="807"/>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최대 결손</w:t>
            </w:r>
          </w:p>
        </w:tc>
        <w:tc>
          <w:tcPr>
            <w:tcW w:type="dxa" w:w="717"/>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Holm p</w:t>
            </w:r>
          </w:p>
        </w:tc>
        <w:tc>
          <w:tcPr>
            <w:tcW w:type="dxa" w:w="891"/>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판정</w:t>
            </w:r>
          </w:p>
        </w:tc>
      </w:tr>
      <w:tr>
        <w:trPr>
          <w:cantSplit/>
          <w:trHeight w:val="464" w:hRule="atLeast"/>
        </w:trPr>
        <w:tc>
          <w:tcPr>
            <w:tcW w:type="dxa" w:w="119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99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+4.6</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+1.5</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+2.5</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+2.8</w:t>
            </w:r>
          </w:p>
        </w:tc>
        <w:tc>
          <w:tcPr>
            <w:tcW w:type="dxa" w:w="82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3.1</w:t>
            </w:r>
          </w:p>
        </w:tc>
        <w:tc>
          <w:tcPr>
            <w:tcW w:type="dxa" w:w="80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군집</w:t>
            </w:r>
          </w:p>
        </w:tc>
        <w:tc>
          <w:tcPr>
            <w:tcW w:type="dxa" w:w="71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3.1e-06</w:t>
            </w:r>
          </w:p>
        </w:tc>
        <w:tc>
          <w:tcPr>
            <w:tcW w:type="dxa" w:w="89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축마다 다름</w:t>
            </w:r>
          </w:p>
        </w:tc>
      </w:tr>
      <w:tr>
        <w:trPr>
          <w:cantSplit/>
          <w:trHeight w:val="464" w:hRule="atLeast"/>
        </w:trPr>
        <w:tc>
          <w:tcPr>
            <w:tcW w:type="dxa" w:w="119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99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+5.4</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+2.3</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+3.2</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+3.7</w:t>
            </w:r>
          </w:p>
        </w:tc>
        <w:tc>
          <w:tcPr>
            <w:tcW w:type="dxa" w:w="82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3.1</w:t>
            </w:r>
          </w:p>
        </w:tc>
        <w:tc>
          <w:tcPr>
            <w:tcW w:type="dxa" w:w="80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군집</w:t>
            </w:r>
          </w:p>
        </w:tc>
        <w:tc>
          <w:tcPr>
            <w:tcW w:type="dxa" w:w="71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1.3e-04</w:t>
            </w:r>
          </w:p>
        </w:tc>
        <w:tc>
          <w:tcPr>
            <w:tcW w:type="dxa" w:w="89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축마다 다름</w:t>
            </w:r>
          </w:p>
        </w:tc>
      </w:tr>
      <w:tr>
        <w:trPr>
          <w:cantSplit/>
          <w:trHeight w:val="464" w:hRule="atLeast"/>
        </w:trPr>
        <w:tc>
          <w:tcPr>
            <w:tcW w:type="dxa" w:w="119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99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+0.9</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-0.4</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-0.2</w:t>
            </w:r>
          </w:p>
        </w:tc>
        <w:tc>
          <w:tcPr>
            <w:tcW w:type="dxa" w:w="82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1.8</w:t>
            </w:r>
          </w:p>
        </w:tc>
        <w:tc>
          <w:tcPr>
            <w:tcW w:type="dxa" w:w="80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군집</w:t>
            </w:r>
          </w:p>
        </w:tc>
        <w:tc>
          <w:tcPr>
            <w:tcW w:type="dxa" w:w="71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6.2e-01</w:t>
            </w:r>
          </w:p>
        </w:tc>
        <w:tc>
          <w:tcPr>
            <w:tcW w:type="dxa" w:w="89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미지지</w:t>
            </w:r>
          </w:p>
        </w:tc>
      </w:tr>
      <w:tr>
        <w:trPr>
          <w:cantSplit/>
          <w:trHeight w:val="464" w:hRule="atLeast"/>
        </w:trPr>
        <w:tc>
          <w:tcPr>
            <w:tcW w:type="dxa" w:w="119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99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+5.5</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+2.6</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+3.1</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+3.5</w:t>
            </w:r>
          </w:p>
        </w:tc>
        <w:tc>
          <w:tcPr>
            <w:tcW w:type="dxa" w:w="82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2.9</w:t>
            </w:r>
          </w:p>
        </w:tc>
        <w:tc>
          <w:tcPr>
            <w:tcW w:type="dxa" w:w="80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군집</w:t>
            </w:r>
          </w:p>
        </w:tc>
        <w:tc>
          <w:tcPr>
            <w:tcW w:type="dxa" w:w="71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1.1e-04</w:t>
            </w:r>
          </w:p>
        </w:tc>
        <w:tc>
          <w:tcPr>
            <w:tcW w:type="dxa" w:w="89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축마다 다름</w:t>
            </w:r>
          </w:p>
        </w:tc>
      </w:tr>
      <w:tr>
        <w:trPr>
          <w:cantSplit/>
          <w:trHeight w:val="464" w:hRule="atLeast"/>
        </w:trPr>
        <w:tc>
          <w:tcPr>
            <w:tcW w:type="dxa" w:w="119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99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-0.6</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-1.9</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-1.9</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w:t>
            </w:r>
          </w:p>
        </w:tc>
        <w:tc>
          <w:tcPr>
            <w:tcW w:type="dxa" w:w="82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1.3</w:t>
            </w:r>
          </w:p>
        </w:tc>
        <w:tc>
          <w:tcPr>
            <w:tcW w:type="dxa" w:w="80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군집</w:t>
            </w:r>
          </w:p>
        </w:tc>
        <w:tc>
          <w:tcPr>
            <w:tcW w:type="dxa" w:w="71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4.2e-02</w:t>
            </w:r>
          </w:p>
        </w:tc>
        <w:tc>
          <w:tcPr>
            <w:tcW w:type="dxa" w:w="89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유의하나 작음</w:t>
            </w:r>
          </w:p>
        </w:tc>
      </w:tr>
      <w:tr>
        <w:trPr>
          <w:cantSplit/>
          <w:trHeight w:val="464" w:hRule="atLeast"/>
        </w:trPr>
        <w:tc>
          <w:tcPr>
            <w:tcW w:type="dxa" w:w="119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99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+0.7</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-0.4</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0.0</w:t>
            </w:r>
          </w:p>
        </w:tc>
        <w:tc>
          <w:tcPr>
            <w:tcW w:type="dxa" w:w="82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w:t>
            </w:r>
          </w:p>
        </w:tc>
        <w:tc>
          <w:tcPr>
            <w:tcW w:type="dxa" w:w="80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군집</w:t>
            </w:r>
          </w:p>
        </w:tc>
        <w:tc>
          <w:tcPr>
            <w:tcW w:type="dxa" w:w="71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7.8e-03</w:t>
            </w:r>
          </w:p>
        </w:tc>
        <w:tc>
          <w:tcPr>
            <w:tcW w:type="dxa" w:w="89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유의하나 작음</w:t>
            </w:r>
          </w:p>
        </w:tc>
      </w:tr>
      <w:tr>
        <w:trPr>
          <w:cantSplit/>
          <w:trHeight w:val="464" w:hRule="atLeast"/>
        </w:trPr>
        <w:tc>
          <w:tcPr>
            <w:tcW w:type="dxa" w:w="119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99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+2.7</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-0.6</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0.0</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+0.3</w:t>
            </w:r>
          </w:p>
        </w:tc>
        <w:tc>
          <w:tcPr>
            <w:tcW w:type="dxa" w:w="82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3.3</w:t>
            </w:r>
          </w:p>
        </w:tc>
        <w:tc>
          <w:tcPr>
            <w:tcW w:type="dxa" w:w="80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군집</w:t>
            </w:r>
          </w:p>
        </w:tc>
        <w:tc>
          <w:tcPr>
            <w:tcW w:type="dxa" w:w="71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1.1e-04</w:t>
            </w:r>
          </w:p>
        </w:tc>
        <w:tc>
          <w:tcPr>
            <w:tcW w:type="dxa" w:w="89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축마다 다름</w:t>
            </w:r>
          </w:p>
        </w:tc>
      </w:tr>
      <w:tr>
        <w:trPr>
          <w:cantSplit/>
          <w:trHeight w:val="464" w:hRule="atLeast"/>
        </w:trPr>
        <w:tc>
          <w:tcPr>
            <w:tcW w:type="dxa" w:w="119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99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+2.5</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-2.9</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-0.4</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+0.3</w:t>
            </w:r>
          </w:p>
        </w:tc>
        <w:tc>
          <w:tcPr>
            <w:tcW w:type="dxa" w:w="82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5.4</w:t>
            </w:r>
          </w:p>
        </w:tc>
        <w:tc>
          <w:tcPr>
            <w:tcW w:type="dxa" w:w="80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군집</w:t>
            </w:r>
          </w:p>
        </w:tc>
        <w:tc>
          <w:tcPr>
            <w:tcW w:type="dxa" w:w="71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2.6e-08</w:t>
            </w:r>
          </w:p>
        </w:tc>
        <w:tc>
          <w:tcPr>
            <w:tcW w:type="dxa" w:w="89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축마다 다름</w:t>
            </w:r>
          </w:p>
        </w:tc>
      </w:tr>
      <w:tr>
        <w:trPr>
          <w:cantSplit/>
          <w:trHeight w:val="464" w:hRule="atLeast"/>
        </w:trPr>
        <w:tc>
          <w:tcPr>
            <w:tcW w:type="dxa" w:w="119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99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+3.4</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+0.6</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+1.5</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+1.9</w:t>
            </w:r>
          </w:p>
        </w:tc>
        <w:tc>
          <w:tcPr>
            <w:tcW w:type="dxa" w:w="82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2.8</w:t>
            </w:r>
          </w:p>
        </w:tc>
        <w:tc>
          <w:tcPr>
            <w:tcW w:type="dxa" w:w="80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군집</w:t>
            </w:r>
          </w:p>
        </w:tc>
        <w:tc>
          <w:tcPr>
            <w:tcW w:type="dxa" w:w="71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1.9e-04</w:t>
            </w:r>
          </w:p>
        </w:tc>
        <w:tc>
          <w:tcPr>
            <w:tcW w:type="dxa" w:w="89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축마다 다름</w:t>
            </w:r>
          </w:p>
        </w:tc>
      </w:tr>
      <w:tr>
        <w:trPr>
          <w:cantSplit/>
          <w:trHeight w:val="464" w:hRule="atLeast"/>
        </w:trPr>
        <w:tc>
          <w:tcPr>
            <w:tcW w:type="dxa" w:w="119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99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+3.9</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+2.5</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+3.1</w:t>
            </w:r>
          </w:p>
        </w:tc>
        <w:tc>
          <w:tcPr>
            <w:tcW w:type="dxa" w:w="82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2.8</w:t>
            </w:r>
          </w:p>
        </w:tc>
        <w:tc>
          <w:tcPr>
            <w:tcW w:type="dxa" w:w="80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군집</w:t>
            </w:r>
          </w:p>
        </w:tc>
        <w:tc>
          <w:tcPr>
            <w:tcW w:type="dxa" w:w="71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1.4e-07</w:t>
            </w:r>
          </w:p>
        </w:tc>
        <w:tc>
          <w:tcPr>
            <w:tcW w:type="dxa" w:w="89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축마다 다름</w:t>
            </w:r>
          </w:p>
        </w:tc>
      </w:tr>
      <w:tr>
        <w:trPr>
          <w:cantSplit/>
          <w:trHeight w:val="464" w:hRule="atLeast"/>
        </w:trPr>
        <w:tc>
          <w:tcPr>
            <w:tcW w:type="dxa" w:w="119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99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+1.9</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+0.5</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+2.3</w:t>
            </w:r>
          </w:p>
        </w:tc>
        <w:tc>
          <w:tcPr>
            <w:tcW w:type="dxa" w:w="82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1.8</w:t>
            </w:r>
          </w:p>
        </w:tc>
        <w:tc>
          <w:tcPr>
            <w:tcW w:type="dxa" w:w="80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전환크기</w:t>
            </w:r>
          </w:p>
        </w:tc>
        <w:tc>
          <w:tcPr>
            <w:tcW w:type="dxa" w:w="71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1.6e-01</w:t>
            </w:r>
          </w:p>
        </w:tc>
        <w:tc>
          <w:tcPr>
            <w:tcW w:type="dxa" w:w="89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미지지</w:t>
            </w:r>
          </w:p>
        </w:tc>
      </w:tr>
      <w:tr>
        <w:trPr>
          <w:cantSplit/>
          <w:trHeight w:val="464" w:hRule="atLeast"/>
        </w:trPr>
        <w:tc>
          <w:tcPr>
            <w:tcW w:type="dxa" w:w="119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99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-7.6</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-7.4</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-7.0</w:t>
            </w:r>
          </w:p>
        </w:tc>
        <w:tc>
          <w:tcPr>
            <w:tcW w:type="dxa" w:w="82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1.3</w:t>
            </w:r>
          </w:p>
        </w:tc>
        <w:tc>
          <w:tcPr>
            <w:tcW w:type="dxa" w:w="80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전환크기</w:t>
            </w:r>
          </w:p>
        </w:tc>
        <w:tc>
          <w:tcPr>
            <w:tcW w:type="dxa" w:w="71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1.8e-01</w:t>
            </w:r>
          </w:p>
        </w:tc>
        <w:tc>
          <w:tcPr>
            <w:tcW w:type="dxa" w:w="89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미지지</w:t>
            </w:r>
          </w:p>
        </w:tc>
      </w:tr>
      <w:tr>
        <w:trPr>
          <w:cantSplit/>
          <w:trHeight w:val="464" w:hRule="atLeast"/>
        </w:trPr>
        <w:tc>
          <w:tcPr>
            <w:tcW w:type="dxa" w:w="119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99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+4.2</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+1.4</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+2.1</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+2.3</w:t>
            </w:r>
          </w:p>
        </w:tc>
        <w:tc>
          <w:tcPr>
            <w:tcW w:type="dxa" w:w="82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2.7</w:t>
            </w:r>
          </w:p>
        </w:tc>
        <w:tc>
          <w:tcPr>
            <w:tcW w:type="dxa" w:w="80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군집</w:t>
            </w:r>
          </w:p>
        </w:tc>
        <w:tc>
          <w:tcPr>
            <w:tcW w:type="dxa" w:w="71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4.1e-04</w:t>
            </w:r>
          </w:p>
        </w:tc>
        <w:tc>
          <w:tcPr>
            <w:tcW w:type="dxa" w:w="89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축마다 다름</w:t>
            </w:r>
          </w:p>
        </w:tc>
      </w:tr>
      <w:tr>
        <w:trPr>
          <w:cantSplit/>
          <w:trHeight w:val="464" w:hRule="atLeast"/>
        </w:trPr>
        <w:tc>
          <w:tcPr>
            <w:tcW w:type="dxa" w:w="119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99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+4.2</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-0.1</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+2.7</w:t>
            </w:r>
          </w:p>
        </w:tc>
        <w:tc>
          <w:tcPr>
            <w:tcW w:type="dxa" w:w="82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4.3</w:t>
            </w:r>
          </w:p>
        </w:tc>
        <w:tc>
          <w:tcPr>
            <w:tcW w:type="dxa" w:w="80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군집</w:t>
            </w:r>
          </w:p>
        </w:tc>
        <w:tc>
          <w:tcPr>
            <w:tcW w:type="dxa" w:w="71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3.5e-11</w:t>
            </w:r>
          </w:p>
        </w:tc>
        <w:tc>
          <w:tcPr>
            <w:tcW w:type="dxa" w:w="89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축마다 다름</w:t>
            </w:r>
          </w:p>
        </w:tc>
      </w:tr>
      <w:tr>
        <w:trPr>
          <w:cantSplit/>
          <w:trHeight w:val="464" w:hRule="atLeast"/>
        </w:trPr>
        <w:tc>
          <w:tcPr>
            <w:tcW w:type="dxa" w:w="119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99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-0.4</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-0.7</w:t>
            </w:r>
          </w:p>
        </w:tc>
        <w:tc>
          <w:tcPr>
            <w:tcW w:type="dxa" w:w="82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1.6</w:t>
            </w:r>
          </w:p>
        </w:tc>
        <w:tc>
          <w:tcPr>
            <w:tcW w:type="dxa" w:w="80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군집</w:t>
            </w:r>
          </w:p>
        </w:tc>
        <w:tc>
          <w:tcPr>
            <w:tcW w:type="dxa" w:w="71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6.2e-01</w:t>
            </w:r>
          </w:p>
        </w:tc>
        <w:tc>
          <w:tcPr>
            <w:tcW w:type="dxa" w:w="89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미지지</w:t>
            </w:r>
          </w:p>
        </w:tc>
      </w:tr>
      <w:tr>
        <w:trPr>
          <w:cantSplit/>
          <w:trHeight w:val="464" w:hRule="atLeast"/>
        </w:trPr>
        <w:tc>
          <w:tcPr>
            <w:tcW w:type="dxa" w:w="119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99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+2.1</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+0.2</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+0.7</w:t>
            </w:r>
          </w:p>
        </w:tc>
        <w:tc>
          <w:tcPr>
            <w:tcW w:type="dxa" w:w="82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3.2</w:t>
            </w:r>
          </w:p>
        </w:tc>
        <w:tc>
          <w:tcPr>
            <w:tcW w:type="dxa" w:w="80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군집</w:t>
            </w:r>
          </w:p>
        </w:tc>
        <w:tc>
          <w:tcPr>
            <w:tcW w:type="dxa" w:w="71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1.0e-03</w:t>
            </w:r>
          </w:p>
        </w:tc>
        <w:tc>
          <w:tcPr>
            <w:tcW w:type="dxa" w:w="89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축마다 다름</w:t>
            </w:r>
          </w:p>
        </w:tc>
      </w:tr>
      <w:tr>
        <w:trPr>
          <w:cantSplit/>
          <w:trHeight w:val="464" w:hRule="atLeast"/>
        </w:trPr>
        <w:tc>
          <w:tcPr>
            <w:tcW w:type="dxa" w:w="119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과거변동(RW)</w:t>
            </w:r>
          </w:p>
        </w:tc>
        <w:tc>
          <w:tcPr>
            <w:tcW w:type="dxa" w:w="99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+4.1</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-1.6</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+0.1</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+0.9</w:t>
            </w:r>
          </w:p>
        </w:tc>
        <w:tc>
          <w:tcPr>
            <w:tcW w:type="dxa" w:w="82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5.7</w:t>
            </w:r>
          </w:p>
        </w:tc>
        <w:tc>
          <w:tcPr>
            <w:tcW w:type="dxa" w:w="80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군집</w:t>
            </w:r>
          </w:p>
        </w:tc>
        <w:tc>
          <w:tcPr>
            <w:tcW w:type="dxa" w:w="71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89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r>
      <w:tr>
        <w:trPr>
          <w:cantSplit/>
          <w:trHeight w:val="464" w:hRule="atLeast"/>
        </w:trPr>
        <w:tc>
          <w:tcPr>
            <w:tcW w:type="dxa" w:w="119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과거변동(RW)</w:t>
            </w:r>
          </w:p>
        </w:tc>
        <w:tc>
          <w:tcPr>
            <w:tcW w:type="dxa" w:w="99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w:t>
            </w:r>
          </w:p>
        </w:tc>
        <w:tc>
          <w:tcPr>
            <w:tcW w:type="dxa" w:w="44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-5.5</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-4.8</w:t>
            </w:r>
          </w:p>
        </w:tc>
        <w:tc>
          <w:tcPr>
            <w:tcW w:type="dxa" w:w="805"/>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-5.6</w:t>
            </w:r>
          </w:p>
        </w:tc>
        <w:tc>
          <w:tcPr>
            <w:tcW w:type="dxa" w:w="82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4.5</w:t>
            </w:r>
          </w:p>
        </w:tc>
        <w:tc>
          <w:tcPr>
            <w:tcW w:type="dxa" w:w="80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군집</w:t>
            </w:r>
          </w:p>
        </w:tc>
        <w:tc>
          <w:tcPr>
            <w:tcW w:type="dxa" w:w="717"/>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89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r>
      <w:tr>
        <w:trPr>
          <w:cantSplit/>
          <w:trHeight w:val="464" w:hRule="atLeast"/>
        </w:trPr>
        <w:tc>
          <w:tcPr>
            <w:tcW w:type="dxa" w:w="1193"/>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GARCH-t</w:t>
            </w:r>
          </w:p>
        </w:tc>
        <w:tc>
          <w:tcPr>
            <w:tcW w:type="dxa" w:w="998"/>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448"/>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+1.6</w:t>
            </w:r>
          </w:p>
        </w:tc>
        <w:tc>
          <w:tcPr>
            <w:tcW w:type="dxa" w:w="448"/>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+0.3</w:t>
            </w:r>
          </w:p>
        </w:tc>
        <w:tc>
          <w:tcPr>
            <w:tcW w:type="dxa" w:w="805"/>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+0.1</w:t>
            </w:r>
          </w:p>
        </w:tc>
        <w:tc>
          <w:tcPr>
            <w:tcW w:type="dxa" w:w="805"/>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-0.1</w:t>
            </w:r>
          </w:p>
        </w:tc>
        <w:tc>
          <w:tcPr>
            <w:tcW w:type="dxa" w:w="824"/>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1.6</w:t>
            </w:r>
          </w:p>
        </w:tc>
        <w:tc>
          <w:tcPr>
            <w:tcW w:type="dxa" w:w="807"/>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군집</w:t>
            </w:r>
          </w:p>
        </w:tc>
        <w:tc>
          <w:tcPr>
            <w:tcW w:type="dxa" w:w="717"/>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891"/>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r>
    </w:tbl>
    <w:p>
      <w:pPr>
        <w:spacing w:after="60"/>
      </w:pPr>
    </w:p>
    <w:p>
      <w:pPr>
        <w:spacing w:after="200" w:line="276"/>
        <w:jc w:val="both"/>
      </w:pPr>
      <w:r>
        <w:rPr>
          <w:rFonts w:ascii="바탕" w:cs="바탕" w:eastAsia="바탕" w:hAnsi="바탕"/>
          <w:sz w:val="17"/>
          <w:szCs w:val="17"/>
          <w:lang w:val="en-US" w:eastAsia="ko-KR"/>
        </w:rPr>
        <w:t xml:space="preserve">주: Friedman 검정(같은 계열 100개 대응), Holm 보정(16개 묶음). 범위 = 네 축 결손의 최댓값 − 최솟값. 판정은 Holm p &lt; 0.05이고 범위가 실질 기준 2%p 이상이면 "축마다 다름". 기준 모형(RW, GARCH-t)은 서술용으로 검정하지 않았다.</w:t>
      </w:r>
    </w:p>
    <w:p>
      <w:pPr>
        <w:keepNext w:val="false"/>
        <w:widowControl/>
        <w:spacing w:after="120" w:before="0" w:line="384"/>
        <w:ind w:firstLine="220"/>
        <w:jc w:val="both"/>
      </w:pPr>
      <w:r>
        <w:rPr>
          <w:rFonts w:ascii="바탕" w:cs="바탕" w:eastAsia="바탕" w:hAnsi="바탕"/>
          <w:sz w:val="22"/>
          <w:szCs w:val="22"/>
          <w:lang w:val="en-US" w:eastAsia="ko-KR"/>
        </w:rPr>
        <w:t xml:space="preserve">16개 조건 중 10개에서 "축마다 다름"이 지지되었고, 2개는 유의하나 차이가 2%p 미만, 4개는 미지지였다. 특히 "축마다 다름"인 10개 조건에서는 모두 결손이 가장 큰 축이 군집이었다. 축 쌍별 비교(Wilcoxon, Holm 보정)에서도 유의한 조건 수가 군집−전환빈도 12개, 군집−꼬리 12개, 군집−전환크기 8개로 군집 특성이 포함된 쌍에 집중되었고, 군집이 없는 쌍은 꼬리−전환빈도 3개, 꼬리−전환크기 3개, 전환빈도−전환크기 1개였다.</w:t>
      </w:r>
    </w:p>
    <w:p>
      <w:pPr>
        <w:keepNext w:val="false"/>
        <w:widowControl/>
        <w:spacing w:after="120" w:before="0" w:line="384"/>
        <w:ind w:firstLine="220"/>
        <w:jc w:val="both"/>
      </w:pPr>
      <w:r>
        <w:rPr>
          <w:rFonts w:ascii="바탕" w:cs="바탕" w:eastAsia="바탕" w:hAnsi="바탕"/>
          <w:sz w:val="22"/>
          <w:szCs w:val="22"/>
          <w:lang w:val="en-US" w:eastAsia="ko-KR"/>
        </w:rPr>
        <w:t xml:space="preserve">이 결과는 4.3절과 함께 읽어야 한다. 군집이 "가장 불리하다"는 것은 군집이 구간을 크게 좁혀서라기보다, 다른 세 특성은 80% 구간을 오히려 넓히거나 거의 바꾸지 않는데 군집만 좁히는 쪽으로 작용하기 때문이다. 예를 들어 Chronos-2 1년·가격의 결손은 군집 +2.5, 꼬리 −2.9, 전환빈도 −0.4, 전환크기 +0.3%p이다. 실무적 의미는 다음과 같다. TSFM의 80% 구간이 금융 특성 때문에 위험을 과소평가하게 된다면, 그 원인으로 가장 먼저 의심할 것은 변동성 군집(최근 변동을 따라가는 속도)이다.</w:t>
      </w:r>
    </w:p>
    <w:p>
      <w:pPr>
        <w:pStyle w:val="Heading2"/>
        <w:keepNext/>
      </w:pPr>
      <w:r>
        <w:rPr>
          <w:rFonts w:ascii="바탕" w:cs="바탕" w:eastAsia="바탕" w:hAnsi="바탕"/>
          <w:lang w:val="en-US" w:eastAsia="ko-KR"/>
        </w:rPr>
        <w:t xml:space="preserve">4.5 소결</w:t>
      </w:r>
    </w:p>
    <w:p>
      <w:pPr>
        <w:keepNext/>
        <w:widowControl/>
        <w:spacing w:after="120" w:before="0" w:line="384"/>
        <w:ind w:firstLine="220"/>
        <w:jc w:val="both"/>
      </w:pPr>
      <w:r>
        <w:rPr>
          <w:rFonts w:ascii="바탕" w:cs="바탕" w:eastAsia="바탕" w:hAnsi="바탕"/>
          <w:sz w:val="22"/>
          <w:szCs w:val="22"/>
          <w:lang w:val="en-US" w:eastAsia="ko-KR"/>
        </w:rPr>
        <w:t xml:space="preserve">첫 번째 연구 질문(RQ1)에 대한 실험 결과를 요약하면 다음과 같다.</w:t>
      </w:r>
    </w:p>
    <w:p>
      <w:pPr>
        <w:keepNext/>
        <w:keepLines/>
        <w:widowControl/>
        <w:spacing w:after="60" w:line="384"/>
        <w:ind w:left="360" w:hanging="360"/>
        <w:jc w:val="both"/>
      </w:pPr>
      <w:r>
        <w:rPr>
          <w:rFonts w:ascii="바탕" w:cs="바탕" w:eastAsia="바탕" w:hAnsi="바탕"/>
          <w:sz w:val="22"/>
          <w:szCs w:val="22"/>
          <w:lang w:val="en-US" w:eastAsia="ko-KR"/>
        </w:rPr>
        <w:t xml:space="preserve">1. 오차의 대부분은 특성이 아니라 모델·입력 설정에서 온다. 특성이 전혀 없는 L1에서 이미 TSFM 커버리지는 75%부터 88%까지 퍼져 있고(표 4-1), 16개 조건 중 절반이 실질 기준을 벗어났다. 특성을 가장 강하게 설정해도 그 위치는 거의 움직이지 않는다(그림 4-1). 모델에 따라, 같은 모델에서도 입력 형태와 과거 길이에 따라 결과가 달라지며, 실험 과정에서는 Chronos-T5의 샘플링 설정 하나가 커버리지를 14%까지 무너뜨린 사례도 확인되었다(부록 A.3).</w:t>
      </w:r>
    </w:p>
    <w:p>
      <w:pPr>
        <w:keepNext/>
        <w:keepLines/>
        <w:widowControl/>
        <w:spacing w:after="60" w:line="384"/>
        <w:ind w:left="360" w:hanging="360"/>
        <w:jc w:val="both"/>
      </w:pPr>
      <w:r>
        <w:rPr>
          <w:rFonts w:ascii="바탕" w:cs="바탕" w:eastAsia="바탕" w:hAnsi="바탕"/>
          <w:sz w:val="22"/>
          <w:szCs w:val="22"/>
          <w:lang w:val="en-US" w:eastAsia="ko-KR"/>
        </w:rPr>
        <w:t xml:space="preserve">2. 특성의 효과는 작고, 꼬리와 국면 전환은 통념과 달리 80% 구간에 불리하지 않았다. 군집만 예상한 방향(하락)이었고 실질적으로 큰 것은 2개 조건(−2.0~−2.5%p)이었다. 두꺼운 꼬리와 잦은 국면 전환 특성은 80% 구간의 커버리지를 오히려 높였으며, 이는 꼬리가 두꺼운 분포에서 분산 기반 80% 구간이 갖는 수학적 성질로 설명된다. 같은 성질 때문에 99% 근처 구간에서는 방향이 반대가 되며, 이는 Chronos-2의 98% 구간에서 실제로 확인되었다(표 4-3, 4-4). 따라서 이 결과를 극단 위험에 그대로 적용할 수는 없다.</w:t>
      </w:r>
    </w:p>
    <w:p>
      <w:pPr>
        <w:keepNext w:val="false"/>
        <w:keepLines/>
        <w:widowControl/>
        <w:spacing w:after="60" w:line="384"/>
        <w:ind w:left="360" w:hanging="360"/>
        <w:jc w:val="both"/>
      </w:pPr>
      <w:r>
        <w:rPr>
          <w:rFonts w:ascii="바탕" w:cs="바탕" w:eastAsia="바탕" w:hAnsi="바탕"/>
          <w:sz w:val="22"/>
          <w:szCs w:val="22"/>
          <w:lang w:val="en-US" w:eastAsia="ko-KR"/>
        </w:rPr>
        <w:t xml:space="preserve">3. 특성끼리 비교하면 군집이 가장 불리하다(H4, 10개 조건). 다만 이는 다른 특성이 반대 방향으로 작용한 결과이기도 하다.</w:t>
      </w:r>
    </w:p>
    <w:p>
      <w:pPr>
        <w:keepNext w:val="false"/>
        <w:widowControl/>
        <w:spacing w:after="120" w:before="0" w:line="384"/>
        <w:ind w:firstLine="220"/>
        <w:jc w:val="both"/>
      </w:pPr>
      <w:r>
        <w:rPr>
          <w:rFonts w:ascii="바탕" w:cs="바탕" w:eastAsia="바탕" w:hAnsi="바탕"/>
          <w:sz w:val="22"/>
          <w:szCs w:val="22"/>
          <w:lang w:val="en-US" w:eastAsia="ko-KR"/>
        </w:rPr>
        <w:t xml:space="preserve">이 결과가 실제 주가에서도 성립하는지는 제5장에서 확인한다. 합성 데이터 실험에서 오차의 주된 원인이 모델·설정이었다면, 실제 주가에서도 커버리지는 L1과 비슷한 위치에 있어야 한다.</w:t>
      </w:r>
    </w:p>
    <w:p>
      <w:pPr>
        <w:pStyle w:val="Heading1"/>
        <w:keepNext/>
        <w:pageBreakBefore/>
      </w:pPr>
      <w:r>
        <w:rPr>
          <w:rFonts w:ascii="바탕" w:cs="바탕" w:eastAsia="바탕" w:hAnsi="바탕"/>
          <w:lang w:val="en-US" w:eastAsia="ko-KR"/>
        </w:rPr>
        <w:t xml:space="preserve">제5장 실제 주가에서의 예측구간 평가 (RQ2)</w:t>
      </w:r>
    </w:p>
    <w:p>
      <w:pPr>
        <w:keepNext w:val="false"/>
        <w:widowControl/>
        <w:spacing w:after="120" w:before="0" w:line="384"/>
        <w:ind w:firstLine="220"/>
        <w:jc w:val="both"/>
      </w:pPr>
      <w:r>
        <w:rPr>
          <w:rFonts w:ascii="바탕" w:cs="바탕" w:eastAsia="바탕" w:hAnsi="바탕"/>
          <w:sz w:val="22"/>
          <w:szCs w:val="22"/>
          <w:lang w:val="en-US" w:eastAsia="ko-KR"/>
        </w:rPr>
        <w:t xml:space="preserve">본 장에서는 실제 10종목(미국 5, 한국 5)에 대해 2017년 1월부터 2026년 9월까지 매 거래일 산출한 예측을 평가한다. 5.1절은 커버리지, 5.2절은 정확도(분위수 손실)를 과거변동(RW)과 비교한 H5, 5.3절은 모델 공개 이후 기간만 본 점검, 5.4절은 합성 데이터 실험 결과와의 대응을 다룬다. 5.5절은 미리 고정한 가설 밖의 탐색 분석으로, 이 예측구간을 실제 투자 규칙에 썼을 때 어떤 차이가 생기는지를 본다. 5.6절에서 RQ2에 답한다.</w:t>
      </w:r>
    </w:p>
    <w:p>
      <w:pPr>
        <w:pStyle w:val="Heading2"/>
        <w:keepNext/>
      </w:pPr>
      <w:r>
        <w:rPr>
          <w:rFonts w:ascii="바탕" w:cs="바탕" w:eastAsia="바탕" w:hAnsi="바탕"/>
          <w:lang w:val="en-US" w:eastAsia="ko-KR"/>
        </w:rPr>
        <w:t xml:space="preserve">5.1 보정 전 커버리지</w:t>
      </w:r>
    </w:p>
    <w:p>
      <w:pPr>
        <w:keepNext/>
        <w:widowControl/>
        <w:spacing w:after="120" w:before="0" w:line="384"/>
        <w:ind w:firstLine="220"/>
        <w:jc w:val="both"/>
      </w:pPr>
      <w:r>
        <w:rPr>
          <w:rFonts w:ascii="바탕" w:cs="바탕" w:eastAsia="바탕" w:hAnsi="바탕"/>
          <w:sz w:val="22"/>
          <w:szCs w:val="22"/>
          <w:lang w:val="en-US" w:eastAsia="ko-KR"/>
        </w:rPr>
        <w:t xml:space="preserve">표 5-1과 그림 5-1은 실제 10종목에서 측정한 보정 전 커버리지이다.</w:t>
      </w:r>
    </w:p>
    <w:p>
      <w:pPr>
        <w:pStyle w:val="TableCaption"/>
        <w:keepNext/>
        <w:spacing w:after="80" w:before="200" w:line="276"/>
        <w:jc w:val="center"/>
      </w:pPr>
      <w:r>
        <w:rPr>
          <w:rFonts w:ascii="바탕" w:cs="바탕" w:eastAsia="바탕" w:hAnsi="바탕"/>
          <w:sz w:val="19"/>
          <w:szCs w:val="19"/>
          <w:lang w:val="en-US" w:eastAsia="ko-KR"/>
        </w:rPr>
        <w:t xml:space="preserve">표 5-1. 실제 10종목의 보정 전 커버리지 (채점 17,700건)</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1"/>
        <w:gridCol w:w="1235"/>
        <w:gridCol w:w="1758"/>
        <w:gridCol w:w="820"/>
        <w:gridCol w:w="820"/>
        <w:gridCol w:w="1131"/>
        <w:gridCol w:w="861"/>
      </w:tblGrid>
      <w:tr>
        <w:trPr>
          <w:cantSplit/>
          <w:tblHeader/>
        </w:trPr>
        <w:tc>
          <w:tcPr>
            <w:tcW w:type="dxa" w:w="1311"/>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모델</w:t>
            </w:r>
          </w:p>
        </w:tc>
        <w:tc>
          <w:tcPr>
            <w:tcW w:type="dxa" w:w="123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조건</w:t>
            </w:r>
          </w:p>
        </w:tc>
        <w:tc>
          <w:tcPr>
            <w:tcW w:type="dxa" w:w="175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전체(%)</w:t>
            </w:r>
          </w:p>
          <w:p>
            <w:pPr>
              <w:keepNext/>
              <w:keepLines/>
              <w:wordWrap w:val="1"/>
              <w:spacing w:after="0" w:before="0" w:line="240"/>
              <w:jc w:val="center"/>
            </w:pPr>
            <w:r>
              <w:rPr>
                <w:rFonts w:ascii="굴림" w:cs="굴림" w:eastAsia="굴림" w:hAnsi="굴림"/>
                <w:b/>
                <w:bCs/>
                <w:sz w:val="17"/>
                <w:szCs w:val="17"/>
                <w:lang w:val="en-US" w:eastAsia="ko-KR"/>
              </w:rPr>
              <w:t xml:space="preserve">[95% 구간]</w:t>
            </w:r>
          </w:p>
        </w:tc>
        <w:tc>
          <w:tcPr>
            <w:tcW w:type="dxa" w:w="82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미국(%)</w:t>
            </w:r>
          </w:p>
        </w:tc>
        <w:tc>
          <w:tcPr>
            <w:tcW w:type="dxa" w:w="82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한국(%)</w:t>
            </w:r>
          </w:p>
        </w:tc>
        <w:tc>
          <w:tcPr>
            <w:tcW w:type="dxa" w:w="1131"/>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종목별 범위(%)</w:t>
            </w:r>
          </w:p>
        </w:tc>
        <w:tc>
          <w:tcPr>
            <w:tcW w:type="dxa" w:w="861"/>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평균 폭(%p)</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77.8 [76.8, 78.8]</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77.4</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78.2</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77.1~78.8</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4.82</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76.5 [75.6, 77.4]</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76.4</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76.5</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74.4~77.7</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5.03</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80.0 [78.5, 81.4]</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80.1</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79.8</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78.7~81.7</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4.75</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76.2 [75.1, 77.3]</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76.6</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75.8</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74.0~78.0</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4.33</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81.8 [81.0, 82.6]</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82.0</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81.6</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81.0~82.2</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5.75</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81.1 [80.3, 81.9]</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81.6</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80.5</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79.6~82.1</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5.78</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79.1 [77.9, 80.3]</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79.1</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79.1</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78.0~80.1</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4.65</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80.0 [78.8, 80.9]</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79.8</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80.1</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78.3~80.9</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5.02</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78.2 [77.2, 79.1]</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78.2</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78.1</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77.8~78.5</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5.00</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77.8 [76.9, 78.6]</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77.8</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77.8</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77.1~78.4</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5.32</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77.2 [75.6, 78.7]</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76.4</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78.1</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75.4~79.3</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4.43</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87.7 [86.7, 88.6]</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87.1</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88.4</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86.0~89.2</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6.27</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77.1 [76.1, 78.0]</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77.3</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76.8</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76.3~77.9</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4.85</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78.7 [77.9, 79.4]</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79.2</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78.2</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77.4~79.8</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5.64</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79.8 [78.4, 81.3]</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80.1</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79.6</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78.6~81.1</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4.69</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82.1 [81.3, 82.9]</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83.0</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81.2</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80.3~83.8</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5.20</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79.6 [78.6, 80.7]</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79.9</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79.3</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78.7~80.3</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4.93</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83.0 [81.2, 84.7]</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84.5</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81.6</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79.9~85.7</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5.08</w:t>
            </w:r>
          </w:p>
        </w:tc>
      </w:tr>
      <w:tr>
        <w:trPr>
          <w:cantSplit/>
          <w:trHeight w:val="284" w:hRule="atLeast"/>
        </w:trPr>
        <w:tc>
          <w:tcPr>
            <w:tcW w:type="dxa" w:w="1311"/>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GARCH-t</w:t>
            </w:r>
          </w:p>
        </w:tc>
        <w:tc>
          <w:tcPr>
            <w:tcW w:type="dxa" w:w="123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75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78.4 [77.2, 79.7]</w:t>
            </w:r>
          </w:p>
        </w:tc>
        <w:tc>
          <w:tcPr>
            <w:tcW w:type="dxa" w:w="82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78.6</w:t>
            </w:r>
          </w:p>
        </w:tc>
        <w:tc>
          <w:tcPr>
            <w:tcW w:type="dxa" w:w="82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78.3</w:t>
            </w:r>
          </w:p>
        </w:tc>
        <w:tc>
          <w:tcPr>
            <w:tcW w:type="dxa" w:w="1131"/>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77.3~79.2</w:t>
            </w:r>
          </w:p>
        </w:tc>
        <w:tc>
          <w:tcPr>
            <w:tcW w:type="dxa" w:w="861"/>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4.54</w:t>
            </w:r>
          </w:p>
        </w:tc>
      </w:tr>
    </w:tbl>
    <w:p>
      <w:pPr>
        <w:spacing w:after="60"/>
      </w:pPr>
    </w:p>
    <w:p>
      <w:pPr>
        <w:spacing w:after="200" w:line="276"/>
        <w:jc w:val="both"/>
      </w:pPr>
      <w:r>
        <w:rPr>
          <w:rFonts w:ascii="바탕" w:cs="바탕" w:eastAsia="바탕" w:hAnsi="바탕"/>
          <w:sz w:val="17"/>
          <w:szCs w:val="17"/>
          <w:lang w:val="en-US" w:eastAsia="ko-KR"/>
        </w:rPr>
        <w:t xml:space="preserve">주: 95% 구간은 달력 월 클러스터 부트스트랩 2,000회. 종목별 범위는 10종목 각각의 커버리지 최솟값~최댓값.</w:t>
      </w:r>
    </w:p>
    <w:p>
      <w:pPr>
        <w:keepNext/>
        <w:spacing w:after="60" w:before="120"/>
        <w:jc w:val="center"/>
      </w:pPr>
      <w:r>
        <w:drawing>
          <wp:inline distT="0" distB="0" distL="0" distR="0">
            <wp:extent cx="503872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38725" cy="3781425"/>
                    </a:xfrm>
                    <a:prstGeom prst="rect">
                      <a:avLst/>
                    </a:prstGeom>
                  </pic:spPr>
                </pic:pic>
              </a:graphicData>
            </a:graphic>
          </wp:inline>
        </w:drawing>
      </w:r>
    </w:p>
    <w:p>
      <w:pPr>
        <w:pStyle w:val="FigureCaption"/>
        <w:keepNext/>
        <w:spacing w:after="40" w:before="0" w:line="276"/>
        <w:jc w:val="center"/>
      </w:pPr>
      <w:r>
        <w:rPr>
          <w:rFonts w:ascii="바탕" w:cs="바탕" w:eastAsia="바탕" w:hAnsi="바탕"/>
          <w:sz w:val="19"/>
          <w:szCs w:val="19"/>
          <w:lang w:val="en-US" w:eastAsia="ko-KR"/>
        </w:rPr>
        <w:t xml:space="preserve">그림 5-1. 실제 10종목의 보정 전 커버리지(2017~2026, 17,700건)</w:t>
      </w:r>
    </w:p>
    <w:p>
      <w:pPr>
        <w:keepNext w:val="false"/>
        <w:spacing w:after="240" w:line="276"/>
        <w:jc w:val="center"/>
      </w:pPr>
      <w:r>
        <w:rPr>
          <w:rFonts w:ascii="바탕" w:cs="바탕" w:eastAsia="바탕" w:hAnsi="바탕"/>
          <w:sz w:val="17"/>
          <w:szCs w:val="17"/>
          <w:lang w:val="en-US" w:eastAsia="ko-KR"/>
        </w:rPr>
        <w:t xml:space="preserve">점과 막대는 전체와 95% 구간, 옅은 띠는 종목별 범위</w:t>
      </w:r>
    </w:p>
    <w:p>
      <w:pPr>
        <w:keepNext/>
        <w:widowControl/>
        <w:spacing w:after="120" w:before="0" w:line="384"/>
        <w:ind w:firstLine="220"/>
        <w:jc w:val="both"/>
      </w:pPr>
      <w:r>
        <w:rPr>
          <w:rFonts w:ascii="바탕" w:cs="바탕" w:eastAsia="바탕" w:hAnsi="바탕"/>
          <w:sz w:val="22"/>
          <w:szCs w:val="22"/>
          <w:lang w:val="en-US" w:eastAsia="ko-KR"/>
        </w:rPr>
        <w:t xml:space="preserve">실제 주가에서도 제4장의 패턴이 그대로 나타났다.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TimesFM-2.5 1년·가격은 88%로 구간이 지나치게 넓다(10종목 모두 86~89%).</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Chronos-T5는 가격을 넣은 두 조건이 76.2~76.5%로 좁고, 수익률을 넣은 두 조건은 77.8~80.0%이다.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나머지 TSFM 조건은 77~82%이다. 가장 목표에 가까운 것은 Chronos-2(79~82%), Chronos-T5 1년·수익률(80.0%), Moirai-2 1년·수익률(79.8%)이다.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미국과 한국의 차이는 작다. 같은 TSFM 조건에서 두 시장의 커버리지 차이는 모두 2%p 이내이다. 종목별 범위도 대부분 4%p 폭 안에 들어온다. 시장이나 종목보다 모델·조건이 결과를 정한다. 16개 조건 × 10종목 커버리지의 변동 가운데 92%가 모델·조건의 차이로, 1%가 종목의 차이로 설명된다(TimesFM 1년·가격을 빼면 83% 대 1%).</w:t>
      </w:r>
    </w:p>
    <w:p>
      <w:pPr>
        <w:keepNext w:val="false"/>
        <w:widowControl/>
        <w:spacing w:after="120" w:before="0" w:line="384"/>
        <w:ind w:firstLine="220"/>
        <w:jc w:val="both"/>
      </w:pPr>
      <w:r>
        <w:rPr>
          <w:rFonts w:ascii="바탕" w:cs="바탕" w:eastAsia="바탕" w:hAnsi="바탕"/>
          <w:sz w:val="22"/>
          <w:szCs w:val="22"/>
          <w:lang w:val="en-US" w:eastAsia="ko-KR"/>
        </w:rPr>
        <w:t xml:space="preserve">기준 모형 중 RW 1년은 83.0%로 약간 넓고(미국 84.5%), RW 한 달은 79.6%, GARCH-t는 78.4%이다.</w:t>
      </w:r>
    </w:p>
    <w:p>
      <w:pPr>
        <w:pStyle w:val="Heading2"/>
        <w:keepNext/>
      </w:pPr>
      <w:r>
        <w:rPr>
          <w:rFonts w:ascii="바탕" w:cs="바탕" w:eastAsia="바탕" w:hAnsi="바탕"/>
          <w:lang w:val="en-US" w:eastAsia="ko-KR"/>
        </w:rPr>
        <w:t xml:space="preserve">5.2 과거변동(RW) 대비 분위수 손실 (H5)</w:t>
      </w:r>
    </w:p>
    <w:p>
      <w:pPr>
        <w:keepNext/>
        <w:widowControl/>
        <w:spacing w:after="120" w:before="0" w:line="384"/>
        <w:ind w:firstLine="220"/>
        <w:jc w:val="both"/>
      </w:pPr>
      <w:r>
        <w:rPr>
          <w:rFonts w:ascii="바탕" w:cs="바탕" w:eastAsia="바탕" w:hAnsi="바탕"/>
          <w:sz w:val="22"/>
          <w:szCs w:val="22"/>
          <w:lang w:val="en-US" w:eastAsia="ko-KR"/>
        </w:rPr>
        <w:t xml:space="preserve">커버리지는 구간 하나만 본다. 분포 전체의 정확도는 9개 분위수의 분위수 손실로 본다. H5는 "TSFM이 같은 과거 길이의 RW보다 분위수 손실이 작다"는 가설이다. 결과는 표 5-2와 그림 5-2에 정리하였다.</w:t>
      </w:r>
    </w:p>
    <w:p>
      <w:pPr>
        <w:pStyle w:val="TableCaption"/>
        <w:keepNext/>
        <w:spacing w:after="80" w:before="200" w:line="276"/>
        <w:jc w:val="center"/>
      </w:pPr>
      <w:r>
        <w:rPr>
          <w:rFonts w:ascii="바탕" w:cs="바탕" w:eastAsia="바탕" w:hAnsi="바탕"/>
          <w:sz w:val="19"/>
          <w:szCs w:val="19"/>
          <w:lang w:val="en-US" w:eastAsia="ko-KR"/>
        </w:rPr>
        <w:t xml:space="preserve">표 5-2. RW 대비 분위수 손실 개선율 (양수 = TSFM이 나음)</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2"/>
        <w:gridCol w:w="1437"/>
        <w:gridCol w:w="2406"/>
        <w:gridCol w:w="983"/>
        <w:gridCol w:w="1618"/>
      </w:tblGrid>
      <w:tr>
        <w:trPr>
          <w:cantSplit/>
          <w:tblHeader/>
        </w:trPr>
        <w:tc>
          <w:tcPr>
            <w:tcW w:type="dxa" w:w="149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모델</w:t>
            </w:r>
          </w:p>
        </w:tc>
        <w:tc>
          <w:tcPr>
            <w:tcW w:type="dxa" w:w="143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조건</w:t>
            </w:r>
          </w:p>
        </w:tc>
        <w:tc>
          <w:tcPr>
            <w:tcW w:type="dxa" w:w="2406"/>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RW 대비 손실 개선(%)</w:t>
            </w:r>
          </w:p>
        </w:tc>
        <w:tc>
          <w:tcPr>
            <w:tcW w:type="dxa" w:w="98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Holm p</w:t>
            </w:r>
          </w:p>
        </w:tc>
        <w:tc>
          <w:tcPr>
            <w:tcW w:type="dxa" w:w="161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판정</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-1.7</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1.7e-10</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-5.5</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3.2e-18</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+0.1</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1.0e+00</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차이 없음</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-0.8</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3.2e-02</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-7.3</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1.7e-38</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-5.9</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1.4e-15</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+0.9</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5.4e-05</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유의하나 작음</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-3.2</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1.0e-08</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-4.7</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1.1e-26</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-9.8</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6.5e-27</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-0.1</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1.0e+00</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차이 없음</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-3.7</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1.9e-13</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-3.8</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2.0e-24</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2.5e-16</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+0.3</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2.6e-01</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차이 없음</w:t>
            </w:r>
          </w:p>
        </w:tc>
      </w:tr>
      <w:tr>
        <w:trPr>
          <w:cantSplit/>
          <w:trHeight w:val="296" w:hRule="atLeast"/>
        </w:trPr>
        <w:tc>
          <w:tcPr>
            <w:tcW w:type="dxa" w:w="149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43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2406"/>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-2.2</w:t>
            </w:r>
          </w:p>
        </w:tc>
        <w:tc>
          <w:tcPr>
            <w:tcW w:type="dxa" w:w="98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4.2e-06</w:t>
            </w:r>
          </w:p>
        </w:tc>
        <w:tc>
          <w:tcPr>
            <w:tcW w:type="dxa" w:w="161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bl>
    <w:p>
      <w:pPr>
        <w:spacing w:after="60"/>
      </w:pPr>
    </w:p>
    <w:p>
      <w:pPr>
        <w:spacing w:after="200" w:line="276"/>
        <w:jc w:val="both"/>
      </w:pPr>
      <w:r>
        <w:rPr>
          <w:rFonts w:ascii="바탕" w:cs="바탕" w:eastAsia="바탕" w:hAnsi="바탕"/>
          <w:sz w:val="17"/>
          <w:szCs w:val="17"/>
          <w:lang w:val="en-US" w:eastAsia="ko-KR"/>
        </w:rPr>
        <w:t xml:space="preserve">주: 개선율 = 1 − (TSFM 손실 / RW 손실). 검정은 달력 월별 평균 손실 차이(114개월)의 t검정(양측), Holm 보정(16개 묶음). 판정 기준 2%.</w:t>
      </w:r>
    </w:p>
    <w:p>
      <w:pPr>
        <w:keepNext/>
        <w:spacing w:after="60" w:before="120"/>
        <w:jc w:val="center"/>
      </w:pPr>
      <w:r>
        <w:drawing>
          <wp:inline distT="0" distB="0" distL="0" distR="0">
            <wp:extent cx="5038725"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38725" cy="3495675"/>
                    </a:xfrm>
                    <a:prstGeom prst="rect">
                      <a:avLst/>
                    </a:prstGeom>
                  </pic:spPr>
                </pic:pic>
              </a:graphicData>
            </a:graphic>
          </wp:inline>
        </w:drawing>
      </w:r>
    </w:p>
    <w:p>
      <w:pPr>
        <w:pStyle w:val="FigureCaption"/>
        <w:keepNext/>
        <w:spacing w:after="40" w:before="0" w:line="276"/>
        <w:jc w:val="center"/>
      </w:pPr>
      <w:r>
        <w:rPr>
          <w:rFonts w:ascii="바탕" w:cs="바탕" w:eastAsia="바탕" w:hAnsi="바탕"/>
          <w:sz w:val="19"/>
          <w:szCs w:val="19"/>
          <w:lang w:val="en-US" w:eastAsia="ko-KR"/>
        </w:rPr>
        <w:t xml:space="preserve">그림 5-2. 과거변동(RW) 대비 분위수 손실 개선율(H5)</w:t>
      </w:r>
    </w:p>
    <w:p>
      <w:pPr>
        <w:keepNext w:val="false"/>
        <w:spacing w:after="240" w:line="276"/>
        <w:jc w:val="center"/>
      </w:pPr>
      <w:r>
        <w:rPr>
          <w:rFonts w:ascii="바탕" w:cs="바탕" w:eastAsia="바탕" w:hAnsi="바탕"/>
          <w:sz w:val="17"/>
          <w:szCs w:val="17"/>
          <w:lang w:val="en-US" w:eastAsia="ko-KR"/>
        </w:rPr>
        <w:t xml:space="preserve">진한 막대는 Holm 보정 후 유의</w:t>
      </w:r>
    </w:p>
    <w:p>
      <w:pPr>
        <w:keepNext w:val="false"/>
        <w:widowControl/>
        <w:spacing w:after="120" w:before="0" w:line="384"/>
        <w:ind w:firstLine="220"/>
        <w:jc w:val="both"/>
      </w:pPr>
      <w:r>
        <w:rPr>
          <w:rFonts w:ascii="바탕" w:cs="바탕" w:eastAsia="바탕" w:hAnsi="바탕"/>
          <w:sz w:val="22"/>
          <w:szCs w:val="22"/>
          <w:lang w:val="en-US" w:eastAsia="ko-KR"/>
        </w:rPr>
        <w:t xml:space="preserve">H5는 지지되지 않았다. 16개 조건 중 12개에서 TSFM의 분위수 손실이 RW보다 유의하게 컸고(개선율 −0.8 ~ −9.8%), 3개 조건(Chronos-T5·TimesFM·Moirai-2의 1년·수익률)은 차이가 없었으며, Chronos-2 1년·수익률만 개선율 +0.9%로 손실이 유의하게 작았으나 실질 기준(2%)에는 미치지 못하였다.</w:t>
      </w:r>
    </w:p>
    <w:p>
      <w:pPr>
        <w:keepNext w:val="false"/>
        <w:widowControl/>
        <w:spacing w:after="120" w:before="0" w:line="384"/>
        <w:ind w:firstLine="220"/>
        <w:jc w:val="both"/>
      </w:pPr>
      <w:r>
        <w:rPr>
          <w:rFonts w:ascii="바탕" w:cs="바탕" w:eastAsia="바탕" w:hAnsi="바탕"/>
          <w:sz w:val="22"/>
          <w:szCs w:val="22"/>
          <w:lang w:val="en-US" w:eastAsia="ko-KR"/>
        </w:rPr>
        <w:t xml:space="preserve">이 결과는 다음과 같이 해석할 수 있다. 첫째, 이 결과는 점 예측에서 보고된 결과(Rahimikia 외, 2025; Noguer i Alonso, Franklin, 2026)가 분포 예측에서도 성립함을 보여 준다. 일별 주가 수익률은 방향을 거의 예측할 수 없으므로(5.5.1절의 자기상관 참조), 정답에 가장 가까운 것은 최근 변동 크기를 기반으로 산출한 분포이며, RW가 바로 이에 해당한다. 둘째, 1년 과거를 수익률로 넣은 조건에서는 네 모델 모두 RW와 같은 수준에 도달하였다(−0.1 ~ +0.9%). TSFM은 별도 학습 없이도 이 단순하지만 강한 기준과 같은 정확도를 낼 수 있으나, 그보다 나아지지는 않았다. 반대로 과거 한 달만 보거나 가격을 넣은 12개 조건에서는 RW보다 손실이 0.8~9.8% 컸다.</w:t>
      </w:r>
    </w:p>
    <w:p>
      <w:pPr>
        <w:keepNext w:val="false"/>
        <w:widowControl/>
        <w:spacing w:after="120" w:before="0" w:line="384"/>
        <w:ind w:firstLine="220"/>
        <w:jc w:val="both"/>
      </w:pPr>
      <w:r>
        <w:rPr>
          <w:rFonts w:ascii="바탕" w:cs="바탕" w:eastAsia="바탕" w:hAnsi="바탕"/>
          <w:sz w:val="22"/>
          <w:szCs w:val="22"/>
          <w:lang w:val="en-US" w:eastAsia="ko-KR"/>
        </w:rPr>
        <w:t xml:space="preserve">같은 과거 1년을 쓰는 GARCH-t와 비교하면 결과는 더 분명하다. 미리 정한 가설(H5)에는 들어 있지 않은 추가 분석으로, H5와 같은 방법(같은 종목·날짜로 짝지은 손실 차이의 월 평균에 t검정, Holm 보정)을 적용하였다. GARCH-t 1년의 분위수 손실은 RW 1년보다 1.4% 작아 19개 모델·조건 가운데 가장 작았고, TSFM 1년 조건 8개는 모두 GARCH-t보다 손실이 유의하게 컸다(1년·수익률 0.4~1.5%, 1년·가격 2.2~5.1%). 1년·수익률 조건의 차이는 실질 기준(2%)보다 작아, TSFM은 이 조건에서 RW와 같고 GARCH-t에는 조금 못 미치는 수준이다.</w:t>
      </w:r>
    </w:p>
    <w:p>
      <w:pPr>
        <w:pStyle w:val="Heading2"/>
        <w:keepNext/>
      </w:pPr>
      <w:r>
        <w:rPr>
          <w:rFonts w:ascii="바탕" w:cs="바탕" w:eastAsia="바탕" w:hAnsi="바탕"/>
          <w:lang w:val="en-US" w:eastAsia="ko-KR"/>
        </w:rPr>
        <w:t xml:space="preserve">5.3 모델 공개 이후 기간 점검</w:t>
      </w:r>
    </w:p>
    <w:p>
      <w:pPr>
        <w:keepNext/>
        <w:widowControl/>
        <w:spacing w:after="120" w:before="0" w:line="384"/>
        <w:ind w:firstLine="220"/>
        <w:jc w:val="both"/>
      </w:pPr>
      <w:r>
        <w:rPr>
          <w:rFonts w:ascii="바탕" w:cs="바탕" w:eastAsia="바탕" w:hAnsi="바탕"/>
          <w:sz w:val="22"/>
          <w:szCs w:val="22"/>
          <w:lang w:val="en-US" w:eastAsia="ko-KR"/>
        </w:rPr>
        <w:t xml:space="preserve">TSFM은 대규모 공개 시계열로 사전학습되었으므로, 평가 기간의 주가가 학습 데이터에 들어 있을 수 있다(누출). 이를 점검하기 위해 각 모델이 공개된 이후 기간만 따로 계산하였다(표 5-3).</w:t>
      </w:r>
    </w:p>
    <w:p>
      <w:pPr>
        <w:pStyle w:val="TableCaption"/>
        <w:keepNext/>
        <w:spacing w:after="80" w:before="200" w:line="276"/>
        <w:jc w:val="center"/>
      </w:pPr>
      <w:r>
        <w:rPr>
          <w:rFonts w:ascii="바탕" w:cs="바탕" w:eastAsia="바탕" w:hAnsi="바탕"/>
          <w:sz w:val="19"/>
          <w:szCs w:val="19"/>
          <w:lang w:val="en-US" w:eastAsia="ko-KR"/>
        </w:rPr>
        <w:t xml:space="preserve">표 5-3. 모델 공개 이후 기간의 결과</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9"/>
        <w:gridCol w:w="1200"/>
        <w:gridCol w:w="1430"/>
        <w:gridCol w:w="800"/>
        <w:gridCol w:w="1629"/>
        <w:gridCol w:w="1628"/>
      </w:tblGrid>
      <w:tr>
        <w:trPr>
          <w:cantSplit/>
          <w:tblHeader/>
        </w:trPr>
        <w:tc>
          <w:tcPr>
            <w:tcW w:type="dxa" w:w="124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모델</w:t>
            </w:r>
          </w:p>
        </w:tc>
        <w:tc>
          <w:tcPr>
            <w:tcW w:type="dxa" w:w="120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조건</w:t>
            </w:r>
          </w:p>
        </w:tc>
        <w:tc>
          <w:tcPr>
            <w:tcW w:type="dxa" w:w="143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공개 후 시작일</w:t>
            </w:r>
          </w:p>
        </w:tc>
        <w:tc>
          <w:tcPr>
            <w:tcW w:type="dxa" w:w="80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예측 수</w:t>
            </w:r>
          </w:p>
        </w:tc>
        <w:tc>
          <w:tcPr>
            <w:tcW w:type="dxa" w:w="162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커버리지(%)</w:t>
            </w:r>
          </w:p>
          <w:p>
            <w:pPr>
              <w:keepNext/>
              <w:keepLines/>
              <w:wordWrap w:val="1"/>
              <w:spacing w:after="0" w:before="0" w:line="240"/>
              <w:jc w:val="center"/>
            </w:pPr>
            <w:r>
              <w:rPr>
                <w:rFonts w:ascii="굴림" w:cs="굴림" w:eastAsia="굴림" w:hAnsi="굴림"/>
                <w:b/>
                <w:bCs/>
                <w:sz w:val="16"/>
                <w:szCs w:val="16"/>
                <w:lang w:val="en-US" w:eastAsia="ko-KR"/>
              </w:rPr>
              <w:t xml:space="preserve">(전체 → 공개 후)</w:t>
            </w:r>
          </w:p>
        </w:tc>
        <w:tc>
          <w:tcPr>
            <w:tcW w:type="dxa" w:w="162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RW 대비 개선(%)</w:t>
            </w:r>
          </w:p>
          <w:p>
            <w:pPr>
              <w:keepNext/>
              <w:keepLines/>
              <w:wordWrap w:val="1"/>
              <w:spacing w:after="0" w:before="0" w:line="240"/>
              <w:jc w:val="center"/>
            </w:pPr>
            <w:r>
              <w:rPr>
                <w:rFonts w:ascii="굴림" w:cs="굴림" w:eastAsia="굴림" w:hAnsi="굴림"/>
                <w:b/>
                <w:bCs/>
                <w:sz w:val="16"/>
                <w:szCs w:val="16"/>
                <w:lang w:val="en-US" w:eastAsia="ko-KR"/>
              </w:rPr>
              <w:t xml:space="preserve">(전체 → 공개 후)</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2024-04-01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4,291</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77.8 → 76.8</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 → -1.9</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2024-04-01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4,291</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76.5 → 75.9</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-5.5 → -6.5</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2024-04-01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4,291</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 → 77.5</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+0.1 → -0.5</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2024-04-01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4,291</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76.2 → 74.6</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-0.8 → -2.1</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2025-11-01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1,295</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81.8 → 82.2</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-7.3 → -7.1</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2025-11-01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1,295</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81.1 → 80.7</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-5.9 → -9.1</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2025-11-01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1,295</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79.1 → 78.3</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+0.9 → +0.2</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2025-11-01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1,295</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 → 79.2</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-3.2 → -5.0</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2025-10-01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1,478</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78.2 → 77.0</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-4.7 → -4.5</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2025-10-01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1,478</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77.8 → 77.0</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-9.8 → -13.7</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2025-10-01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1,478</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77.2 → 71.8</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-0.1 → -0.8</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2025-10-01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1,478</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87.7 → 84.0</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-3.7 → -6.6</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2025-09-01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1,678</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77.1 → 75.3</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-3.8 → -3.2</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2025-09-01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1,678</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78.7 → 77.5</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 → -15.4</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2025-09-01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1,678</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79.8 → 76.0</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+0.3 → +0.0</w:t>
            </w:r>
          </w:p>
        </w:tc>
      </w:tr>
      <w:tr>
        <w:trPr>
          <w:cantSplit/>
          <w:trHeight w:val="272" w:hRule="atLeast"/>
        </w:trPr>
        <w:tc>
          <w:tcPr>
            <w:tcW w:type="dxa" w:w="124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6"/>
                <w:szCs w:val="16"/>
                <w:lang w:val="en-US" w:eastAsia="ko-KR"/>
              </w:rPr>
              <w:t xml:space="preserve">Moirai-2</w:t>
            </w:r>
          </w:p>
        </w:tc>
        <w:tc>
          <w:tcPr>
            <w:tcW w:type="dxa" w:w="120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6"/>
                <w:szCs w:val="16"/>
                <w:lang w:val="en-US" w:eastAsia="ko-KR"/>
              </w:rPr>
              <w:t xml:space="preserve">1년·가격</w:t>
            </w:r>
          </w:p>
        </w:tc>
        <w:tc>
          <w:tcPr>
            <w:tcW w:type="dxa" w:w="143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6"/>
                <w:szCs w:val="16"/>
                <w:lang w:val="en-US" w:eastAsia="ko-KR"/>
              </w:rPr>
              <w:t xml:space="preserve">2025-09-01</w:t>
            </w:r>
          </w:p>
        </w:tc>
        <w:tc>
          <w:tcPr>
            <w:tcW w:type="dxa" w:w="80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6"/>
                <w:szCs w:val="16"/>
                <w:lang w:val="en-US" w:eastAsia="ko-KR"/>
              </w:rPr>
              <w:t xml:space="preserve">1,678</w:t>
            </w:r>
          </w:p>
        </w:tc>
        <w:tc>
          <w:tcPr>
            <w:tcW w:type="dxa" w:w="162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6"/>
                <w:szCs w:val="16"/>
                <w:lang w:val="en-US" w:eastAsia="ko-KR"/>
              </w:rPr>
              <w:t xml:space="preserve">82.1 → 80.8</w:t>
            </w:r>
          </w:p>
        </w:tc>
        <w:tc>
          <w:tcPr>
            <w:tcW w:type="dxa" w:w="162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6"/>
                <w:szCs w:val="16"/>
                <w:lang w:val="en-US" w:eastAsia="ko-KR"/>
              </w:rPr>
              <w:t xml:space="preserve">-2.2 → -2.5</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공개 이후에도 패턴은 같다. TimesFM 1년·가격의 과대(84%)가 그대로 나타나고, RW 대비 손실은 전체 기간과 비슷하거나 약간 더 크다. 1년·수익률 조건 중 Chronos-T5(80.0 → 77.5%), TimesFM(77.2 → 71.8%), Moirai-2(79.8 → 76.0%)는 커버리지가 2.5~5.4%p 떨어졌다. 그러나 같은 기간에는 학습 데이터와 무관한 기준 모형도 함께 떨어졌다. 각 모델의 공개 이후 기간에서 RW 1년은 83.0%에서 79.2~81.3%로, GARCH-t는 78.4%에서 74.8~76.6%로 1.8~3.8%p 낮아졌다. 따라서 하락의 대부분은 공개 이후 기간의 시장 상황에서 온 것으로 보인다. 같은 기간 기준 모형과 비교하면 TSFM의 하락이 0.7~2.0%p 더 컸으므로 학습 데이터 중복의 영향을 완전히 배제할 수는 없지만, 공개 이후 기간이 1,300~4,300건(약 1~2.5년)으로 짧아 판단하기 어렵다.</w:t>
      </w:r>
    </w:p>
    <w:p>
      <w:pPr>
        <w:pStyle w:val="Heading2"/>
        <w:keepNext/>
      </w:pPr>
      <w:r>
        <w:rPr>
          <w:rFonts w:ascii="바탕" w:cs="바탕" w:eastAsia="바탕" w:hAnsi="바탕"/>
          <w:lang w:val="en-US" w:eastAsia="ko-KR"/>
        </w:rPr>
        <w:t xml:space="preserve">5.4 합성 데이터 실험과 실증 결과의 대응</w:t>
      </w:r>
    </w:p>
    <w:p>
      <w:pPr>
        <w:keepNext/>
        <w:widowControl/>
        <w:spacing w:after="120" w:before="0" w:line="384"/>
        <w:ind w:firstLine="220"/>
        <w:jc w:val="both"/>
      </w:pPr>
      <w:r>
        <w:rPr>
          <w:rFonts w:ascii="바탕" w:cs="바탕" w:eastAsia="바탕" w:hAnsi="바탕"/>
          <w:sz w:val="22"/>
          <w:szCs w:val="22"/>
          <w:lang w:val="en-US" w:eastAsia="ko-KR"/>
        </w:rPr>
        <w:t xml:space="preserve">제4장의 합성 데이터 실험에서 오차는 대부분 모델·설정에서 오고 금융 특성의 효과는 작았다. 그렇다면 실제 주가의 커버리지는 특성이 하나도 없는 L1의 커버리지로 상당 부분 예측되어야 한다. 분석 결과는 이를 뒷받침한다.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16개 TSFM 조건과 기준 모형 3개를 합한 19개에서 합성 L1 커버리지와 실제 커버리지의 차이는 평균 1.1%p, 최대 3.6%p(RW 1년: 79.4 → 83.0%)이다.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두 값의 상관은 0.90이다. 다만 이 값은 L1에서 크게 벗어난 TimesFM 1년·가격(87.6 → 87.7%) 한 조건의 영향이 커서, 이를 빼면 0.78이다. 이 조건처럼 L1에서 벗어난 조건은 실제 주가에서도 같은 방향, 비슷한 크기로 벗어났다.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비교 기준으로, 모든 조건의 실제 커버리지를 명목 수준 80%로 짐작하면 평균 차이는 2.1%p(TimesFM 1년·가격을 빼면 1.8%p)이다. 합성 L1은 19개 중 12개 조건에서 이보다 실제에 가까웠으나, 조건 수가 적어 이 차이는 통계적으로 확실하지 않다(Wilcoxon 부호순위 검정 p = 0.07). 합성 점검이 분명하게 쓸모 있는 것은 크게 어긋나는 경우이다. TimesFM 1년·가격(87.6 → 87.7%)과 기본 설정 Chronos-T5의 수익률 구간(합성 14~16%, 실제 17~18%, 부록 A.3)은 합성 데이터에서 이미 그대로 드러났다.</w:t>
      </w:r>
    </w:p>
    <w:p>
      <w:pPr>
        <w:keepNext/>
        <w:widowControl/>
        <w:spacing w:after="120" w:before="0" w:line="384"/>
        <w:ind w:firstLine="220"/>
        <w:jc w:val="both"/>
      </w:pPr>
      <w:r>
        <w:rPr>
          <w:rFonts w:ascii="바탕" w:cs="바탕" w:eastAsia="바탕" w:hAnsi="바탕"/>
          <w:sz w:val="22"/>
          <w:szCs w:val="22"/>
          <w:lang w:val="en-US" w:eastAsia="ko-KR"/>
        </w:rPr>
        <w:t xml:space="preserve">그림 5-3은 19개 모델·조건에서 두 커버리지를 비교한 것이다. 점들이 합성과 실제가 같은 값을 뜻하는 대각선 가까이에 모여 있다.</w:t>
      </w:r>
    </w:p>
    <w:p>
      <w:pPr>
        <w:keepNext/>
        <w:spacing w:after="60" w:before="120"/>
        <w:jc w:val="center"/>
      </w:pPr>
      <w:r>
        <w:drawing>
          <wp:inline distT="0" distB="0" distL="0" distR="0">
            <wp:extent cx="50387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38725" cy="4095750"/>
                    </a:xfrm>
                    <a:prstGeom prst="rect">
                      <a:avLst/>
                    </a:prstGeom>
                  </pic:spPr>
                </pic:pic>
              </a:graphicData>
            </a:graphic>
          </wp:inline>
        </w:drawing>
      </w:r>
    </w:p>
    <w:p>
      <w:pPr>
        <w:pStyle w:val="FigureCaption"/>
        <w:keepNext/>
        <w:spacing w:after="40" w:before="0" w:line="276"/>
        <w:jc w:val="center"/>
      </w:pPr>
      <w:r>
        <w:rPr>
          <w:rFonts w:ascii="바탕" w:cs="바탕" w:eastAsia="바탕" w:hAnsi="바탕"/>
          <w:sz w:val="19"/>
          <w:szCs w:val="19"/>
          <w:lang w:val="en-US" w:eastAsia="ko-KR"/>
        </w:rPr>
        <w:t xml:space="preserve">그림 5-3. 특성 없는 합성 데이터(L1)와 실제 10종목의 보정 전 커버리지 비교</w:t>
      </w:r>
    </w:p>
    <w:p>
      <w:pPr>
        <w:keepNext w:val="false"/>
        <w:spacing w:after="240" w:line="276"/>
        <w:jc w:val="center"/>
      </w:pPr>
      <w:r>
        <w:rPr>
          <w:rFonts w:ascii="바탕" w:cs="바탕" w:eastAsia="바탕" w:hAnsi="바탕"/>
          <w:sz w:val="17"/>
          <w:szCs w:val="17"/>
          <w:lang w:val="en-US" w:eastAsia="ko-KR"/>
        </w:rPr>
        <w:t xml:space="preserve">점선은 두 값이 같은 선, 음영은 80% ± 2%p</w:t>
      </w:r>
    </w:p>
    <w:p>
      <w:pPr>
        <w:keepNext w:val="false"/>
        <w:widowControl/>
        <w:spacing w:after="120" w:before="0" w:line="384"/>
        <w:ind w:firstLine="220"/>
        <w:jc w:val="both"/>
      </w:pPr>
      <w:r>
        <w:rPr>
          <w:rFonts w:ascii="바탕" w:cs="바탕" w:eastAsia="바탕" w:hAnsi="바탕"/>
          <w:sz w:val="22"/>
          <w:szCs w:val="22"/>
          <w:lang w:val="en-US" w:eastAsia="ko-KR"/>
        </w:rPr>
        <w:t xml:space="preserve">실제 주가에는 군집·꼬리·국면 전환이 모두 섞여 있는데도, 정규분포(L1)에서 측정한 커버리지와 평균 약 1%p의 차이만을 보인다. 이는 예측구간의 오차를 정하는 것이 금융 특성보다 모델과 입력 설정이라는 제4장의 결론을 실제 데이터가 뒷받침한다는 뜻이다. 또한 실측 기반 합성 데이터 실험이 실제 주가의 커버리지를 평균 1.1%p(최대 3.6%p) 차이로 재현했다는 것은, 새 모델이나 입력 설정을 실제 데이터에 쓰기 전에, 적어도 크게 어긋나는 모델과 설정은 합성 데이터 점검으로 미리 가려낼 수 있다는 뜻이다. 2%p 안쪽의 작은 어긋남까지 합성 점검으로 맞힌다고 보기는 어렵다. 다만 이 대응은 본 연구의 10종목과 80% 구간에서 확인한 것이다.</w:t>
      </w:r>
    </w:p>
    <w:p>
      <w:pPr>
        <w:pStyle w:val="Heading2"/>
        <w:keepNext/>
      </w:pPr>
      <w:r>
        <w:rPr>
          <w:rFonts w:ascii="바탕" w:cs="바탕" w:eastAsia="바탕" w:hAnsi="바탕"/>
          <w:lang w:val="en-US" w:eastAsia="ko-KR"/>
        </w:rPr>
        <w:t xml:space="preserve">5.5 탐색 분석: 예측구간과 투자 성과</w:t>
      </w:r>
    </w:p>
    <w:p>
      <w:pPr>
        <w:pBdr>
          <w:left w:val="single" w:color="999999" w:sz="8" w:space="8"/>
        </w:pBdr>
        <w:spacing w:after="160" w:line="300"/>
        <w:ind w:left="400" w:right="400"/>
      </w:pPr>
      <w:r>
        <w:rPr>
          <w:rFonts w:ascii="바탕" w:cs="바탕" w:eastAsia="바탕" w:hAnsi="바탕"/>
          <w:sz w:val="19"/>
          <w:szCs w:val="19"/>
          <w:lang w:val="en-US" w:eastAsia="ko-KR"/>
        </w:rPr>
        <w:t xml:space="preserve">이 절은 가설 검정과 별개인 탐색 분석이다. 분석 규칙은 계산 전에 별도 분석 계획으로 정해 두었고, 새 예측 없이 본 실행의 실제 주식 예측만 사용하였다.</w:t>
      </w:r>
    </w:p>
    <w:p>
      <w:pPr>
        <w:keepNext w:val="false"/>
        <w:widowControl/>
        <w:spacing w:after="120" w:before="0" w:line="384"/>
        <w:ind w:firstLine="220"/>
        <w:jc w:val="both"/>
      </w:pPr>
      <w:r>
        <w:rPr>
          <w:rFonts w:ascii="바탕" w:cs="바탕" w:eastAsia="바탕" w:hAnsi="바탕"/>
          <w:sz w:val="22"/>
          <w:szCs w:val="22"/>
          <w:lang w:val="en-US" w:eastAsia="ko-KR"/>
        </w:rPr>
        <w:t xml:space="preserve">예측구간의 통계적 평가와 별개로, 그 구간이 실제 투자와 위험 관리 규칙에서 어떻게 작동하는지도 확인할 필요가 있다. 이 절은 "예측구간의 질이 투자 성과와 어떻게 연결되는가"를 세 가지 단순한 규칙으로 살펴본다. 공통 가정은 다음과 같다. 전날까지의 정보로 그날 비중을 정해 전날 종가에 체결하고, 10종목에 같은 금액을 나눈다. 거래비용은 미국 0.01%(한쪽), 한국은 수수료 0.015%(한쪽)에 매도 시 증권거래세·농특세를 날짜별 세율(0.30%에서 시작해 2025년 0.15%, 2026년 0.20%)로 적용하였다. 보정 구간은 실제 운용과 같은 정보 조건이 되도록 종목별로 끊지 않고 연속 적용하였다. 표본은 2017년 2월부터 2026년 9월까지이다.</w:t>
      </w:r>
    </w:p>
    <w:p>
      <w:pPr>
        <w:pStyle w:val="Heading3"/>
        <w:keepNext/>
      </w:pPr>
      <w:r>
        <w:rPr>
          <w:rFonts w:ascii="바탕" w:cs="바탕" w:eastAsia="바탕" w:hAnsi="바탕"/>
          <w:lang w:val="en-US" w:eastAsia="ko-KR"/>
        </w:rPr>
        <w:t xml:space="preserve">5.5.1 방향 매매</w:t>
      </w:r>
    </w:p>
    <w:p>
      <w:pPr>
        <w:keepNext/>
        <w:widowControl/>
        <w:spacing w:after="120" w:before="0" w:line="384"/>
        <w:ind w:firstLine="220"/>
        <w:jc w:val="both"/>
      </w:pPr>
      <w:r>
        <w:rPr>
          <w:rFonts w:ascii="바탕" w:cs="바탕" w:eastAsia="바탕" w:hAnsi="바탕"/>
          <w:sz w:val="22"/>
          <w:szCs w:val="22"/>
          <w:lang w:val="en-US" w:eastAsia="ko-KR"/>
        </w:rPr>
        <w:t xml:space="preserve">규칙: 예측 중앙값(q</w:t>
      </w:r>
      <w:r>
        <w:rPr>
          <w:rFonts w:ascii="바탕" w:cs="바탕" w:eastAsia="바탕" w:hAnsi="바탕"/>
          <w:sz w:val="22"/>
          <w:szCs w:val="22"/>
          <w:vertAlign w:val="subscript"/>
          <w:lang w:val="en-US" w:eastAsia="ko-KR"/>
        </w:rPr>
        <w:t xml:space="preserve">0.5</w:t>
      </w:r>
      <w:r>
        <w:rPr>
          <w:rFonts w:ascii="바탕" w:cs="바탕" w:eastAsia="바탕" w:hAnsi="바탕"/>
          <w:sz w:val="22"/>
          <w:szCs w:val="22"/>
          <w:lang w:val="en-US" w:eastAsia="ko-KR"/>
        </w:rPr>
        <w:t xml:space="preserve">)이 0보다 크면 그날 보유(비중 1), 아니면 현금(비중 0). 결과는 표 5-4와 같다.</w:t>
      </w:r>
    </w:p>
    <w:p>
      <w:pPr>
        <w:pStyle w:val="TableCaption"/>
        <w:keepNext/>
        <w:spacing w:after="80" w:before="200" w:line="276"/>
        <w:jc w:val="center"/>
      </w:pPr>
      <w:r>
        <w:rPr>
          <w:rFonts w:ascii="바탕" w:cs="바탕" w:eastAsia="바탕" w:hAnsi="바탕"/>
          <w:sz w:val="19"/>
          <w:szCs w:val="19"/>
          <w:lang w:val="en-US" w:eastAsia="ko-KR"/>
        </w:rPr>
        <w:t xml:space="preserve">표 5-4. 방향 매매 결과 (10종목 동일비중 포트폴리오)</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4"/>
        <w:gridCol w:w="1056"/>
        <w:gridCol w:w="1075"/>
        <w:gridCol w:w="1075"/>
        <w:gridCol w:w="560"/>
        <w:gridCol w:w="1075"/>
        <w:gridCol w:w="767"/>
        <w:gridCol w:w="1154"/>
      </w:tblGrid>
      <w:tr>
        <w:trPr>
          <w:cantSplit/>
          <w:tblHeader/>
        </w:trPr>
        <w:tc>
          <w:tcPr>
            <w:tcW w:type="dxa" w:w="117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전략</w:t>
            </w:r>
          </w:p>
        </w:tc>
        <w:tc>
          <w:tcPr>
            <w:tcW w:type="dxa" w:w="1056"/>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조건</w:t>
            </w:r>
          </w:p>
        </w:tc>
        <w:tc>
          <w:tcPr>
            <w:tcW w:type="dxa" w:w="107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연수익률(%)</w:t>
            </w:r>
          </w:p>
          <w:p>
            <w:pPr>
              <w:keepNext/>
              <w:keepLines/>
              <w:wordWrap w:val="1"/>
              <w:spacing w:after="0" w:before="0" w:line="240"/>
              <w:jc w:val="center"/>
            </w:pPr>
            <w:r>
              <w:rPr>
                <w:rFonts w:ascii="굴림" w:cs="굴림" w:eastAsia="굴림" w:hAnsi="굴림"/>
                <w:b/>
                <w:bCs/>
                <w:sz w:val="15"/>
                <w:szCs w:val="15"/>
                <w:lang w:val="en-US" w:eastAsia="ko-KR"/>
              </w:rPr>
              <w:t xml:space="preserve">(비용 반영)</w:t>
            </w:r>
          </w:p>
        </w:tc>
        <w:tc>
          <w:tcPr>
            <w:tcW w:type="dxa" w:w="107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연수익률(%)</w:t>
            </w:r>
          </w:p>
          <w:p>
            <w:pPr>
              <w:keepNext/>
              <w:keepLines/>
              <w:wordWrap w:val="1"/>
              <w:spacing w:after="0" w:before="0" w:line="240"/>
              <w:jc w:val="center"/>
            </w:pPr>
            <w:r>
              <w:rPr>
                <w:rFonts w:ascii="굴림" w:cs="굴림" w:eastAsia="굴림" w:hAnsi="굴림"/>
                <w:b/>
                <w:bCs/>
                <w:sz w:val="15"/>
                <w:szCs w:val="15"/>
                <w:lang w:val="en-US" w:eastAsia="ko-KR"/>
              </w:rPr>
              <w:t xml:space="preserve">(비용 제외)</w:t>
            </w:r>
          </w:p>
        </w:tc>
        <w:tc>
          <w:tcPr>
            <w:tcW w:type="dxa" w:w="56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샤프</w:t>
            </w:r>
          </w:p>
        </w:tc>
        <w:tc>
          <w:tcPr>
            <w:tcW w:type="dxa" w:w="107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최대낙폭(%)</w:t>
            </w:r>
          </w:p>
        </w:tc>
        <w:tc>
          <w:tcPr>
            <w:tcW w:type="dxa" w:w="76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평균 비중</w:t>
            </w:r>
          </w:p>
        </w:tc>
        <w:tc>
          <w:tcPr>
            <w:tcW w:type="dxa" w:w="115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연회전율(배)</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계속 보유</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25.4</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25.4</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1.25</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-33.5</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1.00</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3.0</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10.4</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0.30</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-43.5</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0.55</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95</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5.8</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-0.03</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-36.0</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0.45</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93</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5.6</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11.6</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0.53</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-22.2</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0.49</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81</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0.6</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9.1</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0.11</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-36.0</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0.53</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115</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2.1</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8.3</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0.24</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-38.2</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0.49</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81</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3.8</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8.6</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0.40</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-27.5</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0.43</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64</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16.4</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18.4</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1.10</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-25.1</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0.65</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21</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6.0</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11.0</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0.55</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-34.1</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0.51</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64</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2.9</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9.2</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0.31</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-36.6</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0.53</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80</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5.7</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11.8</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0.50</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-32.3</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0.47</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77</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8.3</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11.8</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0.69</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-28.1</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0.58</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47</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3.3</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8.4</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0.34</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-31.5</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0.49</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66</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1.4</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6.9</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0.19</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-41.2</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0.44</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74</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2.5</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7.5</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0.29</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-31.9</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0.41</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66</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6.0</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10.7</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0.51</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-29.7</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0.59</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55</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8.7</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12.9</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0.68</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-34.9</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0.65</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48</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과거변동(RW)</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12.0</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13.9</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0.99</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-29.8</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0.57</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23</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과거변동(RW)</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16.7</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17.1</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1.08</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-25.4</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0.69</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5</w:t>
            </w:r>
          </w:p>
        </w:tc>
      </w:tr>
      <w:tr>
        <w:trPr>
          <w:cantSplit/>
          <w:trHeight w:val="440" w:hRule="atLeast"/>
        </w:trPr>
        <w:tc>
          <w:tcPr>
            <w:tcW w:type="dxa" w:w="117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5"/>
                <w:szCs w:val="15"/>
                <w:lang w:val="en-US" w:eastAsia="ko-KR"/>
              </w:rPr>
              <w:t xml:space="preserve">GARCH-t</w:t>
            </w:r>
          </w:p>
        </w:tc>
        <w:tc>
          <w:tcPr>
            <w:tcW w:type="dxa" w:w="1056"/>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7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5"/>
                <w:szCs w:val="15"/>
                <w:lang w:val="en-US" w:eastAsia="ko-KR"/>
              </w:rPr>
              <w:t xml:space="preserve">20.7</w:t>
            </w:r>
          </w:p>
        </w:tc>
        <w:tc>
          <w:tcPr>
            <w:tcW w:type="dxa" w:w="107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5"/>
                <w:szCs w:val="15"/>
                <w:lang w:val="en-US" w:eastAsia="ko-KR"/>
              </w:rPr>
              <w:t xml:space="preserve">21.2</w:t>
            </w:r>
          </w:p>
        </w:tc>
        <w:tc>
          <w:tcPr>
            <w:tcW w:type="dxa" w:w="56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5"/>
                <w:szCs w:val="15"/>
                <w:lang w:val="en-US" w:eastAsia="ko-KR"/>
              </w:rPr>
              <w:t xml:space="preserve">1.27</w:t>
            </w:r>
          </w:p>
        </w:tc>
        <w:tc>
          <w:tcPr>
            <w:tcW w:type="dxa" w:w="107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5"/>
                <w:szCs w:val="15"/>
                <w:lang w:val="en-US" w:eastAsia="ko-KR"/>
              </w:rPr>
              <w:t xml:space="preserve">-23.1</w:t>
            </w:r>
          </w:p>
        </w:tc>
        <w:tc>
          <w:tcPr>
            <w:tcW w:type="dxa" w:w="76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5"/>
                <w:szCs w:val="15"/>
                <w:lang w:val="en-US" w:eastAsia="ko-KR"/>
              </w:rPr>
              <w:t xml:space="preserve">0.66</w:t>
            </w:r>
          </w:p>
        </w:tc>
        <w:tc>
          <w:tcPr>
            <w:tcW w:type="dxa" w:w="115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5"/>
                <w:szCs w:val="15"/>
                <w:lang w:val="en-US" w:eastAsia="ko-KR"/>
              </w:rPr>
              <w:t xml:space="preserve">4</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모든 TSFM 방향 매매가 계속 보유보다 못하였다. 비용을 넣으면 연 −1.0~16.4%로 계속 보유(25.4%)에 크게 못 미쳤고, 비용을 빼도 5.8~18.4%였다. 방향을 맞힌 비율은 49.3~51.6%로, 매일 "오른다"고 답했을 때의 적중률(실제 상승일 비율 50.1%)과 다르지 않다. 실제 수익률의 하루 자기상관은 종목별로 −0.10~+0.04로, 어제의 움직임이 오늘의 방향을 거의 알려 주지 않는다. 방향 신호가 자주 바뀌어 연 회전율이 21~115배에 달하므로 비용이 성과를 크게 깎는다.</w:t>
      </w:r>
    </w:p>
    <w:p>
      <w:pPr>
        <w:keepNext w:val="false"/>
        <w:widowControl/>
        <w:spacing w:after="120" w:before="0" w:line="384"/>
        <w:ind w:firstLine="220"/>
        <w:jc w:val="both"/>
      </w:pPr>
      <w:r>
        <w:rPr>
          <w:rFonts w:ascii="바탕" w:cs="바탕" w:eastAsia="바탕" w:hAnsi="바탕"/>
          <w:sz w:val="22"/>
          <w:szCs w:val="22"/>
          <w:lang w:val="en-US" w:eastAsia="ko-KR"/>
        </w:rPr>
        <w:t xml:space="preserve">한편 기준 모형 중 RW 1년(연 16.7%)과 GARCH-t(20.7%)의 성과가 TSFM보다 높은 것은 방향을 더 잘 맞혀서가 아니라 규칙이 다르게 작동했기 때문이다. 두 모형의 중앙값은 각각 과거 252일의 평균 수익률과 그 기간에서 추정한 상수 평균이므로, 이 규칙은 지난 1년의 평균 수익률이 양수이면 보유하는 느린 추세추종이 된다. 그래서 연 회전율이 4~5배로 낮고, 상승 종목이 많았던 표본 기간에 오래 보유하여 비용을 덜 내고 상승을 더 누렸다. 과거 21일 평균을 쓰는 RW 한 달은 회전율이 23배로 높아지고 성과도 연 12.0%로 낮아진다.</w:t>
      </w:r>
    </w:p>
    <w:p>
      <w:pPr>
        <w:pStyle w:val="Heading3"/>
        <w:keepNext/>
      </w:pPr>
      <w:r>
        <w:rPr>
          <w:rFonts w:ascii="바탕" w:cs="바탕" w:eastAsia="바탕" w:hAnsi="바탕"/>
          <w:lang w:val="en-US" w:eastAsia="ko-KR"/>
        </w:rPr>
        <w:t xml:space="preserve">5.5.2 변동성 목표 비중 조절</w:t>
      </w:r>
    </w:p>
    <w:p>
      <w:pPr>
        <w:keepNext/>
        <w:widowControl/>
        <w:spacing w:after="120" w:before="0" w:line="384"/>
        <w:ind w:firstLine="220"/>
        <w:jc w:val="both"/>
      </w:pPr>
      <w:r>
        <w:rPr>
          <w:rFonts w:ascii="바탕" w:cs="바탕" w:eastAsia="바탕" w:hAnsi="바탕"/>
          <w:sz w:val="22"/>
          <w:szCs w:val="22"/>
          <w:lang w:val="en-US" w:eastAsia="ko-KR"/>
        </w:rPr>
        <w:t xml:space="preserve">규칙: 80% 구간 폭으로 내일의 변동(σ̂ = 폭 ÷ 2.5631)을 추정하고, 비중을 w = min(1, 1% ÷ σ̂)로 정한다. 하루 변동을 1% 안팎으로 맞추려는 변동성 목표 전략이며, 차입은 하지 않는다. 이 규칙은 방향이 아니라 이 연구가 평가한 대상인 구간의 폭을 직접 쓴다. 결과는 표 5-5와 같다.</w:t>
      </w:r>
    </w:p>
    <w:p>
      <w:pPr>
        <w:pStyle w:val="TableCaption"/>
        <w:keepNext/>
        <w:spacing w:after="80" w:before="200" w:line="276"/>
        <w:jc w:val="center"/>
      </w:pPr>
      <w:r>
        <w:rPr>
          <w:rFonts w:ascii="바탕" w:cs="바탕" w:eastAsia="바탕" w:hAnsi="바탕"/>
          <w:sz w:val="19"/>
          <w:szCs w:val="19"/>
          <w:lang w:val="en-US" w:eastAsia="ko-KR"/>
        </w:rPr>
        <w:t xml:space="preserve">표 5-5. 비중 조절(변동성 목표 1%) 결과 (비용 반영, 원래 구간 / 보정 구간)</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3"/>
        <w:gridCol w:w="1237"/>
        <w:gridCol w:w="1064"/>
        <w:gridCol w:w="1232"/>
        <w:gridCol w:w="1234"/>
        <w:gridCol w:w="1996"/>
      </w:tblGrid>
      <w:tr>
        <w:trPr>
          <w:cantSplit/>
          <w:tblHeader/>
        </w:trPr>
        <w:tc>
          <w:tcPr>
            <w:tcW w:type="dxa" w:w="117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전략</w:t>
            </w:r>
          </w:p>
        </w:tc>
        <w:tc>
          <w:tcPr>
            <w:tcW w:type="dxa" w:w="123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조건</w:t>
            </w:r>
          </w:p>
        </w:tc>
        <w:tc>
          <w:tcPr>
            <w:tcW w:type="dxa" w:w="106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샤프</w:t>
            </w:r>
          </w:p>
        </w:tc>
        <w:tc>
          <w:tcPr>
            <w:tcW w:type="dxa" w:w="123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최대낙폭(%)</w:t>
            </w:r>
          </w:p>
        </w:tc>
        <w:tc>
          <w:tcPr>
            <w:tcW w:type="dxa" w:w="123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실현변동/목표</w:t>
            </w:r>
          </w:p>
        </w:tc>
        <w:tc>
          <w:tcPr>
            <w:tcW w:type="dxa" w:w="1996"/>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RW 대비 샤프 차(보정)</w:t>
            </w:r>
          </w:p>
          <w:p>
            <w:pPr>
              <w:keepNext/>
              <w:keepLines/>
              <w:wordWrap w:val="1"/>
              <w:spacing w:after="0" w:before="0" w:line="240"/>
              <w:jc w:val="center"/>
            </w:pPr>
            <w:r>
              <w:rPr>
                <w:rFonts w:ascii="굴림" w:cs="굴림" w:eastAsia="굴림" w:hAnsi="굴림"/>
                <w:b/>
                <w:bCs/>
                <w:sz w:val="15"/>
                <w:szCs w:val="15"/>
                <w:lang w:val="en-US" w:eastAsia="ko-KR"/>
              </w:rPr>
              <w:t xml:space="preserve">[95% 구간]</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계속 보유</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1.25</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-33.5</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2.26</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1.28 / 1.30</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-21.7 / -21.8</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1.14 / 1.10</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-0.05 [-0.11, +0.02]</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1.17 / 1.15</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-22.4 / -22.1</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1.12 / 1.06</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-0.20 [-0.32, -0.09] ✕</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1.16 / 1.23</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-21.7 / -22.9</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1.12 / 1.12</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-0.09 [-0.16, -0.02] ✕</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1.20 / 1.24</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-25.1 / -23.5</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1.22 / 1.12</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-0.09 [-0.19, +0.00]</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1.30 / 1.33</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-19.0 / -19.8</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0.99 / 1.05</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-0.02 [-0.11, +0.06]</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1.21 / 1.23</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-22.6 / -24.0</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1.03 / 1.07</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-0.12 [-0.27, +0.04]</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1.26 / 1.32</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-21.3 / -22.5</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1.15 / 1.13</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-0.01 [-0.09, +0.07]</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1.20 / 1.25</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-22.6 / -23.5</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1.09 / 1.09</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-0.07 [-0.16, +0.01]</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1.33 / 1.33</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-20.8 / -20.2</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1.09 / 1.07</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-0.02 [-0.08, +0.05]</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1.32 / 1.30</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-20.7 / -21.3</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1.09 / 1.05</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-0.05 [-0.17, +0.07]</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1.27 / 1.31</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-21.1 / -22.0</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1.20 / 1.12</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-0.01 [-0.07, +0.04]</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1.21 / 1.30</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-17.1 / -23.1</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0.88 / 1.10</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-0.03 [-0.12, +0.06]</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1.30 / 1.32</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-22.2 / -20.6</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1.14 / 1.08</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-0.02 [-0.11, +0.06]</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1.20 / 1.21</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-24.9 / -24.4</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1.08 / 1.07</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-0.14 [-0.29, +0.02]</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1.27 / 1.37</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-19.7 / -21.6</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1.12 / 1.13</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+0.04 [-0.01, +0.10]</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1.27 / 1.28</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-20.8 / -22.2</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1.04 / 1.10</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-0.04 [-0.14, +0.05]</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과거변동(RW)</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1.32 / 1.35</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-20.4 / -20.5</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1.12 / 1.12</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비교 기준(한 달)</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과거변동(RW)</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1.18 / 1.33</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-21.4 / -21.0</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1.09 / 1.14</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비교 기준(1년)</w:t>
            </w:r>
          </w:p>
        </w:tc>
      </w:tr>
      <w:tr>
        <w:trPr>
          <w:cantSplit/>
          <w:trHeight w:val="260" w:hRule="atLeast"/>
        </w:trPr>
        <w:tc>
          <w:tcPr>
            <w:tcW w:type="dxa" w:w="117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GARCH-t</w:t>
            </w:r>
          </w:p>
        </w:tc>
        <w:tc>
          <w:tcPr>
            <w:tcW w:type="dxa" w:w="123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6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1.29 / 1.31</w:t>
            </w:r>
          </w:p>
        </w:tc>
        <w:tc>
          <w:tcPr>
            <w:tcW w:type="dxa" w:w="123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-21.0 / -22.6</w:t>
            </w:r>
          </w:p>
        </w:tc>
        <w:tc>
          <w:tcPr>
            <w:tcW w:type="dxa" w:w="123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1.17 / 1.14</w:t>
            </w:r>
          </w:p>
        </w:tc>
        <w:tc>
          <w:tcPr>
            <w:tcW w:type="dxa" w:w="1996"/>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-0.02 [-0.09, +0.05]</w:t>
            </w:r>
          </w:p>
        </w:tc>
      </w:tr>
    </w:tbl>
    <w:p>
      <w:pPr>
        <w:spacing w:after="60"/>
      </w:pPr>
    </w:p>
    <w:p>
      <w:pPr>
        <w:spacing w:after="200" w:line="276"/>
        <w:jc w:val="both"/>
      </w:pPr>
      <w:r>
        <w:rPr>
          <w:rFonts w:ascii="바탕" w:cs="바탕" w:eastAsia="바탕" w:hAnsi="바탕"/>
          <w:sz w:val="17"/>
          <w:szCs w:val="17"/>
          <w:lang w:val="en-US" w:eastAsia="ko-KR"/>
        </w:rPr>
        <w:t xml:space="preserve">주: 각 칸은 '원래 구간 / 보정 구간'. RW 대비는 같은 과거 길이의 RW 보정 구간을 쓴 같은 전략과 비교(달력 월 블록 부트스트랩 2,000회). ✕ = 95% 구간이 0보다 작음(RW보다 낮음), ○ = 0보다 큼(해당 없음). 원래 구간끼리의 비교에서 유의하게 낮은 경우는 Chronos-T5 한 달·가격 1건이다. 계속 보유의 실현변동/목표는 참고값.</w:t>
      </w:r>
    </w:p>
    <w:p>
      <w:pPr>
        <w:keepNext w:val="false"/>
        <w:widowControl/>
        <w:spacing w:after="120" w:before="0" w:line="384"/>
        <w:ind w:firstLine="220"/>
        <w:jc w:val="both"/>
      </w:pPr>
      <w:r>
        <w:rPr>
          <w:rFonts w:ascii="바탕" w:cs="바탕" w:eastAsia="바탕" w:hAnsi="바탕"/>
          <w:sz w:val="22"/>
          <w:szCs w:val="22"/>
          <w:lang w:val="en-US" w:eastAsia="ko-KR"/>
        </w:rPr>
        <w:t xml:space="preserve">비중 조절은 수익률을 낮추는 대신 위험을 크게 줄였다. 계속 보유의 최대 낙폭 −33.5%가 비중 조절에서는 −17~−25%로 줄었고, 샤프 비율은 1.15~1.37로 계속 보유(1.25)와 비슷하거나 높았다. 그러나 TSFM 구간을 쓴 경우가 RW 구간을 쓴 경우보다 나은 조건은 없었고(샤프 차이의 95% 구간이 0보다 큰 경우 0개), 보정 구간 기준으로 Chronos-T5의 2개 조건(한 달·가격, 1년·수익률)에서는 샤프 비율이 유의하게 낮았다(원래 구간 기준으로는 한 달·가격 1개). 5.2절에서 TSFM의 분포 정확도가 RW 수준이었던 것과 같은 결과이다.</w:t>
      </w:r>
    </w:p>
    <w:p>
      <w:pPr>
        <w:keepNext w:val="false"/>
        <w:widowControl/>
        <w:spacing w:after="120" w:before="0" w:line="384"/>
        <w:ind w:firstLine="220"/>
        <w:jc w:val="both"/>
      </w:pPr>
      <w:r>
        <w:rPr>
          <w:rFonts w:ascii="바탕" w:cs="바탕" w:eastAsia="바탕" w:hAnsi="바탕"/>
          <w:sz w:val="22"/>
          <w:szCs w:val="22"/>
          <w:lang w:val="en-US" w:eastAsia="ko-KR"/>
        </w:rPr>
        <w:t xml:space="preserve">여기서 구간이 맞지 않을 때의 비용이 드러난다. TimesFM 1년·가격의 원래 구간은 지나치게 넓어 "내일 변동이 크다"고 판단하므로 평균 비중이 0.47로 가장 낮았고, 실현 변동은 목표의 0.88배, 연수익률은 9.0%로 위험을 덜 쓴 만큼 수익도 낮았다. 같은 예측에 사후보정을 하면 실현 변동이 목표의 1.10배, 연수익률이 11.9%로 다른 조건과 같은 수준이 되었다. 반대로 구간이 크게 좁으면 위험을 과다하게 진다. 기본 샘플링 설정의 Chronos-T5 수익률 구간(커버리지 17~18%)으로 같은 규칙을 쓰면 늘 비중 1을 택해 실현 변동이 목표의 2.2배였고 낙폭도 계속 보유와 비슷하였다(−34%, 부록 A.3). 위험 관리에 쓰는 구간에서 커버리지가 맞지 않으면, 전략은 의도한 위험 수준을 지키지 못한다.</w:t>
      </w:r>
    </w:p>
    <w:p>
      <w:pPr>
        <w:pStyle w:val="Heading3"/>
        <w:keepNext/>
      </w:pPr>
      <w:r>
        <w:rPr>
          <w:rFonts w:ascii="바탕" w:cs="바탕" w:eastAsia="바탕" w:hAnsi="바탕"/>
          <w:lang w:val="en-US" w:eastAsia="ko-KR"/>
        </w:rPr>
        <w:t xml:space="preserve">5.5.3 VaR 10% 백테스트</w:t>
      </w:r>
    </w:p>
    <w:p>
      <w:pPr>
        <w:keepNext/>
        <w:widowControl/>
        <w:spacing w:after="120" w:before="0" w:line="384"/>
        <w:ind w:firstLine="220"/>
        <w:jc w:val="both"/>
      </w:pPr>
      <w:r>
        <w:rPr>
          <w:rFonts w:ascii="바탕" w:cs="바탕" w:eastAsia="바탕" w:hAnsi="바탕"/>
          <w:sz w:val="22"/>
          <w:szCs w:val="22"/>
          <w:lang w:val="en-US" w:eastAsia="ko-KR"/>
        </w:rPr>
        <w:t xml:space="preserve">규칙: 80% 구간의 하단(q</w:t>
      </w:r>
      <w:r>
        <w:rPr>
          <w:rFonts w:ascii="바탕" w:cs="바탕" w:eastAsia="바탕" w:hAnsi="바탕"/>
          <w:sz w:val="22"/>
          <w:szCs w:val="22"/>
          <w:vertAlign w:val="subscript"/>
          <w:lang w:val="en-US" w:eastAsia="ko-KR"/>
        </w:rPr>
        <w:t xml:space="preserve">0.1</w:t>
      </w:r>
      <w:r>
        <w:rPr>
          <w:rFonts w:ascii="바탕" w:cs="바탕" w:eastAsia="바탕" w:hAnsi="바탕"/>
          <w:sz w:val="22"/>
          <w:szCs w:val="22"/>
          <w:lang w:val="en-US" w:eastAsia="ko-KR"/>
        </w:rPr>
        <w:t xml:space="preserve">)을 "10% 확률로만 이보다 더 잃는다"는 위험 한도(VaR 10%)로 쓰고, 실제로 넘은 날의 비율(위반율)을 검정한다. 위반율이 10%인지는 Kupiec 검정, 위반이 몰려 오지 않는지는 Christoffersen 독립성 검정으로 보았다(종목별, 유의수준 5%).</w:t>
      </w:r>
    </w:p>
    <w:p>
      <w:pPr>
        <w:pStyle w:val="TableCaption"/>
        <w:keepNext/>
        <w:spacing w:after="80" w:before="200" w:line="276"/>
        <w:jc w:val="center"/>
      </w:pPr>
      <w:r>
        <w:rPr>
          <w:rFonts w:ascii="바탕" w:cs="바탕" w:eastAsia="바탕" w:hAnsi="바탕"/>
          <w:sz w:val="19"/>
          <w:szCs w:val="19"/>
          <w:lang w:val="en-US" w:eastAsia="ko-KR"/>
        </w:rPr>
        <w:t xml:space="preserve">표 5-6. 위험 한도(VaR 10%) 백테스트 (보정 전 → 보정 후)</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8"/>
        <w:gridCol w:w="1397"/>
        <w:gridCol w:w="1347"/>
        <w:gridCol w:w="1857"/>
        <w:gridCol w:w="1857"/>
      </w:tblGrid>
      <w:tr>
        <w:trPr>
          <w:cantSplit/>
          <w:tblHeader/>
        </w:trPr>
        <w:tc>
          <w:tcPr>
            <w:tcW w:type="dxa" w:w="147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모델</w:t>
            </w:r>
          </w:p>
        </w:tc>
        <w:tc>
          <w:tcPr>
            <w:tcW w:type="dxa" w:w="139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조건</w:t>
            </w:r>
          </w:p>
        </w:tc>
        <w:tc>
          <w:tcPr>
            <w:tcW w:type="dxa" w:w="134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위반율(%)</w:t>
            </w:r>
          </w:p>
          <w:p>
            <w:pPr>
              <w:keepNext/>
              <w:keepLines/>
              <w:wordWrap w:val="1"/>
              <w:spacing w:after="0" w:before="0" w:line="240"/>
              <w:jc w:val="center"/>
            </w:pPr>
            <w:r>
              <w:rPr>
                <w:rFonts w:ascii="굴림" w:cs="굴림" w:eastAsia="굴림" w:hAnsi="굴림"/>
                <w:b/>
                <w:bCs/>
                <w:sz w:val="18"/>
                <w:szCs w:val="18"/>
                <w:lang w:val="en-US" w:eastAsia="ko-KR"/>
              </w:rPr>
              <w:t xml:space="preserve">(목표 10%)</w:t>
            </w:r>
          </w:p>
        </w:tc>
        <w:tc>
          <w:tcPr>
            <w:tcW w:type="dxa" w:w="185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위반율 검정 통과</w:t>
            </w:r>
          </w:p>
          <w:p>
            <w:pPr>
              <w:keepNext/>
              <w:keepLines/>
              <w:wordWrap w:val="1"/>
              <w:spacing w:after="0" w:before="0" w:line="240"/>
              <w:jc w:val="center"/>
            </w:pPr>
            <w:r>
              <w:rPr>
                <w:rFonts w:ascii="굴림" w:cs="굴림" w:eastAsia="굴림" w:hAnsi="굴림"/>
                <w:b/>
                <w:bCs/>
                <w:sz w:val="18"/>
                <w:szCs w:val="18"/>
                <w:lang w:val="en-US" w:eastAsia="ko-KR"/>
              </w:rPr>
              <w:t xml:space="preserve">(종목 수)</w:t>
            </w:r>
          </w:p>
        </w:tc>
        <w:tc>
          <w:tcPr>
            <w:tcW w:type="dxa" w:w="185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독립성 검정 통과</w:t>
            </w:r>
          </w:p>
          <w:p>
            <w:pPr>
              <w:keepNext/>
              <w:keepLines/>
              <w:wordWrap w:val="1"/>
              <w:spacing w:after="0" w:before="0" w:line="240"/>
              <w:jc w:val="center"/>
            </w:pPr>
            <w:r>
              <w:rPr>
                <w:rFonts w:ascii="굴림" w:cs="굴림" w:eastAsia="굴림" w:hAnsi="굴림"/>
                <w:b/>
                <w:bCs/>
                <w:sz w:val="18"/>
                <w:szCs w:val="18"/>
                <w:lang w:val="en-US" w:eastAsia="ko-KR"/>
              </w:rPr>
              <w:t xml:space="preserve">(종목 수)</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11.0 → 10.1</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6 → 10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 → 8</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9.8 → 8.6</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 → 2</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 → 8</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9.8 → 9.7</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 → 10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 → 9</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11.7 → 9.9</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 → 10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 → 9</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8.8 → 9.9</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 → 10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 → 7</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9.3 → 9.5</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 → 7</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 → 3</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10.3 → 10.0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 → 10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 → 9</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9.0 → 9.1</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6 → 7</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 → 6</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10.3 → 9.7</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 → 9</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 → 5</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9.8 → 9.0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 → 5</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 → 0</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11.3 → 10.0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 → 10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 → 10</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5.5 → 9.0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 → 6</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 → 8</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11.9 → 10.5</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 → 10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6 → 7</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10.1 → 9.4</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 → 8</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 → 0</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10.8 → 10.8</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 → 10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 → 10</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9.2 → 10.2</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 → 9</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6 → 9</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과거변동(RW)</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9.8 → 9.9</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 → 10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 → 6</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과거변동(RW)</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8.5 → 10.0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3 → 10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3 → 9</w:t>
            </w:r>
          </w:p>
        </w:tc>
      </w:tr>
      <w:tr>
        <w:trPr>
          <w:cantSplit/>
          <w:trHeight w:val="296" w:hRule="atLeast"/>
        </w:trPr>
        <w:tc>
          <w:tcPr>
            <w:tcW w:type="dxa" w:w="147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GARCH-t</w:t>
            </w:r>
          </w:p>
        </w:tc>
        <w:tc>
          <w:tcPr>
            <w:tcW w:type="dxa" w:w="139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34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10.6 → 9.9</w:t>
            </w:r>
          </w:p>
        </w:tc>
        <w:tc>
          <w:tcPr>
            <w:tcW w:type="dxa" w:w="185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 → 10</w:t>
            </w:r>
          </w:p>
        </w:tc>
        <w:tc>
          <w:tcPr>
            <w:tcW w:type="dxa" w:w="185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 → 10</w:t>
            </w:r>
          </w:p>
        </w:tc>
      </w:tr>
    </w:tbl>
    <w:p>
      <w:pPr>
        <w:spacing w:after="60"/>
      </w:pPr>
    </w:p>
    <w:p>
      <w:pPr>
        <w:spacing w:after="200" w:line="276"/>
        <w:jc w:val="both"/>
      </w:pPr>
      <w:r>
        <w:rPr>
          <w:rFonts w:ascii="바탕" w:cs="바탕" w:eastAsia="바탕" w:hAnsi="바탕"/>
          <w:sz w:val="17"/>
          <w:szCs w:val="17"/>
          <w:lang w:val="en-US" w:eastAsia="ko-KR"/>
        </w:rPr>
        <w:t xml:space="preserve">주: 검정 통과 종목 수는 10개 종목 중 유의수준 5%에서 기각되지 않은 종목의 수. 위반율 검정은 Kupiec, 독립성 검정은 Christoffersen.</w:t>
      </w:r>
    </w:p>
    <w:p>
      <w:pPr>
        <w:keepNext w:val="false"/>
        <w:widowControl/>
        <w:spacing w:after="120" w:before="0" w:line="384"/>
        <w:ind w:firstLine="220"/>
        <w:jc w:val="both"/>
      </w:pPr>
      <w:r>
        <w:rPr>
          <w:rFonts w:ascii="바탕" w:cs="바탕" w:eastAsia="바탕" w:hAnsi="바탕"/>
          <w:sz w:val="22"/>
          <w:szCs w:val="22"/>
          <w:lang w:val="en-US" w:eastAsia="ko-KR"/>
        </w:rPr>
        <w:t xml:space="preserve">결과는 사후보정의 실무적 의미를 보여 준다. 원래 하단의 위반율은 5.5~11.9%로 조건마다 달랐다. 구간이 넓은 TimesFM 1년·가격은 5.5%로 한도가 지나치게 보수적이어서 통과 종목이 없었고, 보정 후 9.0%(6종목 통과)로 다가갔다. 위반이 많은 Moirai-2 한 달·수익률은 11.9%(통과 0종목)에서 10.5%(10종목 통과)로 돌아왔다. 19개 모델·조건 가운데 10종목 중 8종목 이상이 위반율 검정을 통과한 조건은 보정 전 8개에서 보정 후 14개로 늘었고, 보정 후 위반율은 8.6~10.8%였다. 다만 보정 전에 이미 위반율이 맞던 일부 조건(Chronos-T5 한 달·가격, TimesFM 한 달·가격)은 보정 후 위반율이 8.6~9.0%로 오히려 10%보다 낮아져 통과 종목이 줄었다(10 → 2, 10 → 5). 보정은 이탈 기록에 따라 구간을 계속 조정하므로, 이미 맞던 구간에는 작은 흔들림을 더할 수 있다. 반면 한 달·가격 조건(Chronos-2, Moirai-2, TimesFM)은 보정 후에도 위반이 몰려 오는 문제(독립성 통과 0~3종목)가 남았다. 사후보정은 위반의 비율은 맞추지만 위반이 언제 오는지까지는 고치지 못한다.</w:t>
      </w:r>
    </w:p>
    <w:p>
      <w:pPr>
        <w:keepNext/>
        <w:widowControl/>
        <w:spacing w:after="120" w:before="0" w:line="384"/>
        <w:ind w:firstLine="220"/>
        <w:jc w:val="both"/>
      </w:pPr>
      <w:r>
        <w:rPr>
          <w:rFonts w:ascii="바탕" w:cs="바탕" w:eastAsia="바탕" w:hAnsi="바탕"/>
          <w:sz w:val="22"/>
          <w:szCs w:val="22"/>
          <w:lang w:val="en-US" w:eastAsia="ko-KR"/>
        </w:rPr>
        <w:t xml:space="preserve">그림 5-4는 방향 매매와 비중 조절(보정 구간)의 누적 수익을 계속 보유와 비교한 것이다.</w:t>
      </w:r>
    </w:p>
    <w:p>
      <w:pPr>
        <w:keepNext/>
        <w:spacing w:after="60" w:before="120"/>
        <w:jc w:val="center"/>
      </w:pPr>
      <w:r>
        <w:drawing>
          <wp:inline distT="0" distB="0" distL="0" distR="0">
            <wp:extent cx="503872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38725" cy="1809750"/>
                    </a:xfrm>
                    <a:prstGeom prst="rect">
                      <a:avLst/>
                    </a:prstGeom>
                  </pic:spPr>
                </pic:pic>
              </a:graphicData>
            </a:graphic>
          </wp:inline>
        </w:drawing>
      </w:r>
    </w:p>
    <w:p>
      <w:pPr>
        <w:pStyle w:val="FigureCaption"/>
        <w:keepNext w:val="false"/>
        <w:spacing w:after="240" w:before="0" w:line="276"/>
        <w:jc w:val="center"/>
      </w:pPr>
      <w:r>
        <w:rPr>
          <w:rFonts w:ascii="바탕" w:cs="바탕" w:eastAsia="바탕" w:hAnsi="바탕"/>
          <w:sz w:val="19"/>
          <w:szCs w:val="19"/>
          <w:lang w:val="en-US" w:eastAsia="ko-KR"/>
        </w:rPr>
        <w:t xml:space="preserve">그림 5-4. 10종목 동일비중 포트폴리오의 누적 수익(2017-02~2026-09, 탐색 분석)</w:t>
      </w:r>
    </w:p>
    <w:p>
      <w:pPr>
        <w:pStyle w:val="Heading3"/>
        <w:keepNext/>
      </w:pPr>
      <w:r>
        <w:rPr>
          <w:rFonts w:ascii="바탕" w:cs="바탕" w:eastAsia="바탕" w:hAnsi="바탕"/>
          <w:lang w:val="en-US" w:eastAsia="ko-KR"/>
        </w:rPr>
        <w:t xml:space="preserve">5.5.4 해석과 한계</w:t>
      </w:r>
    </w:p>
    <w:p>
      <w:pPr>
        <w:keepNext w:val="false"/>
        <w:widowControl/>
        <w:spacing w:after="120" w:before="0" w:line="384"/>
        <w:ind w:firstLine="220"/>
        <w:jc w:val="both"/>
      </w:pPr>
      <w:r>
        <w:rPr>
          <w:rFonts w:ascii="바탕" w:cs="바탕" w:eastAsia="바탕" w:hAnsi="바탕"/>
          <w:sz w:val="22"/>
          <w:szCs w:val="22"/>
          <w:lang w:val="en-US" w:eastAsia="ko-KR"/>
        </w:rPr>
        <w:t xml:space="preserve">세 분석을 합치면 다음과 같다. 예측 중앙값의 부호로 매매하는 단순 규칙으로는 거래비용을 반영한 뒤 계속 보유를 넘는 수익을 내기 어려웠다(5.5.1절). 그러나 예측구간을 위험 크기 측정에 쓰면 낙폭을 줄이는 실질적 효과가 있었다(5.5.2절). 이 효과는 TSFM 구간과 RW 구간이 비슷하였고(RW보다 나은 조건 없음), 구간의 커버리지가 맞을 때에만 의도대로 나타났다(5.5.2~5.5.3절). 이것이 이 연구가 방향이 아닌 예측구간을 평가한 이유이며, 제6장의 사후보정이 실무적으로 중요한 이유이다.</w:t>
      </w:r>
    </w:p>
    <w:p>
      <w:pPr>
        <w:keepNext w:val="false"/>
        <w:widowControl/>
        <w:spacing w:after="120" w:before="0" w:line="384"/>
        <w:ind w:firstLine="220"/>
        <w:jc w:val="both"/>
      </w:pPr>
      <w:r>
        <w:rPr>
          <w:rFonts w:ascii="바탕" w:cs="바탕" w:eastAsia="바탕" w:hAnsi="바탕"/>
          <w:sz w:val="22"/>
          <w:szCs w:val="22"/>
          <w:lang w:val="en-US" w:eastAsia="ko-KR"/>
        </w:rPr>
        <w:t xml:space="preserve">이 분석은 탐색적이며 다음 한계가 있다. 전날 종가 체결은 실제보다 유리한 가정이고, 시장 충격 비용과 세금 외 비용은 넣지 않았다. 대상은 2017년 기준 대형주 10종목이며 표본 기간에 강세장(계속 보유 연 25.4%)이 포함되어 있어, 현금 비중을 갖는 전략은 수익률에서 불리할 수밖에 없다.</w:t>
      </w:r>
    </w:p>
    <w:p>
      <w:pPr>
        <w:pStyle w:val="Heading2"/>
        <w:keepNext/>
      </w:pPr>
      <w:r>
        <w:rPr>
          <w:rFonts w:ascii="바탕" w:cs="바탕" w:eastAsia="바탕" w:hAnsi="바탕"/>
          <w:lang w:val="en-US" w:eastAsia="ko-KR"/>
        </w:rPr>
        <w:t xml:space="preserve">5.6 소결</w:t>
      </w:r>
    </w:p>
    <w:p>
      <w:pPr>
        <w:keepNext/>
        <w:widowControl/>
        <w:spacing w:after="120" w:before="0" w:line="384"/>
        <w:ind w:firstLine="220"/>
        <w:jc w:val="both"/>
      </w:pPr>
      <w:r>
        <w:rPr>
          <w:rFonts w:ascii="바탕" w:cs="바탕" w:eastAsia="바탕" w:hAnsi="바탕"/>
          <w:sz w:val="22"/>
          <w:szCs w:val="22"/>
          <w:lang w:val="en-US" w:eastAsia="ko-KR"/>
        </w:rPr>
        <w:t xml:space="preserve">두 번째 연구 질문(RQ2)에 대한 실증 결과를 요약하면 다음과 같다.</w:t>
      </w:r>
    </w:p>
    <w:p>
      <w:pPr>
        <w:keepNext/>
        <w:keepLines/>
        <w:widowControl/>
        <w:spacing w:after="60" w:line="384"/>
        <w:ind w:left="360" w:hanging="360"/>
        <w:jc w:val="both"/>
      </w:pPr>
      <w:r>
        <w:rPr>
          <w:rFonts w:ascii="바탕" w:cs="바탕" w:eastAsia="바탕" w:hAnsi="바탕"/>
          <w:sz w:val="22"/>
          <w:szCs w:val="22"/>
          <w:lang w:val="en-US" w:eastAsia="ko-KR"/>
        </w:rPr>
        <w:t xml:space="preserve">1. 실제 주가에서도 오차는 모델과 입력 설정에서 온다. 실제 10종목의 보정 전 커버리지는 76~88%로, 특성 없는 합성 데이터(L1)의 커버리지와 평균 1.1%p(최대 3.6%p) 차이였다. 미국과 한국, 종목 간 차이는 모델·조건 간 차이보다 작았다(5.1절, 5.4절).</w:t>
      </w:r>
    </w:p>
    <w:p>
      <w:pPr>
        <w:keepNext/>
        <w:keepLines/>
        <w:widowControl/>
        <w:spacing w:after="60" w:line="384"/>
        <w:ind w:left="360" w:hanging="360"/>
        <w:jc w:val="both"/>
      </w:pPr>
      <w:r>
        <w:rPr>
          <w:rFonts w:ascii="바탕" w:cs="바탕" w:eastAsia="바탕" w:hAnsi="바탕"/>
          <w:sz w:val="22"/>
          <w:szCs w:val="22"/>
          <w:lang w:val="en-US" w:eastAsia="ko-KR"/>
        </w:rPr>
        <w:t xml:space="preserve">2. 분포 정확도는 RW 수준이다. 분위수 손실은 16개 조건 중 12개에서 RW보다 컸고, 네 모델 모두 1년·수익률 조건에서 RW와 같은 수준이었다(H5 미지지). 변동성 군집을 직접 모형화하는 GARCH-t보다는 1년 조건 모두 손실이 컸다(0.4~5.1%). 모델 공개 이후 기간만 보아도 같았다(5.2~5.3절).</w:t>
      </w:r>
    </w:p>
    <w:p>
      <w:pPr>
        <w:keepNext w:val="false"/>
        <w:keepLines/>
        <w:widowControl/>
        <w:spacing w:after="60" w:line="384"/>
        <w:ind w:left="360" w:hanging="360"/>
        <w:jc w:val="both"/>
      </w:pPr>
      <w:r>
        <w:rPr>
          <w:rFonts w:ascii="바탕" w:cs="바탕" w:eastAsia="바탕" w:hAnsi="바탕"/>
          <w:sz w:val="22"/>
          <w:szCs w:val="22"/>
          <w:lang w:val="en-US" w:eastAsia="ko-KR"/>
        </w:rPr>
        <w:t xml:space="preserve">3. 예측구간은 위험 측정에 쓸 때 의미가 있다. 탐색 분석에서 중앙값 부호로 매매하는 규칙은 계속 보유보다 못했지만, 구간 폭으로 비중을 조절하면 최대 낙폭이 −33.5%에서 −17~−25%로 줄었다. 이 효과는 구간의 커버리지가 맞을 때에만 의도대로 나타났다(5.5절).</w:t>
      </w:r>
    </w:p>
    <w:p>
      <w:pPr>
        <w:keepNext w:val="false"/>
        <w:widowControl/>
        <w:spacing w:after="120" w:before="0" w:line="384"/>
        <w:ind w:firstLine="220"/>
        <w:jc w:val="both"/>
      </w:pPr>
      <w:r>
        <w:rPr>
          <w:rFonts w:ascii="바탕" w:cs="바탕" w:eastAsia="바탕" w:hAnsi="바탕"/>
          <w:sz w:val="22"/>
          <w:szCs w:val="22"/>
          <w:lang w:val="en-US" w:eastAsia="ko-KR"/>
        </w:rPr>
        <w:t xml:space="preserve">이 결과는 제6장의 질문으로 이어진다. 오차가 모델과 설정에서 온다면, 모델을 고치지 않고 출력 구간만 조정해 이를 바로잡을 수 있는가?</w:t>
      </w:r>
    </w:p>
    <w:p>
      <w:pPr>
        <w:pStyle w:val="Heading1"/>
        <w:keepNext/>
        <w:pageBreakBefore/>
      </w:pPr>
      <w:r>
        <w:rPr>
          <w:rFonts w:ascii="바탕" w:cs="바탕" w:eastAsia="바탕" w:hAnsi="바탕"/>
          <w:lang w:val="en-US" w:eastAsia="ko-KR"/>
        </w:rPr>
        <w:t xml:space="preserve">제6장 사후보정을 통한 커버리지 복원 (RQ3)</w:t>
      </w:r>
    </w:p>
    <w:p>
      <w:pPr>
        <w:keepNext w:val="false"/>
        <w:widowControl/>
        <w:spacing w:after="120" w:before="0" w:line="384"/>
        <w:ind w:firstLine="220"/>
        <w:jc w:val="both"/>
      </w:pPr>
      <w:r>
        <w:rPr>
          <w:rFonts w:ascii="바탕" w:cs="바탕" w:eastAsia="바탕" w:hAnsi="바탕"/>
          <w:sz w:val="22"/>
          <w:szCs w:val="22"/>
          <w:lang w:val="en-US" w:eastAsia="ko-KR"/>
        </w:rPr>
        <w:t xml:space="preserve">제4장과 제5장에서 TSFM 예측구간의 커버리지는 모델·입력 설정에 따라 75%에서 88%까지 다양하였고, 16개 조건 중 절반이 실질 기준을 벗어났다. 오차의 원인이 모델 내부에 있다면 모델을 고치거나 다시 학습시켜야 할 것처럼 보이지만, 실무에서 사전학습 모델을 고치는 것은 어렵다. 본 장에서는 모델은 그대로 두고 출력 구간만 조정하는 사후보정(ACI-CQR, 3.5절)이 이 오차를 바로잡는지를 검증한다(H6). 6.1절은 합성 데이터, 6.2절은 실제 주식, 6.3절은 보정의 비용(구간 폭), 6.4절은 대조군, 6.5절은 GARCH-t 비정상 값 2건의 민감도를 다룬다.</w:t>
      </w:r>
    </w:p>
    <w:p>
      <w:pPr>
        <w:keepNext w:val="false"/>
        <w:widowControl/>
        <w:spacing w:after="120" w:before="0" w:line="384"/>
        <w:ind w:firstLine="220"/>
        <w:jc w:val="both"/>
      </w:pPr>
      <w:r>
        <w:rPr>
          <w:rFonts w:ascii="바탕" w:cs="바탕" w:eastAsia="바탕" w:hAnsi="바탕"/>
          <w:sz w:val="22"/>
          <w:szCs w:val="22"/>
          <w:lang w:val="en-US" w:eastAsia="ko-KR"/>
        </w:rPr>
        <w:t xml:space="preserve">판정 기준(실험 전에 정함): 보정 후 커버리지의 90% 신뢰구간이 [77%, 83%] 안에 완전히 들어오면 "복원"이다. 여기서 복원은 채점 기간 전체의 평균(비조건부) 커버리지를 기준으로 한 것이며, 위반이 특정 시기에 몰려 오는지(조건부 커버리지)는 이 판정에 포함되지 않는다. 이 문제는 5.5.3절의 독립성 검정 결과와 함께 6.6절에서 다룬다.</w:t>
      </w:r>
    </w:p>
    <w:p>
      <w:pPr>
        <w:pStyle w:val="Heading2"/>
        <w:keepNext/>
      </w:pPr>
      <w:r>
        <w:rPr>
          <w:rFonts w:ascii="바탕" w:cs="바탕" w:eastAsia="바탕" w:hAnsi="바탕"/>
          <w:lang w:val="en-US" w:eastAsia="ko-KR"/>
        </w:rPr>
        <w:t xml:space="preserve">6.1 합성 데이터에서의 보정 결과</w:t>
      </w:r>
    </w:p>
    <w:p>
      <w:pPr>
        <w:pStyle w:val="TableCaption"/>
        <w:keepNext/>
        <w:spacing w:after="80" w:before="200" w:line="276"/>
        <w:jc w:val="center"/>
      </w:pPr>
      <w:r>
        <w:rPr>
          <w:rFonts w:ascii="바탕" w:cs="바탕" w:eastAsia="바탕" w:hAnsi="바탕"/>
          <w:sz w:val="19"/>
          <w:szCs w:val="19"/>
          <w:lang w:val="en-US" w:eastAsia="ko-KR"/>
        </w:rPr>
        <w:t xml:space="preserve">표 6-1. 합성 데이터의 보정 전후 커버리지 (17개 시나리오의 범위)</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2"/>
        <w:gridCol w:w="1170"/>
        <w:gridCol w:w="983"/>
        <w:gridCol w:w="983"/>
        <w:gridCol w:w="1010"/>
        <w:gridCol w:w="958"/>
        <w:gridCol w:w="1590"/>
      </w:tblGrid>
      <w:tr>
        <w:trPr>
          <w:cantSplit/>
          <w:tblHeader/>
        </w:trPr>
        <w:tc>
          <w:tcPr>
            <w:tcW w:type="dxa" w:w="124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모델</w:t>
            </w:r>
          </w:p>
        </w:tc>
        <w:tc>
          <w:tcPr>
            <w:tcW w:type="dxa" w:w="117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조건</w:t>
            </w:r>
          </w:p>
        </w:tc>
        <w:tc>
          <w:tcPr>
            <w:tcW w:type="dxa" w:w="98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보정 전(%)</w:t>
            </w:r>
          </w:p>
        </w:tc>
        <w:tc>
          <w:tcPr>
            <w:tcW w:type="dxa" w:w="98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보정 후(%)</w:t>
            </w:r>
          </w:p>
        </w:tc>
        <w:tc>
          <w:tcPr>
            <w:tcW w:type="dxa" w:w="101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복원 시나리오</w:t>
            </w:r>
          </w:p>
        </w:tc>
        <w:tc>
          <w:tcPr>
            <w:tcW w:type="dxa" w:w="95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대조군(%)</w:t>
            </w:r>
          </w:p>
        </w:tc>
        <w:tc>
          <w:tcPr>
            <w:tcW w:type="dxa" w:w="159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폭 배율(보정/원래)</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75.3~78.6</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80.0~80.4</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82.0~84.7</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1.14~1.24</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74.5~78.1</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79.8~80.4</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81.7~83.8</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1.14~1.24</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78.1~81.1</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80.0~80.4</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81.6~85.3</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1.04~1.17</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74.4~77.5</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80.0~80.4</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81.8~84.9</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1.14~1.28</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80.5~82.0</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80.0~80.3</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82.2~84.9</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1.01~1.10</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79.2~81.2</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80.1~80.3</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82.2~84.2</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1.06~1.12</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77.1~80.8</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80.1~80.4</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81.7~85.0</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1.06~1.18</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77.3~83.0</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80.1~80.5</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81.1~84.5</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0.99~1.15</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76.5~79.5</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79.9~80.4</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82.1~84.7</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1.10~1.22</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76.0~79.1</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80.2~80.5</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82.2~84.6</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1.12~1.24</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77.3~80.0</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80.0~80.4</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81.5~85.7</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1.04~1.28</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86.8~88.4</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80.2~80.5</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81.3~84.6</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0.81~0.92</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75.7~78.8</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80.2~80.4</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82.5~84.5</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1.14~1.22</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75.4~80.4</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79.8~80.5</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81.9~84.4</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1.08~1.22</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79.7~82.0</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80.0~80.3</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81.8~85.5</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1.01~1.16</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77.8~81.1</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80.1~80.7</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81.6~84.4</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1.05~1.19</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과거변동(RW)</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75.9~82.0</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80.2~80.4</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82.1~84.4</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1.03~1.17</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과거변동(RW)</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79.4~86.4</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80.0~80.3</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81.4~85.3</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0.87~1.06</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GARCH-t</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78.4~80.1</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80.0~80.4</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67.2~85.2</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0.74~1.16</w:t>
            </w:r>
          </w:p>
        </w:tc>
      </w:tr>
      <w:tr>
        <w:trPr>
          <w:cantSplit/>
          <w:trHeight w:val="272" w:hRule="atLeast"/>
        </w:trPr>
        <w:tc>
          <w:tcPr>
            <w:tcW w:type="dxa" w:w="124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오라클 모형</w:t>
            </w:r>
          </w:p>
        </w:tc>
        <w:tc>
          <w:tcPr>
            <w:tcW w:type="dxa" w:w="117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w:t>
            </w:r>
          </w:p>
        </w:tc>
        <w:tc>
          <w:tcPr>
            <w:tcW w:type="dxa" w:w="98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79.3~80.2</w:t>
            </w:r>
          </w:p>
        </w:tc>
        <w:tc>
          <w:tcPr>
            <w:tcW w:type="dxa" w:w="98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80.1~80.4</w:t>
            </w:r>
          </w:p>
        </w:tc>
        <w:tc>
          <w:tcPr>
            <w:tcW w:type="dxa" w:w="101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81.6~83.3</w:t>
            </w:r>
          </w:p>
        </w:tc>
        <w:tc>
          <w:tcPr>
            <w:tcW w:type="dxa" w:w="159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1.05~1.09</w:t>
            </w:r>
          </w:p>
        </w:tc>
      </w:tr>
    </w:tbl>
    <w:p>
      <w:pPr>
        <w:spacing w:after="60"/>
      </w:pPr>
    </w:p>
    <w:p>
      <w:pPr>
        <w:spacing w:after="200" w:line="276"/>
        <w:jc w:val="both"/>
      </w:pPr>
      <w:r>
        <w:rPr>
          <w:rFonts w:ascii="바탕" w:cs="바탕" w:eastAsia="바탕" w:hAnsi="바탕"/>
          <w:sz w:val="17"/>
          <w:szCs w:val="17"/>
          <w:lang w:val="en-US" w:eastAsia="ko-KR"/>
        </w:rPr>
        <w:t xml:space="preserve">주: 폭 배율 = 보정 후 평균 폭 ÷ 보정 전 평균 폭. 대조군은 6.4절 참조.</w:t>
      </w:r>
    </w:p>
    <w:p>
      <w:pPr>
        <w:keepNext w:val="false"/>
        <w:widowControl/>
        <w:spacing w:after="120" w:before="0" w:line="384"/>
        <w:ind w:firstLine="220"/>
        <w:jc w:val="both"/>
      </w:pPr>
      <w:r>
        <w:rPr>
          <w:rFonts w:ascii="바탕" w:cs="바탕" w:eastAsia="바탕" w:hAnsi="바탕"/>
          <w:sz w:val="22"/>
          <w:szCs w:val="22"/>
          <w:lang w:val="en-US" w:eastAsia="ko-KR"/>
        </w:rPr>
        <w:t xml:space="preserve">모든 경우가 복원되었다. TSFM 16개 조건 × 17개 시나리오 = 272개, 기준 모형 3개를 더한 323개, 오라클 모형까지 340개 모두에서 보정 후 커버리지는 79.8~80.7%였다. 보정 전 74%(Chronos-T5 가격)든 88%(TimesFM 1년·가격)든, 각 금융 특성의 강도와 무관하게 모두 80% 수준으로 복원되었다. 기본 샘플링 설정에서 14%로 무너졌던 Chronos-T5 수익률 구간도 보정 후 80%로 돌아왔다(부록 A.3).</w:t>
      </w:r>
    </w:p>
    <w:p>
      <w:pPr>
        <w:keepNext/>
        <w:widowControl/>
        <w:spacing w:after="120" w:before="0" w:line="384"/>
        <w:ind w:firstLine="220"/>
        <w:jc w:val="both"/>
      </w:pPr>
      <w:r>
        <w:rPr>
          <w:rFonts w:ascii="바탕" w:cs="바탕" w:eastAsia="바탕" w:hAnsi="바탕"/>
          <w:sz w:val="22"/>
          <w:szCs w:val="22"/>
          <w:lang w:val="en-US" w:eastAsia="ko-KR"/>
        </w:rPr>
        <w:t xml:space="preserve">특히 중요한 것은 방향이 반대인 두 오차를 같은 방법이 고쳤다는 점이다. 구간이 너무 좁은 경우(Chronos-T5 가격, 한 달 조건들)에는 넓히고, 너무 넓은 경우(TimesFM 1년·가격)에는 좁혔다(폭 배율 0.81~0.92). 사후보정은 구간을 일률적으로 넓히는 방법이 아니라 실제 이탈 기록에 따라 양방향으로 조정하는 방법이다. 그림 6-1은 모델·조건별 보정 전후 커버리지를 합성 데이터와 실제 주식에 대해 함께 보여 준다.</w:t>
      </w:r>
    </w:p>
    <w:p>
      <w:pPr>
        <w:keepNext/>
        <w:spacing w:after="60" w:before="120"/>
        <w:jc w:val="center"/>
      </w:pPr>
      <w:r>
        <w:drawing>
          <wp:inline distT="0" distB="0" distL="0" distR="0">
            <wp:extent cx="50387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38725" cy="2524125"/>
                    </a:xfrm>
                    <a:prstGeom prst="rect">
                      <a:avLst/>
                    </a:prstGeom>
                  </pic:spPr>
                </pic:pic>
              </a:graphicData>
            </a:graphic>
          </wp:inline>
        </w:drawing>
      </w:r>
    </w:p>
    <w:p>
      <w:pPr>
        <w:pStyle w:val="FigureCaption"/>
        <w:keepNext/>
        <w:spacing w:after="40" w:before="0" w:line="276"/>
        <w:jc w:val="center"/>
      </w:pPr>
      <w:r>
        <w:rPr>
          <w:rFonts w:ascii="바탕" w:cs="바탕" w:eastAsia="바탕" w:hAnsi="바탕"/>
          <w:sz w:val="19"/>
          <w:szCs w:val="19"/>
          <w:lang w:val="en-US" w:eastAsia="ko-KR"/>
        </w:rPr>
        <w:t xml:space="preserve">그림 6-1. 사후보정(ACI-CQR) 전후 커버리지</w:t>
      </w:r>
    </w:p>
    <w:p>
      <w:pPr>
        <w:keepNext w:val="false"/>
        <w:spacing w:after="240" w:line="276"/>
        <w:jc w:val="center"/>
      </w:pPr>
      <w:r>
        <w:rPr>
          <w:rFonts w:ascii="바탕" w:cs="바탕" w:eastAsia="바탕" w:hAnsi="바탕"/>
          <w:sz w:val="17"/>
          <w:szCs w:val="17"/>
          <w:lang w:val="en-US" w:eastAsia="ko-KR"/>
        </w:rPr>
        <w:t xml:space="preserve">빈 점은 보정 전, 찬 점은 보정 후</w:t>
      </w:r>
    </w:p>
    <w:p>
      <w:pPr>
        <w:pStyle w:val="Heading2"/>
        <w:keepNext/>
      </w:pPr>
      <w:r>
        <w:rPr>
          <w:rFonts w:ascii="바탕" w:cs="바탕" w:eastAsia="바탕" w:hAnsi="바탕"/>
          <w:lang w:val="en-US" w:eastAsia="ko-KR"/>
        </w:rPr>
        <w:t xml:space="preserve">6.2 실제 주식에서의 보정 결과</w:t>
      </w:r>
    </w:p>
    <w:p>
      <w:pPr>
        <w:keepNext/>
        <w:widowControl/>
        <w:spacing w:after="120" w:before="0" w:line="384"/>
        <w:ind w:firstLine="220"/>
        <w:jc w:val="both"/>
      </w:pPr>
      <w:r>
        <w:rPr>
          <w:rFonts w:ascii="바탕" w:cs="바탕" w:eastAsia="바탕" w:hAnsi="바탕"/>
          <w:sz w:val="22"/>
          <w:szCs w:val="22"/>
          <w:lang w:val="en-US" w:eastAsia="ko-KR"/>
        </w:rPr>
        <w:t xml:space="preserve">실제 10종목의 보정 전후 커버리지는 표 6-2와 같다.</w:t>
      </w:r>
    </w:p>
    <w:p>
      <w:pPr>
        <w:pStyle w:val="TableCaption"/>
        <w:keepNext/>
        <w:spacing w:after="80" w:before="200" w:line="276"/>
        <w:jc w:val="center"/>
      </w:pPr>
      <w:r>
        <w:rPr>
          <w:rFonts w:ascii="바탕" w:cs="바탕" w:eastAsia="바탕" w:hAnsi="바탕"/>
          <w:sz w:val="19"/>
          <w:szCs w:val="19"/>
          <w:lang w:val="en-US" w:eastAsia="ko-KR"/>
        </w:rPr>
        <w:t xml:space="preserve">표 6-2. 실제 10종목의 보정 전후 커버리지</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2"/>
        <w:gridCol w:w="1019"/>
        <w:gridCol w:w="652"/>
        <w:gridCol w:w="1663"/>
        <w:gridCol w:w="498"/>
        <w:gridCol w:w="958"/>
        <w:gridCol w:w="830"/>
        <w:gridCol w:w="1074"/>
      </w:tblGrid>
      <w:tr>
        <w:trPr>
          <w:cantSplit/>
          <w:tblHeader/>
        </w:trPr>
        <w:tc>
          <w:tcPr>
            <w:tcW w:type="dxa" w:w="124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모델</w:t>
            </w:r>
          </w:p>
        </w:tc>
        <w:tc>
          <w:tcPr>
            <w:tcW w:type="dxa" w:w="101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조건</w:t>
            </w:r>
          </w:p>
        </w:tc>
        <w:tc>
          <w:tcPr>
            <w:tcW w:type="dxa" w:w="65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보정 전(%)</w:t>
            </w:r>
          </w:p>
        </w:tc>
        <w:tc>
          <w:tcPr>
            <w:tcW w:type="dxa" w:w="166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보정 후(%)</w:t>
            </w:r>
          </w:p>
          <w:p>
            <w:pPr>
              <w:keepNext/>
              <w:keepLines/>
              <w:wordWrap w:val="1"/>
              <w:spacing w:after="0" w:before="0" w:line="240"/>
              <w:jc w:val="center"/>
            </w:pPr>
            <w:r>
              <w:rPr>
                <w:rFonts w:ascii="굴림" w:cs="굴림" w:eastAsia="굴림" w:hAnsi="굴림"/>
                <w:b/>
                <w:bCs/>
                <w:sz w:val="16"/>
                <w:szCs w:val="16"/>
                <w:lang w:val="en-US" w:eastAsia="ko-KR"/>
              </w:rPr>
              <w:t xml:space="preserve">[90% 구간]</w:t>
            </w:r>
          </w:p>
        </w:tc>
        <w:tc>
          <w:tcPr>
            <w:tcW w:type="dxa" w:w="49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판정</w:t>
            </w:r>
          </w:p>
        </w:tc>
        <w:tc>
          <w:tcPr>
            <w:tcW w:type="dxa" w:w="95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대조군(%)</w:t>
            </w:r>
          </w:p>
        </w:tc>
        <w:tc>
          <w:tcPr>
            <w:tcW w:type="dxa" w:w="83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연속 보정(%)</w:t>
            </w:r>
          </w:p>
        </w:tc>
        <w:tc>
          <w:tcPr>
            <w:tcW w:type="dxa" w:w="107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폭 배율(연속)</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77.8</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 [79.6, 80.8]</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83.1</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1.11</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76.5</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 [79.6, 80.6]</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83.0</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1.14</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 [79.6, 80.8]</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82.8</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1.05</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76.2</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 [79.5, 80.8]</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83.2</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1.18</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81.8</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 [79.6, 80.7]</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83.2</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1.00</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81.1</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 [79.6, 80.5]</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83.1</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1.02</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79.1</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 [79.5, 80.7]</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83.2</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1.08</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 [79.7, 80.8]</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82.8</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1.05</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78.2</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 [79.5, 80.8]</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82.8</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1.09</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77.8</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 [79.7, 80.7]</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83.1</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1.12</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77.2</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 [79.6, 80.9]</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83.1</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79.9</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1.12</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87.7</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 [79.6, 80.8]</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82.9</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0.83</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77.1</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 [79.6, 80.8]</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83.3</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1.12</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78.7</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 [79.6, 80.7]</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83.2</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1.08</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79.8</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80.3 [79.6, 80.9]</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83.3</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1.06</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82.1</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79.9 [79.4, 80.4]</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83.5</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1.01</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과거변동(RW)</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79.6</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 [79.3, 80.8]</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82.9</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1.04</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과거변동(RW)</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83.0</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 [79.4, 80.9]</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82.5</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79.8</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0.96</w:t>
            </w:r>
          </w:p>
        </w:tc>
      </w:tr>
      <w:tr>
        <w:trPr>
          <w:cantSplit/>
          <w:trHeight w:val="464" w:hRule="atLeast"/>
        </w:trPr>
        <w:tc>
          <w:tcPr>
            <w:tcW w:type="dxa" w:w="124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GARCH-t</w:t>
            </w:r>
          </w:p>
        </w:tc>
        <w:tc>
          <w:tcPr>
            <w:tcW w:type="dxa" w:w="101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65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78.4</w:t>
            </w:r>
          </w:p>
        </w:tc>
        <w:tc>
          <w:tcPr>
            <w:tcW w:type="dxa" w:w="166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 [79.5, 80.7]</w:t>
            </w:r>
          </w:p>
        </w:tc>
        <w:tc>
          <w:tcPr>
            <w:tcW w:type="dxa" w:w="49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83.2</w:t>
            </w:r>
          </w:p>
        </w:tc>
        <w:tc>
          <w:tcPr>
            <w:tcW w:type="dxa" w:w="83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1.10</w:t>
            </w:r>
          </w:p>
        </w:tc>
      </w:tr>
    </w:tbl>
    <w:p>
      <w:pPr>
        <w:spacing w:after="60"/>
      </w:pPr>
    </w:p>
    <w:p>
      <w:pPr>
        <w:spacing w:after="200" w:line="276"/>
        <w:jc w:val="both"/>
      </w:pPr>
      <w:r>
        <w:rPr>
          <w:rFonts w:ascii="바탕" w:cs="바탕" w:eastAsia="바탕" w:hAnsi="바탕"/>
          <w:sz w:val="17"/>
          <w:szCs w:val="17"/>
          <w:lang w:val="en-US" w:eastAsia="ko-KR"/>
        </w:rPr>
        <w:t xml:space="preserve">주: 보정 후 90% 구간은 달력 월 클러스터 부트스트랩 2,000회. 연속 보정은 에피소드를 끊지 않고 종목별로 처음부터 끝까지 이어서 적용한 보조 분석(23,932건). 폭 배율은 연속 보정 기준.</w:t>
      </w:r>
    </w:p>
    <w:p>
      <w:pPr>
        <w:keepNext w:val="false"/>
        <w:widowControl/>
        <w:spacing w:after="120" w:before="0" w:line="384"/>
        <w:ind w:firstLine="220"/>
        <w:jc w:val="both"/>
      </w:pPr>
      <w:r>
        <w:rPr>
          <w:rFonts w:ascii="바탕" w:cs="바탕" w:eastAsia="바탕" w:hAnsi="바탕"/>
          <w:sz w:val="22"/>
          <w:szCs w:val="22"/>
          <w:lang w:val="en-US" w:eastAsia="ko-KR"/>
        </w:rPr>
        <w:t xml:space="preserve">실제 주가에서도 19개 모델·조건이 모두 복원되었다(보정 후 79.9~80.3%). 미국과 한국을 나눠 보아도 19개 모두 복원이다(미국 79.8~80.2%, 한국 79.9~80.4%). 에피소드를 끊지 않고 이어서 보정한 경우에도 79.8~80.0%로, 사후보정의 효과는 에피소드 길이 설정에 의존하지 않는다. 갱신 속도 γ에도 민감하지 않았다. 추가 민감도 분석으로 γ를 0.005~0.1로 바꾸어도 실제 19개 모델·조건이 모두 복원되었고(보정 후 79.8~80.9%), γ가 클수록 구간이 이탈에 빨리 반응하는 대신 평균 폭이 조금 넓어졌다(에피소드 보정의 폭 배율 0.84~1.19배 → 0.90~1.27배, 부록 A.4).</w:t>
      </w:r>
    </w:p>
    <w:p>
      <w:pPr>
        <w:keepNext w:val="false"/>
        <w:widowControl/>
        <w:spacing w:after="120" w:before="0" w:line="384"/>
        <w:ind w:firstLine="220"/>
        <w:jc w:val="both"/>
      </w:pPr>
      <w:r>
        <w:rPr>
          <w:rFonts w:ascii="바탕" w:cs="바탕" w:eastAsia="바탕" w:hAnsi="바탕"/>
          <w:sz w:val="22"/>
          <w:szCs w:val="22"/>
          <w:lang w:val="en-US" w:eastAsia="ko-KR"/>
        </w:rPr>
        <w:t xml:space="preserve">이로써 RQ3의 핵심 가설 H6은 합성·실제 모두에서 예외 없이 지지되었다. 제4장과 제5장의 결론과 합치면, TSFM 예측구간의 오차는 크고 모델·설정마다 방향이 다르지만, 그 오차는 단순한 사후보정으로 일관되게 고칠 수 있다.</w:t>
      </w:r>
    </w:p>
    <w:p>
      <w:pPr>
        <w:pStyle w:val="Heading2"/>
        <w:keepNext/>
      </w:pPr>
      <w:r>
        <w:rPr>
          <w:rFonts w:ascii="바탕" w:cs="바탕" w:eastAsia="바탕" w:hAnsi="바탕"/>
          <w:lang w:val="en-US" w:eastAsia="ko-KR"/>
        </w:rPr>
        <w:t xml:space="preserve">6.3 보정에 따른 구간 폭 변화</w:t>
      </w:r>
    </w:p>
    <w:p>
      <w:pPr>
        <w:keepNext w:val="false"/>
        <w:widowControl/>
        <w:spacing w:after="120" w:before="0" w:line="384"/>
        <w:ind w:firstLine="220"/>
        <w:jc w:val="both"/>
      </w:pPr>
      <w:r>
        <w:rPr>
          <w:rFonts w:ascii="바탕" w:cs="바탕" w:eastAsia="바탕" w:hAnsi="바탕"/>
          <w:sz w:val="22"/>
          <w:szCs w:val="22"/>
          <w:lang w:val="en-US" w:eastAsia="ko-KR"/>
        </w:rPr>
        <w:t xml:space="preserve">커버리지를 복원하는 데에는 구간 폭의 확대가 수반되며, 이를 원래 구간과 이상적인 구간의 두 기준으로 비교하였다.</w:t>
      </w:r>
    </w:p>
    <w:p>
      <w:pPr>
        <w:keepNext/>
        <w:widowControl/>
        <w:spacing w:after="120" w:before="0" w:line="384"/>
        <w:ind w:firstLine="220"/>
        <w:jc w:val="both"/>
      </w:pPr>
      <w:r>
        <w:rPr>
          <w:rFonts w:ascii="바탕" w:cs="바탕" w:eastAsia="바탕" w:hAnsi="바탕"/>
          <w:sz w:val="22"/>
          <w:szCs w:val="22"/>
          <w:lang w:val="en-US" w:eastAsia="ko-KR"/>
        </w:rPr>
        <w:t xml:space="preserve">① 원래 구간과 비교(폭 배율, 표 6-1·6-2)</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이미 목표에 가까웠던 조건(Chronos-2, Moirai-2 1년 등)은 폭이 거의 변하지 않았다(1.0~1.2배). 보정은 필요 없는 곳에서 구간을 크게 바꾸지 않는다.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약간 좁았던 조건(TSFM 한 달 조건 대부분, Chronos-T5 가격)은 1.1~1.3배 넓어졌다.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너무 넓었던 TimesFM 1년·가격은 0.8~0.9배로 좁아졌다. 보정으로 목표에 맞으면서 더 좁은 구간을 얻었다.</w:t>
      </w:r>
    </w:p>
    <w:p>
      <w:pPr>
        <w:keepNext w:val="false"/>
        <w:widowControl/>
        <w:spacing w:after="120" w:before="0" w:line="384"/>
        <w:ind w:firstLine="220"/>
        <w:jc w:val="both"/>
      </w:pPr>
      <w:r>
        <w:rPr>
          <w:rFonts w:ascii="바탕" w:cs="바탕" w:eastAsia="바탕" w:hAnsi="바탕"/>
          <w:sz w:val="22"/>
          <w:szCs w:val="22"/>
          <w:lang w:val="en-US" w:eastAsia="ko-KR"/>
        </w:rPr>
        <w:t xml:space="preserve">② 이상적인 구간과 비교(합성 데이터, 오라클 모형 폭 대비)</w:t>
      </w:r>
    </w:p>
    <w:p>
      <w:pPr>
        <w:keepNext w:val="false"/>
        <w:widowControl/>
        <w:spacing w:after="120" w:before="0" w:line="384"/>
        <w:ind w:firstLine="220"/>
        <w:jc w:val="both"/>
      </w:pPr>
      <w:r>
        <w:rPr>
          <w:rFonts w:ascii="바탕" w:cs="바탕" w:eastAsia="바탕" w:hAnsi="바탕"/>
          <w:sz w:val="22"/>
          <w:szCs w:val="22"/>
          <w:lang w:val="en-US" w:eastAsia="ko-KR"/>
        </w:rPr>
        <w:t xml:space="preserve">합성 데이터에서는 참 분포를 알므로 "80%를 맞추는 가장 좁은 구간"인 오라클 모형의 폭과 비교할 수 있다. 보정 후 TSFM 구간의 폭은 시나리오에 따라 오라클 모형의 1.05~1.48배였다. 보정된 구간은 80%를 맞추지만 이상적인 구간보다 5~48% 넓다. 과거 1년 조건(1.05~1.24배)이 한 달 조건(1.14~1.48배)보다 이상에 가까웠고, 오라클 모형 자체에 보정을 적용한 경우도 1.05~1.09배로 약간 넓어졌다. 이 차이는 정확한 구간을 모르는 상태에서 과거 이탈 기록만으로 80%를 맞추는 데 따르는 비용이다.</w:t>
      </w:r>
    </w:p>
    <w:p>
      <w:pPr>
        <w:keepNext w:val="false"/>
        <w:widowControl/>
        <w:spacing w:after="120" w:before="0" w:line="384"/>
        <w:ind w:firstLine="220"/>
        <w:jc w:val="both"/>
      </w:pPr>
      <w:r>
        <w:rPr>
          <w:rFonts w:ascii="바탕" w:cs="바탕" w:eastAsia="바탕" w:hAnsi="바탕"/>
          <w:sz w:val="22"/>
          <w:szCs w:val="22"/>
          <w:lang w:val="en-US" w:eastAsia="ko-KR"/>
        </w:rPr>
        <w:t xml:space="preserve">다만 이 비용 비교는 80% 구간의 상·하한(양 끝 분위수)에 한정된 결과이다. 보정은 나머지 분위수를 바꾸지 않으므로 분포 전체의 정확도(제5장 H5)는 개선되지 않는다. 또한 보정 후 구간의 폭은 원래 폭에 그날의 공통 배율(1 + 2 × 점수 분위수)을 곱한 것이므로(3.5.1절), 날마다 폭이 상대적으로 넓어지고 좁아지는 양상은 원래 모델의 것을 그대로 따른다. 보정은 평균 수준을 80%에 맞출 뿐 변동의 변화를 따라가는 능력을 더해 주지는 않는다. 변동성 목표 전략에서 보정한 Chronos-T5 구간이 2개 조건(한 달·가격, 1년·수익률)에서 같은 과거 길이의 RW보다 샤프 비율이 유의하게 낮았던 것(표 5-5, −0.20, −0.09)은 이 때문으로 해석된다.</w:t>
      </w:r>
    </w:p>
    <w:p>
      <w:pPr>
        <w:pStyle w:val="Heading2"/>
        <w:keepNext/>
      </w:pPr>
      <w:r>
        <w:rPr>
          <w:rFonts w:ascii="바탕" w:cs="바탕" w:eastAsia="바탕" w:hAnsi="바탕"/>
          <w:lang w:val="en-US" w:eastAsia="ko-KR"/>
        </w:rPr>
        <w:t xml:space="preserve">6.4 일괄 확대 대조군과의 비교</w:t>
      </w:r>
    </w:p>
    <w:p>
      <w:pPr>
        <w:keepNext w:val="false"/>
        <w:widowControl/>
        <w:spacing w:after="120" w:before="0" w:line="384"/>
        <w:ind w:firstLine="220"/>
        <w:jc w:val="both"/>
      </w:pPr>
      <w:r>
        <w:rPr>
          <w:rFonts w:ascii="바탕" w:cs="바탕" w:eastAsia="바탕" w:hAnsi="바탕"/>
          <w:sz w:val="22"/>
          <w:szCs w:val="22"/>
          <w:lang w:val="en-US" w:eastAsia="ko-KR"/>
        </w:rPr>
        <w:t xml:space="preserve">보정의 효과가 단순히 구간을 넓힌 결과인지 확인하기 위해, 원래 구간을 일괄 확대해 평균 폭을 보정 후 구간과 같게 만든 대조군과 비교하였다(3.5.2절). 대조군의 배율은 결과를 본 뒤에야 알 수 있는 값이므로, 대조군은 미래 정보를 일부 쓴, 보정보다 유리한 비교 대상에 해당한다.</w:t>
      </w:r>
    </w:p>
    <w:p>
      <w:pPr>
        <w:keepNext w:val="false"/>
        <w:widowControl/>
        <w:spacing w:after="120" w:before="0" w:line="384"/>
        <w:ind w:firstLine="220"/>
        <w:jc w:val="both"/>
      </w:pPr>
      <w:r>
        <w:rPr>
          <w:rFonts w:ascii="바탕" w:cs="바탕" w:eastAsia="바탕" w:hAnsi="바탕"/>
          <w:sz w:val="22"/>
          <w:szCs w:val="22"/>
          <w:lang w:val="en-US" w:eastAsia="ko-KR"/>
        </w:rPr>
        <w:t xml:space="preserve">대조군의 커버리지는 합성 81~86%, 실제 82~83%로 80%보다 높았다(표 6-1, 6-2). 같은 평균 폭으로 더 많이 맞혔다는 뜻이므로, 폭을 쓰는 효율만 보면 일괄 확대가 보정보다 낫다. 보정은 이탈 기록에 따라 매일 폭을 넓히고 좁히는데, 이 흔들림의 일부는 커버리지에 기여하지 못하고 폭만 늘린다.</w:t>
      </w:r>
    </w:p>
    <w:p>
      <w:pPr>
        <w:keepNext w:val="false"/>
        <w:widowControl/>
        <w:spacing w:after="120" w:before="0" w:line="384"/>
        <w:ind w:firstLine="220"/>
        <w:jc w:val="both"/>
      </w:pPr>
      <w:r>
        <w:rPr>
          <w:rFonts w:ascii="바탕" w:cs="바탕" w:eastAsia="바탕" w:hAnsi="바탕"/>
          <w:sz w:val="22"/>
          <w:szCs w:val="22"/>
          <w:lang w:val="en-US" w:eastAsia="ko-KR"/>
        </w:rPr>
        <w:t xml:space="preserve">그러나 일괄 확대는 실제로는 쓸 수 없다. 몇 배로 넓혀야 하는지는 결과를 보기 전에는 알 수 없고, 필요한 배율은 모델·조건에 따라 0.8배에서 1.3배까지 다르며 좁혀야 하는 경우와 넓혀야 하는 경우가 섞여 있다(6.3절). 기본 샘플링 설정의 Chronos-T5 수익률처럼 구간이 무너진 경우에는 8~9배로 넓혀야 했다(부록 A.3). 보정의 가치는 이 배율을 모르는 상태에서 매일의 실제값만 보고 80%에 도달한다는 데 있다. 동시에 이 결과는 보정의 폭 효율을 높일 여지가 있음을 보여 준다(제7장 향후 연구).</w:t>
      </w:r>
    </w:p>
    <w:p>
      <w:pPr>
        <w:keepNext w:val="false"/>
        <w:widowControl/>
        <w:spacing w:after="120" w:before="0" w:line="384"/>
        <w:ind w:firstLine="220"/>
        <w:jc w:val="both"/>
      </w:pPr>
      <w:r>
        <w:rPr>
          <w:rFonts w:ascii="바탕" w:cs="바탕" w:eastAsia="바탕" w:hAnsi="바탕"/>
          <w:sz w:val="22"/>
          <w:szCs w:val="22"/>
          <w:lang w:val="en-US" w:eastAsia="ko-KR"/>
        </w:rPr>
        <w:t xml:space="preserve">한편 표 6-1에서 GARCH-t의 합성 대조군 최솟값이 67.2%로 낮게 나타난 것은 6.5절에서 다룰 비정상 추정치 2건이 평균 폭과 확대 배율을 왜곡한 결과이다.</w:t>
      </w:r>
    </w:p>
    <w:p>
      <w:pPr>
        <w:pStyle w:val="Heading2"/>
        <w:keepNext/>
      </w:pPr>
      <w:r>
        <w:rPr>
          <w:rFonts w:ascii="바탕" w:cs="바탕" w:eastAsia="바탕" w:hAnsi="바탕"/>
          <w:lang w:val="en-US" w:eastAsia="ko-KR"/>
        </w:rPr>
        <w:t xml:space="preserve">6.5 GARCH-t 비정상 값에 대한 민감도 분석</w:t>
      </w:r>
    </w:p>
    <w:p>
      <w:pPr>
        <w:keepNext/>
        <w:widowControl/>
        <w:spacing w:after="120" w:before="0" w:line="384"/>
        <w:ind w:firstLine="220"/>
        <w:jc w:val="both"/>
      </w:pPr>
      <w:r>
        <w:rPr>
          <w:rFonts w:ascii="바탕" w:cs="바탕" w:eastAsia="바탕" w:hAnsi="바탕"/>
          <w:sz w:val="22"/>
          <w:szCs w:val="22"/>
          <w:lang w:val="en-US" w:eastAsia="ko-KR"/>
        </w:rPr>
        <w:t xml:space="preserve">4.1절에서 밝혔듯 GARCH-t는 합성 데이터 136,000건 중 2건(전환크기 L3 계열 79의 66일째, 꼬리 L2 계열 86의 64일째)에서 추정 실패로 구간 끝이 −25,042 또는 1,954만 같은 값을 냈다. 사전에 정한 대체 규칙(유한하지 않음, 분산 ≤ 0, ν ≤ 2)에 걸리지 않는 형태였으며, 두 건 모두 채점일이다. 민감도 분석으로 이 2건만 같은 날의 RW 1년 예측으로 바꾸어 다시 계산하였다(표 6-3).</w:t>
      </w:r>
    </w:p>
    <w:p>
      <w:pPr>
        <w:pStyle w:val="TableCaption"/>
        <w:keepNext/>
        <w:spacing w:after="80" w:before="200" w:line="276"/>
        <w:jc w:val="center"/>
      </w:pPr>
      <w:r>
        <w:rPr>
          <w:rFonts w:ascii="바탕" w:cs="바탕" w:eastAsia="바탕" w:hAnsi="바탕"/>
          <w:sz w:val="19"/>
          <w:szCs w:val="19"/>
          <w:lang w:val="en-US" w:eastAsia="ko-KR"/>
        </w:rPr>
        <w:t xml:space="preserve">표 6-3. GARCH-t 비정상 값 2건 대체 전후 비교 (합성 데이터 17개 시나리오 전체)</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3"/>
        <w:gridCol w:w="2942"/>
        <w:gridCol w:w="1831"/>
      </w:tblGrid>
      <w:tr>
        <w:trPr>
          <w:cantSplit/>
          <w:tblHeader/>
        </w:trPr>
        <w:tc>
          <w:tcPr>
            <w:tcW w:type="dxa" w:w="316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항목</w:t>
            </w:r>
          </w:p>
        </w:tc>
        <w:tc>
          <w:tcPr>
            <w:tcW w:type="dxa" w:w="294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정해 둔 규칙 그대로</w:t>
            </w:r>
          </w:p>
        </w:tc>
        <w:tc>
          <w:tcPr>
            <w:tcW w:type="dxa" w:w="1831"/>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2건 대체</w:t>
            </w:r>
          </w:p>
        </w:tc>
      </w:tr>
      <w:tr>
        <w:trPr>
          <w:cantSplit/>
          <w:trHeight w:val="296" w:hRule="atLeast"/>
        </w:trPr>
        <w:tc>
          <w:tcPr>
            <w:tcW w:type="dxa" w:w="31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커버리지</w:t>
            </w:r>
          </w:p>
        </w:tc>
        <w:tc>
          <w:tcPr>
            <w:tcW w:type="dxa" w:w="29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79.31%</w:t>
            </w:r>
          </w:p>
        </w:tc>
        <w:tc>
          <w:tcPr>
            <w:tcW w:type="dxa" w:w="18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79.31%</w:t>
            </w:r>
          </w:p>
        </w:tc>
      </w:tr>
      <w:tr>
        <w:trPr>
          <w:cantSplit/>
          <w:trHeight w:val="296" w:hRule="atLeast"/>
        </w:trPr>
        <w:tc>
          <w:tcPr>
            <w:tcW w:type="dxa" w:w="31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평균 구간 폭(%p)</w:t>
            </w:r>
          </w:p>
        </w:tc>
        <w:tc>
          <w:tcPr>
            <w:tcW w:type="dxa" w:w="29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17,318</w:t>
            </w:r>
          </w:p>
        </w:tc>
        <w:tc>
          <w:tcPr>
            <w:tcW w:type="dxa" w:w="18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4.87</w:t>
            </w:r>
          </w:p>
        </w:tc>
      </w:tr>
      <w:tr>
        <w:trPr>
          <w:cantSplit/>
          <w:trHeight w:val="296" w:hRule="atLeast"/>
        </w:trPr>
        <w:tc>
          <w:tcPr>
            <w:tcW w:type="dxa" w:w="316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평균 분위수 손실(×100)</w:t>
            </w:r>
          </w:p>
        </w:tc>
        <w:tc>
          <w:tcPr>
            <w:tcW w:type="dxa" w:w="294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8"/>
                <w:szCs w:val="18"/>
                <w:lang w:val="en-US" w:eastAsia="ko-KR"/>
              </w:rPr>
              <w:t xml:space="preserve">3,953</w:t>
            </w:r>
          </w:p>
        </w:tc>
        <w:tc>
          <w:tcPr>
            <w:tcW w:type="dxa" w:w="1831"/>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8"/>
                <w:szCs w:val="18"/>
                <w:lang w:val="en-US" w:eastAsia="ko-KR"/>
              </w:rPr>
              <w:t xml:space="preserve">0.612</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커버리지는 사실상 같고, 평균 폭과 손실 같은 평균값만 2건에 의해 크게 왜곡되었다. 가설 검정(H1~H5)에는 GARCH-t를 쓰지 않았으므로 결론은 바뀌지 않는다. 본문 표의 GARCH-t 커버리지는 그대로 사용하며, 평균 폭·손실이 필요한 곳에는 대체 후 값을 함께 적는다.</w:t>
      </w:r>
    </w:p>
    <w:p>
      <w:pPr>
        <w:pStyle w:val="Heading2"/>
        <w:keepNext/>
      </w:pPr>
      <w:r>
        <w:rPr>
          <w:rFonts w:ascii="바탕" w:cs="바탕" w:eastAsia="바탕" w:hAnsi="바탕"/>
          <w:lang w:val="en-US" w:eastAsia="ko-KR"/>
        </w:rPr>
        <w:t xml:space="preserve">6.6 실무적 의미</w:t>
      </w:r>
    </w:p>
    <w:p>
      <w:pPr>
        <w:keepNext w:val="false"/>
        <w:widowControl/>
        <w:spacing w:after="120" w:before="0" w:line="384"/>
        <w:ind w:firstLine="220"/>
        <w:jc w:val="both"/>
      </w:pPr>
      <w:r>
        <w:rPr>
          <w:rFonts w:ascii="바탕" w:cs="바탕" w:eastAsia="바탕" w:hAnsi="바탕"/>
          <w:sz w:val="22"/>
          <w:szCs w:val="22"/>
          <w:lang w:val="en-US" w:eastAsia="ko-KR"/>
        </w:rPr>
        <w:t xml:space="preserve">제5.5절의 탐색 분석은 보정의 의미를 투자 규칙으로 보여 준다. VaR 10% 백테스트에서 위반율 검정을 8종목 이상 통과한 조건은 보정 전 8개에서 보정 후 14개로 늘었고, 지나치게 넓던 TimesFM 1년·가격의 위반율은 5.5%에서 9.0%로, 위반이 많던 Moirai-2 한 달·수익률은 11.9%에서 10.5%로 10%에 다가갔다. 변동성 목표 전략에서는 보정 후 실현 변동이 모든 모델·조건에서 목표의 1.05~1.14배였다. 기본 샘플링 설정의 Chronos-T5 수익률처럼 구간이 무너진 경우에는 위반율이 40% 안팎에서 10% 수준으로, 실현 변동이 목표의 2.2배에서 1.1배로 돌아왔다(부록 A.3). 사후보정은 통계 지표만이 아니라 구간을 실제로 쓰는 의사결정에서도 오차를 바로잡는다.</w:t>
      </w:r>
    </w:p>
    <w:p>
      <w:pPr>
        <w:keepNext w:val="false"/>
        <w:widowControl/>
        <w:spacing w:after="120" w:before="0" w:line="384"/>
        <w:ind w:firstLine="220"/>
        <w:jc w:val="both"/>
      </w:pPr>
      <w:r>
        <w:rPr>
          <w:rFonts w:ascii="바탕" w:cs="바탕" w:eastAsia="바탕" w:hAnsi="바탕"/>
          <w:sz w:val="22"/>
          <w:szCs w:val="22"/>
          <w:lang w:val="en-US" w:eastAsia="ko-KR"/>
        </w:rPr>
        <w:t xml:space="preserve">반면 사후보정의 한계도 확인된다. 보정은 위반의 비율은 맞추지만 위반이 몰려 오는 문제(한 달·가격 조건)는 고치지 못했고, 80% 구간의 양 끝만 조정할 뿐 나머지 분위수(중앙값 등)는 바꾸지 않으므로 분포 전체의 정확도(H5)를 높이지는 않는다. 한편 1년·수익률 조건에서는 보정 후 4개 TSFM 모두 위반율 검정(10종목)과 독립성 검정(9~10종목)을 함께 통과하여 보정의 효과가 가장 안정적이었다(표 5-6).</w:t>
      </w:r>
    </w:p>
    <w:p>
      <w:pPr>
        <w:keepNext/>
        <w:widowControl/>
        <w:spacing w:after="120" w:before="0" w:line="384"/>
        <w:ind w:firstLine="220"/>
        <w:jc w:val="both"/>
      </w:pPr>
      <w:r>
        <w:rPr>
          <w:rFonts w:ascii="바탕" w:cs="바탕" w:eastAsia="바탕" w:hAnsi="바탕"/>
          <w:sz w:val="22"/>
          <w:szCs w:val="22"/>
          <w:lang w:val="en-US" w:eastAsia="ko-KR"/>
        </w:rPr>
        <w:t xml:space="preserve">평균 커버리지만으로 복원을 판정하면 평온기의 과대와 위기의 과소가 서로 상쇄되어도 80%가 될 수 있다. 이를 확인하기 위해 실제 10종목의 예측을 종목·달력 월별 실현 변동성(그달 일별 수익률의 표준편차)의 5분위로 나누어, 가장 평온한 달(하위 20%, 일별 표준편차 1.24% 이하)과 가장 변동이 큰 달(상위 20%, 2.50% 이상)의 커버리지를 비교하였다(표 6-4, 실제 운용과 같은 연속 보정).</w:t>
      </w:r>
    </w:p>
    <w:p>
      <w:pPr>
        <w:pStyle w:val="TableCaption"/>
        <w:keepNext/>
        <w:spacing w:after="80" w:before="200" w:line="276"/>
        <w:jc w:val="center"/>
      </w:pPr>
      <w:r>
        <w:rPr>
          <w:rFonts w:ascii="바탕" w:cs="바탕" w:eastAsia="바탕" w:hAnsi="바탕"/>
          <w:sz w:val="19"/>
          <w:szCs w:val="19"/>
          <w:lang w:val="en-US" w:eastAsia="ko-KR"/>
        </w:rPr>
        <w:t xml:space="preserve">표 6-4. 변동성 수준별 보정 전후 커버리지 (실제 10종목, %)</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0"/>
        <w:gridCol w:w="2743"/>
        <w:gridCol w:w="2743"/>
      </w:tblGrid>
      <w:tr>
        <w:trPr>
          <w:cantSplit/>
          <w:tblHeader/>
        </w:trPr>
        <w:tc>
          <w:tcPr>
            <w:tcW w:type="dxa" w:w="245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구분</w:t>
            </w:r>
          </w:p>
        </w:tc>
        <w:tc>
          <w:tcPr>
            <w:tcW w:type="dxa" w:w="274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평온한 달</w:t>
            </w:r>
          </w:p>
          <w:p>
            <w:pPr>
              <w:keepNext/>
              <w:keepLines/>
              <w:wordWrap w:val="1"/>
              <w:spacing w:after="0" w:before="0" w:line="240"/>
              <w:jc w:val="center"/>
            </w:pPr>
            <w:r>
              <w:rPr>
                <w:rFonts w:ascii="굴림" w:cs="굴림" w:eastAsia="굴림" w:hAnsi="굴림"/>
                <w:b/>
                <w:bCs/>
                <w:sz w:val="18"/>
                <w:szCs w:val="18"/>
                <w:lang w:val="en-US" w:eastAsia="ko-KR"/>
              </w:rPr>
              <w:t xml:space="preserve">(보정 전 → 후)</w:t>
            </w:r>
          </w:p>
        </w:tc>
        <w:tc>
          <w:tcPr>
            <w:tcW w:type="dxa" w:w="274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변동이 큰 달</w:t>
            </w:r>
          </w:p>
          <w:p>
            <w:pPr>
              <w:keepNext/>
              <w:keepLines/>
              <w:wordWrap w:val="1"/>
              <w:spacing w:after="0" w:before="0" w:line="240"/>
              <w:jc w:val="center"/>
            </w:pPr>
            <w:r>
              <w:rPr>
                <w:rFonts w:ascii="굴림" w:cs="굴림" w:eastAsia="굴림" w:hAnsi="굴림"/>
                <w:b/>
                <w:bCs/>
                <w:sz w:val="18"/>
                <w:szCs w:val="18"/>
                <w:lang w:val="en-US" w:eastAsia="ko-KR"/>
              </w:rPr>
              <w:t xml:space="preserve">(보정 전 → 후)</w:t>
            </w:r>
          </w:p>
        </w:tc>
      </w:tr>
      <w:tr>
        <w:trPr>
          <w:cantSplit/>
          <w:trHeight w:val="296" w:hRule="atLeast"/>
        </w:trPr>
        <w:tc>
          <w:tcPr>
            <w:tcW w:type="dxa" w:w="24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TSFM 한 달·수익률</w:t>
            </w:r>
          </w:p>
        </w:tc>
        <w:tc>
          <w:tcPr>
            <w:tcW w:type="dxa" w:w="27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80.9~85.4 → 81.1~81.4</w:t>
            </w:r>
          </w:p>
        </w:tc>
        <w:tc>
          <w:tcPr>
            <w:tcW w:type="dxa" w:w="27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74.5~79.7 → 79.3~79.8</w:t>
            </w:r>
          </w:p>
        </w:tc>
      </w:tr>
      <w:tr>
        <w:trPr>
          <w:cantSplit/>
          <w:trHeight w:val="296" w:hRule="atLeast"/>
        </w:trPr>
        <w:tc>
          <w:tcPr>
            <w:tcW w:type="dxa" w:w="24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TSFM 한 달·가격</w:t>
            </w:r>
          </w:p>
        </w:tc>
        <w:tc>
          <w:tcPr>
            <w:tcW w:type="dxa" w:w="27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79.5~84.1 → 80.3~81.0</w:t>
            </w:r>
          </w:p>
        </w:tc>
        <w:tc>
          <w:tcPr>
            <w:tcW w:type="dxa" w:w="27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75.6~79.6 → 79.8~80.5</w:t>
            </w:r>
          </w:p>
        </w:tc>
      </w:tr>
      <w:tr>
        <w:trPr>
          <w:cantSplit/>
          <w:trHeight w:val="296" w:hRule="atLeast"/>
        </w:trPr>
        <w:tc>
          <w:tcPr>
            <w:tcW w:type="dxa" w:w="24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TSFM 1년·수익률</w:t>
            </w:r>
          </w:p>
        </w:tc>
        <w:tc>
          <w:tcPr>
            <w:tcW w:type="dxa" w:w="27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85.3~89.0 → 82.3~83.2</w:t>
            </w:r>
          </w:p>
        </w:tc>
        <w:tc>
          <w:tcPr>
            <w:tcW w:type="dxa" w:w="27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67.0~73.6 → 77.5~78.9</w:t>
            </w:r>
          </w:p>
        </w:tc>
      </w:tr>
      <w:tr>
        <w:trPr>
          <w:cantSplit/>
          <w:trHeight w:val="296" w:hRule="atLeast"/>
        </w:trPr>
        <w:tc>
          <w:tcPr>
            <w:tcW w:type="dxa" w:w="24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TSFM 1년·가격</w:t>
            </w:r>
          </w:p>
        </w:tc>
        <w:tc>
          <w:tcPr>
            <w:tcW w:type="dxa" w:w="27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83.3~91.8 → 82.0~82.7</w:t>
            </w:r>
          </w:p>
        </w:tc>
        <w:tc>
          <w:tcPr>
            <w:tcW w:type="dxa" w:w="27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69.0~82.4 → 78.5~78.9</w:t>
            </w:r>
          </w:p>
        </w:tc>
      </w:tr>
      <w:tr>
        <w:trPr>
          <w:cantSplit/>
          <w:trHeight w:val="296" w:hRule="atLeast"/>
        </w:trPr>
        <w:tc>
          <w:tcPr>
            <w:tcW w:type="dxa" w:w="24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과거변동(RW) 한 달</w:t>
            </w:r>
          </w:p>
        </w:tc>
        <w:tc>
          <w:tcPr>
            <w:tcW w:type="dxa" w:w="27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83.6 → 81.0</w:t>
            </w:r>
          </w:p>
        </w:tc>
        <w:tc>
          <w:tcPr>
            <w:tcW w:type="dxa" w:w="27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76.9 → 79.7</w:t>
            </w:r>
          </w:p>
        </w:tc>
      </w:tr>
      <w:tr>
        <w:trPr>
          <w:cantSplit/>
          <w:trHeight w:val="296" w:hRule="atLeast"/>
        </w:trPr>
        <w:tc>
          <w:tcPr>
            <w:tcW w:type="dxa" w:w="24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과거변동(RW) 1년</w:t>
            </w:r>
          </w:p>
        </w:tc>
        <w:tc>
          <w:tcPr>
            <w:tcW w:type="dxa" w:w="27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93.3 → 83.6</w:t>
            </w:r>
          </w:p>
        </w:tc>
        <w:tc>
          <w:tcPr>
            <w:tcW w:type="dxa" w:w="27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70.4 → 76.5</w:t>
            </w:r>
          </w:p>
        </w:tc>
      </w:tr>
      <w:tr>
        <w:trPr>
          <w:cantSplit/>
          <w:trHeight w:val="296" w:hRule="atLeast"/>
        </w:trPr>
        <w:tc>
          <w:tcPr>
            <w:tcW w:type="dxa" w:w="245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GARCH-t 1년</w:t>
            </w:r>
          </w:p>
        </w:tc>
        <w:tc>
          <w:tcPr>
            <w:tcW w:type="dxa" w:w="274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85.7 → 82.7</w:t>
            </w:r>
          </w:p>
        </w:tc>
        <w:tc>
          <w:tcPr>
            <w:tcW w:type="dxa" w:w="274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71.9 → 78.6</w:t>
            </w:r>
          </w:p>
        </w:tc>
      </w:tr>
    </w:tbl>
    <w:p>
      <w:pPr>
        <w:spacing w:after="60"/>
      </w:pPr>
    </w:p>
    <w:p>
      <w:pPr>
        <w:spacing w:after="200" w:line="276"/>
        <w:jc w:val="both"/>
      </w:pPr>
      <w:r>
        <w:rPr>
          <w:rFonts w:ascii="바탕" w:cs="바탕" w:eastAsia="바탕" w:hAnsi="바탕"/>
          <w:sz w:val="17"/>
          <w:szCs w:val="17"/>
          <w:lang w:val="en-US" w:eastAsia="ko-KR"/>
        </w:rPr>
        <w:t xml:space="preserve">주: TSFM은 네 모델의 범위. 각 분위는 종목·달 단위로 나누었으며 분위마다 약 4,800건이다.</w:t>
      </w:r>
    </w:p>
    <w:p>
      <w:pPr>
        <w:keepNext w:val="false"/>
        <w:widowControl/>
        <w:spacing w:after="120" w:before="0" w:line="384"/>
        <w:ind w:firstLine="220"/>
        <w:jc w:val="both"/>
      </w:pPr>
      <w:r>
        <w:rPr>
          <w:rFonts w:ascii="바탕" w:cs="바탕" w:eastAsia="바탕" w:hAnsi="바탕"/>
          <w:sz w:val="22"/>
          <w:szCs w:val="22"/>
          <w:lang w:val="en-US" w:eastAsia="ko-KR"/>
        </w:rPr>
        <w:t xml:space="preserve">보정 전에는 평온한 달에 구간이 넓고 변동이 큰 달에 좁아, 특히 과거 1년을 쓰는 조건에서 두 시기의 차이가 컸다(최대 22.8%p). 1년치 과거로 정한 구간이 최근의 변동 변화를 늦게 따라가기 때문이다. 보정 후에는 이 차이가 19개 모델·조건 평균 10.1%p에서 2.9%p로 줄었다. 보정은 이탈이 이어지면 구간을 넓히므로 변동이 큰 시기의 과소를 상당 부분 메우지만, 1년 조건에서는 변동이 큰 달의 커버리지가 보정 후에도 76~79%로 목표보다 조금 낮게 남았다. 1년·수익률 조건이 VaR 백테스트의 위반율·독립성 검정을 함께 통과한 것(표 5-6)과 함께 보면, 위반이 연달아 몰리지는 않지만 변동이 큰 시기에는 위반이 다소 잦다는 뜻이다.</w:t>
      </w:r>
    </w:p>
    <w:p>
      <w:pPr>
        <w:pStyle w:val="Heading2"/>
        <w:keepNext/>
      </w:pPr>
      <w:r>
        <w:rPr>
          <w:rFonts w:ascii="바탕" w:cs="바탕" w:eastAsia="바탕" w:hAnsi="바탕"/>
          <w:lang w:val="en-US" w:eastAsia="ko-KR"/>
        </w:rPr>
        <w:t xml:space="preserve">6.7 소결</w:t>
      </w:r>
    </w:p>
    <w:p>
      <w:pPr>
        <w:keepNext/>
        <w:widowControl/>
        <w:spacing w:after="120" w:before="0" w:line="384"/>
        <w:ind w:firstLine="220"/>
        <w:jc w:val="both"/>
      </w:pPr>
      <w:r>
        <w:rPr>
          <w:rFonts w:ascii="바탕" w:cs="바탕" w:eastAsia="바탕" w:hAnsi="바탕"/>
          <w:sz w:val="22"/>
          <w:szCs w:val="22"/>
          <w:lang w:val="en-US" w:eastAsia="ko-KR"/>
        </w:rPr>
        <w:t xml:space="preserve">세 번째 연구 질문(RQ3)에 대한 실험 결과를 요약하면 다음과 같다.</w:t>
      </w:r>
    </w:p>
    <w:p>
      <w:pPr>
        <w:keepNext/>
        <w:keepLines/>
        <w:widowControl/>
        <w:spacing w:after="60" w:line="384"/>
        <w:ind w:left="360" w:hanging="360"/>
        <w:jc w:val="both"/>
      </w:pPr>
      <w:r>
        <w:rPr>
          <w:rFonts w:ascii="바탕" w:cs="바탕" w:eastAsia="바탕" w:hAnsi="바탕"/>
          <w:sz w:val="22"/>
          <w:szCs w:val="22"/>
          <w:lang w:val="en-US" w:eastAsia="ko-KR"/>
        </w:rPr>
        <w:t xml:space="preserve">1. 사후보정은 모든 경우에 평균 커버리지를 80%로 복원한다. 합성 340개, 실제 19개 모델·조건 모두 예외가 없고, 연속 적용에서도 같다. 평온한 달과 변동이 큰 달의 커버리지 차이도 평균 10.1%p에서 2.9%p로 줄었다. 다만 1년 조건에서 변동이 큰 달의 약간의 과소와, 한 달·가격 조건의 위반 몰림은 남는다(6.6절).</w:t>
      </w:r>
    </w:p>
    <w:p>
      <w:pPr>
        <w:keepNext/>
        <w:keepLines/>
        <w:widowControl/>
        <w:spacing w:after="60" w:line="384"/>
        <w:ind w:left="360" w:hanging="360"/>
        <w:jc w:val="both"/>
      </w:pPr>
      <w:r>
        <w:rPr>
          <w:rFonts w:ascii="바탕" w:cs="바탕" w:eastAsia="바탕" w:hAnsi="바탕"/>
          <w:sz w:val="22"/>
          <w:szCs w:val="22"/>
          <w:lang w:val="en-US" w:eastAsia="ko-KR"/>
        </w:rPr>
        <w:t xml:space="preserve">2. 오차의 방향과 무관하다. 좁은 구간은 넓히고, 넓은 구간은 좁힌다.</w:t>
      </w:r>
    </w:p>
    <w:p>
      <w:pPr>
        <w:keepNext/>
        <w:keepLines/>
        <w:widowControl/>
        <w:spacing w:after="60" w:line="384"/>
        <w:ind w:left="360" w:hanging="360"/>
        <w:jc w:val="both"/>
      </w:pPr>
      <w:r>
        <w:rPr>
          <w:rFonts w:ascii="바탕" w:cs="바탕" w:eastAsia="바탕" w:hAnsi="바탕"/>
          <w:sz w:val="22"/>
          <w:szCs w:val="22"/>
          <w:lang w:val="en-US" w:eastAsia="ko-KR"/>
        </w:rPr>
        <w:t xml:space="preserve">3. 비용은 구간 폭이다. 보정 후 구간은 이상적인 구간보다 5~48% 넓고, 과거 1년 조건이 한 달 조건보다 비용이 작다. 목표에 가까웠던 모델은 원래 구간을 거의 바꾸지 않고 80%를 맞춘다.</w:t>
      </w:r>
    </w:p>
    <w:p>
      <w:pPr>
        <w:keepNext w:val="false"/>
        <w:keepLines/>
        <w:widowControl/>
        <w:spacing w:after="60" w:line="384"/>
        <w:ind w:left="360" w:hanging="360"/>
        <w:jc w:val="both"/>
      </w:pPr>
      <w:r>
        <w:rPr>
          <w:rFonts w:ascii="바탕" w:cs="바탕" w:eastAsia="바탕" w:hAnsi="바탕"/>
          <w:sz w:val="22"/>
          <w:szCs w:val="22"/>
          <w:lang w:val="en-US" w:eastAsia="ko-KR"/>
        </w:rPr>
        <w:t xml:space="preserve">4. 폭 효율에는 개선 여지가 있다. 결과를 본 뒤 정한 배율로 일괄 확대하면 같은 평균 폭으로 더 높은 커버리지(81~86%)를 얻는다. 보정은 폭 효율이 이보다 낮지만, 필요한 배율을 미리 몰라도 80%에 도달한다.</w:t>
      </w:r>
    </w:p>
    <w:p>
      <w:pPr>
        <w:keepNext w:val="false"/>
        <w:widowControl/>
        <w:spacing w:after="120" w:before="0" w:line="384"/>
        <w:ind w:firstLine="220"/>
        <w:jc w:val="both"/>
      </w:pPr>
      <w:r>
        <w:rPr>
          <w:rFonts w:ascii="바탕" w:cs="바탕" w:eastAsia="바탕" w:hAnsi="바탕"/>
          <w:sz w:val="22"/>
          <w:szCs w:val="22"/>
          <w:lang w:val="en-US" w:eastAsia="ko-KR"/>
        </w:rPr>
        <w:t xml:space="preserve">제4장에서 오차의 주된 원인이 금융 특성이 아니라 모델·설정임을 보였고, 이 장에서 그 오차가 모델을 고치지 않고도 바로잡힌다는 것을 보였다. 두 결과는 함께 하나의 실무 지침이 된다. TSFM을 금융 위험 측정에 쓸 때는 모델과 입력 설정을 먼저 점검하고, 사후보정을 기본으로 덧붙여야 한다.</w:t>
      </w:r>
    </w:p>
    <w:p>
      <w:pPr>
        <w:pStyle w:val="Heading1"/>
        <w:keepNext/>
        <w:pageBreakBefore/>
      </w:pPr>
      <w:r>
        <w:rPr>
          <w:rFonts w:ascii="바탕" w:cs="바탕" w:eastAsia="바탕" w:hAnsi="바탕"/>
          <w:lang w:val="en-US" w:eastAsia="ko-KR"/>
        </w:rPr>
        <w:t xml:space="preserve">제7장 결론</w:t>
      </w:r>
    </w:p>
    <w:p>
      <w:pPr>
        <w:pStyle w:val="Heading2"/>
        <w:keepNext/>
      </w:pPr>
      <w:r>
        <w:rPr>
          <w:rFonts w:ascii="바탕" w:cs="바탕" w:eastAsia="바탕" w:hAnsi="바탕"/>
          <w:lang w:val="en-US" w:eastAsia="ko-KR"/>
        </w:rPr>
        <w:t xml:space="preserve">7.1 연구 요약</w:t>
      </w:r>
    </w:p>
    <w:p>
      <w:pPr>
        <w:keepNext/>
        <w:widowControl/>
        <w:spacing w:after="120" w:before="0" w:line="384"/>
        <w:ind w:firstLine="220"/>
        <w:jc w:val="both"/>
      </w:pPr>
      <w:r>
        <w:rPr>
          <w:rFonts w:ascii="바탕" w:cs="바탕" w:eastAsia="바탕" w:hAnsi="바탕"/>
          <w:sz w:val="22"/>
          <w:szCs w:val="22"/>
          <w:lang w:val="en-US" w:eastAsia="ko-KR"/>
        </w:rPr>
        <w:t xml:space="preserve">본 연구는 사전학습 시계열 모델(TSFM)이 내는 금융 수익률 80% 예측구간이 명목 커버리지를 충족하는지, 지키지 못한다면 원인이 무엇이고 어떻게 고칠 수 있는지를 실측 기반 합성 데이터 통제 실험과 미국·한국 대형주 10종목 평가로 검증하였다. 표 7-1은 세 연구 질문에 대한 답을 정리한다.</w:t>
      </w:r>
    </w:p>
    <w:p>
      <w:pPr>
        <w:pStyle w:val="TableCaption"/>
        <w:keepNext/>
        <w:spacing w:after="80" w:before="200" w:line="276"/>
        <w:jc w:val="center"/>
      </w:pPr>
      <w:r>
        <w:rPr>
          <w:rFonts w:ascii="바탕" w:cs="바탕" w:eastAsia="바탕" w:hAnsi="바탕"/>
          <w:sz w:val="19"/>
          <w:szCs w:val="19"/>
          <w:lang w:val="en-US" w:eastAsia="ko-KR"/>
        </w:rPr>
        <w:t xml:space="preserve">표 7-1. 연구 질문별 가설 판정과 발견</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1"/>
        <w:gridCol w:w="1595"/>
        <w:gridCol w:w="3509"/>
        <w:gridCol w:w="1351"/>
      </w:tblGrid>
      <w:tr>
        <w:trPr>
          <w:cantSplit/>
          <w:tblHeader/>
        </w:trPr>
        <w:tc>
          <w:tcPr>
            <w:tcW w:type="dxa" w:w="1481"/>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연구 질문</w:t>
            </w:r>
          </w:p>
        </w:tc>
        <w:tc>
          <w:tcPr>
            <w:tcW w:type="dxa" w:w="159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가설</w:t>
            </w:r>
          </w:p>
        </w:tc>
        <w:tc>
          <w:tcPr>
            <w:tcW w:type="dxa" w:w="350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판정 및 핵심 발견</w:t>
            </w:r>
          </w:p>
        </w:tc>
        <w:tc>
          <w:tcPr>
            <w:tcW w:type="dxa" w:w="1351"/>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근거</w:t>
            </w:r>
          </w:p>
        </w:tc>
      </w:tr>
      <w:tr>
        <w:trPr>
          <w:cantSplit/>
          <w:trHeight w:val="1160" w:hRule="atLeast"/>
        </w:trPr>
        <w:tc>
          <w:tcPr>
            <w:tcW w:type="dxa" w:w="148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RQ1 진단</w:t>
            </w:r>
          </w:p>
        </w:tc>
        <w:tc>
          <w:tcPr>
            <w:tcW w:type="dxa" w:w="159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H1 군집 → 하락</w:t>
            </w:r>
          </w:p>
        </w:tc>
        <w:tc>
          <w:tcPr>
            <w:tcW w:type="dxa" w:w="350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일부 지지(2개 조건 실질 하락). 커버리지를 낮춘 특성은 군집뿐</w:t>
            </w:r>
          </w:p>
        </w:tc>
        <w:tc>
          <w:tcPr>
            <w:tcW w:type="dxa" w:w="135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−2.0~−2.5%p</w:t>
            </w:r>
          </w:p>
        </w:tc>
      </w:tr>
      <w:tr>
        <w:trPr>
          <w:cantSplit/>
          <w:trHeight w:val="1160" w:hRule="atLeast"/>
        </w:trPr>
        <w:tc>
          <w:tcPr>
            <w:tcW w:type="dxa" w:w="148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p>
        </w:tc>
        <w:tc>
          <w:tcPr>
            <w:tcW w:type="dxa" w:w="159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H2 꼬리 → 하락</w:t>
            </w:r>
          </w:p>
        </w:tc>
        <w:tc>
          <w:tcPr>
            <w:tcW w:type="dxa" w:w="350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미지지, 반대 방향(11개 조건 유의한 상승). 80% 구간의 수학적 성질로 설명(98% 구간에서는 하락, Chronos-2)</w:t>
            </w:r>
          </w:p>
        </w:tc>
        <w:tc>
          <w:tcPr>
            <w:tcW w:type="dxa" w:w="135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t분포 이론 커버리지 82~87%</w:t>
            </w:r>
          </w:p>
        </w:tc>
      </w:tr>
      <w:tr>
        <w:trPr>
          <w:cantSplit/>
          <w:trHeight w:val="1160" w:hRule="atLeast"/>
        </w:trPr>
        <w:tc>
          <w:tcPr>
            <w:tcW w:type="dxa" w:w="148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p>
        </w:tc>
        <w:tc>
          <w:tcPr>
            <w:tcW w:type="dxa" w:w="159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H3a 전환 빈도 → 하락</w:t>
            </w:r>
          </w:p>
        </w:tc>
        <w:tc>
          <w:tcPr>
            <w:tcW w:type="dxa" w:w="350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미지지, 반대 방향(7개 조건 작은 상승). 혼합분포 효과로 설명</w:t>
            </w:r>
          </w:p>
        </w:tc>
        <w:tc>
          <w:tcPr>
            <w:tcW w:type="dxa" w:w="135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RW 1년 +5.5%p, TSFM 2%p 이내</w:t>
            </w:r>
          </w:p>
        </w:tc>
      </w:tr>
      <w:tr>
        <w:trPr>
          <w:cantSplit/>
          <w:trHeight w:val="1160" w:hRule="atLeast"/>
        </w:trPr>
        <w:tc>
          <w:tcPr>
            <w:tcW w:type="dxa" w:w="148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p>
        </w:tc>
        <w:tc>
          <w:tcPr>
            <w:tcW w:type="dxa" w:w="159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H3b 전환 크기 → 하락</w:t>
            </w:r>
          </w:p>
        </w:tc>
        <w:tc>
          <w:tcPr>
            <w:tcW w:type="dxa" w:w="350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미지지(유의한 변화 없음). 전환 크기는 커버리지에 영향 없음</w:t>
            </w:r>
          </w:p>
        </w:tc>
        <w:tc>
          <w:tcPr>
            <w:tcW w:type="dxa" w:w="135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Wilcoxon, Holm 보정</w:t>
            </w:r>
          </w:p>
        </w:tc>
      </w:tr>
      <w:tr>
        <w:trPr>
          <w:cantSplit/>
          <w:trHeight w:val="1160" w:hRule="atLeast"/>
        </w:trPr>
        <w:tc>
          <w:tcPr>
            <w:tcW w:type="dxa" w:w="148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p>
        </w:tc>
        <w:tc>
          <w:tcPr>
            <w:tcW w:type="dxa" w:w="159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H4 축마다 다름</w:t>
            </w:r>
          </w:p>
        </w:tc>
        <w:tc>
          <w:tcPr>
            <w:tcW w:type="dxa" w:w="350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16개 중 10개 지지. 10개 모두 군집이 가장 불리</w:t>
            </w:r>
          </w:p>
        </w:tc>
        <w:tc>
          <w:tcPr>
            <w:tcW w:type="dxa" w:w="135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Friedman, Holm 보정</w:t>
            </w:r>
          </w:p>
        </w:tc>
      </w:tr>
      <w:tr>
        <w:trPr>
          <w:cantSplit/>
          <w:trHeight w:val="1160" w:hRule="atLeast"/>
        </w:trPr>
        <w:tc>
          <w:tcPr>
            <w:tcW w:type="dxa" w:w="148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RQ2 실증 평가</w:t>
            </w:r>
          </w:p>
        </w:tc>
        <w:tc>
          <w:tcPr>
            <w:tcW w:type="dxa" w:w="159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H5 TSFM이 RW보다 정확</w:t>
            </w:r>
          </w:p>
        </w:tc>
        <w:tc>
          <w:tcPr>
            <w:tcW w:type="dxa" w:w="350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미지지(12개 조건 RW보다 손실 큼, 3개 차이 없음, 1개 작은 우위). 네 모델 모두 1년·수익률 조건은 RW 수준, GARCH-t보다는 1년 조건 모두 손실 큼</w:t>
            </w:r>
          </w:p>
        </w:tc>
        <w:tc>
          <w:tcPr>
            <w:tcW w:type="dxa" w:w="135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분위수 손실 −9.8~+0.9%</w:t>
            </w:r>
          </w:p>
        </w:tc>
      </w:tr>
      <w:tr>
        <w:trPr>
          <w:cantSplit/>
          <w:trHeight w:val="1160" w:hRule="atLeast"/>
        </w:trPr>
        <w:tc>
          <w:tcPr>
            <w:tcW w:type="dxa" w:w="1481"/>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RQ3 처방</w:t>
            </w:r>
          </w:p>
        </w:tc>
        <w:tc>
          <w:tcPr>
            <w:tcW w:type="dxa" w:w="159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H6 보정 후 80% 복원</w:t>
            </w:r>
          </w:p>
        </w:tc>
        <w:tc>
          <w:tcPr>
            <w:tcW w:type="dxa" w:w="350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전면 지지(합성 340개, 실제 19개). 평균 커버리지 기준이며 위반 몰림은 일부 조건에 남음</w:t>
            </w:r>
          </w:p>
        </w:tc>
        <w:tc>
          <w:tcPr>
            <w:tcW w:type="dxa" w:w="1351"/>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보정 후 79.8~80.7%</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가설 H1~H3b가 대부분 지지되지 않은 것은 실험의 실패가 아니라, 금융 특성보다 모델과 입력 설정이 오차를 정한다는 RQ1의 답 그 자체이다. 세 결과를 하나로 묶으면 다음과 같다. TSFM 예측구간의 오차는 크고 모델·설정마다 방향도 다르지만, 그 대부분은 금융 데이터의 특성이 아니라 모델과 입력 설정에서 오며, 실측 기반 합성 데이터 실험으로 미리 진단할 수 있다. 이 오차는 재학습 없는 사후보정으로 평균 커버리지 기준에서 일관되게 바로잡힌다. 분포의 정확도는 RW 수준이고 GARCH-t에는 조금 못 미치므로, TSFM 예측구간은 수익률 예측보다 보정을 거친 위험 측정에 쓰는 것이 적절하다.</w:t>
      </w:r>
    </w:p>
    <w:p>
      <w:pPr>
        <w:pStyle w:val="Heading2"/>
        <w:keepNext/>
      </w:pPr>
      <w:r>
        <w:rPr>
          <w:rFonts w:ascii="바탕" w:cs="바탕" w:eastAsia="바탕" w:hAnsi="바탕"/>
          <w:lang w:val="en-US" w:eastAsia="ko-KR"/>
        </w:rPr>
        <w:t xml:space="preserve">7.2 실무적 시사점</w:t>
      </w:r>
    </w:p>
    <w:p>
      <w:pPr>
        <w:keepNext/>
        <w:keepLines/>
        <w:widowControl/>
        <w:spacing w:after="60" w:line="384"/>
        <w:ind w:left="360" w:hanging="360"/>
        <w:jc w:val="both"/>
      </w:pPr>
      <w:r>
        <w:rPr>
          <w:rFonts w:ascii="바탕" w:cs="바탕" w:eastAsia="바탕" w:hAnsi="바탕"/>
          <w:sz w:val="22"/>
          <w:szCs w:val="22"/>
          <w:lang w:val="en-US" w:eastAsia="ko-KR"/>
        </w:rPr>
        <w:t xml:space="preserve">1. 모델과 사용 설정을 먼저 점검해야 한다. 같은 데이터에서도 모델과 입력 설정에 따라 커버리지가 75%에서 88%까지 달라졌다(TimesFM-2.5 1년·가격 88% 대 1년·수익률 77~79%, Chronos-T5 가격 76%). 라이브러리의 기본 설정도 점검 대상이다. Chronos-T5를 기본 샘플링 설정 그대로 수익률에 쓰면 80% 구간이 실제 주가에서 17~18%만 맞았는데, 이 붕괴는 특성이 없는 합성 데이터 점검(14~15%)에서 이미 드러났다(부록 A.3). 특성이 없는 합성 데이터에서 커버리지를 사전에 측정해 보면 실제 주가에서의 커버리지를 평균 1.1%p(최대 3.6%p) 차이로 가늠할 수 있었고, 크게 어긋나는 모델과 설정은 합성 데이터에서 이미 그대로 드러났다(본 연구의 10종목, 5.4절). 따라서 실제 데이터에 쓰기 전에 간단한 점검으로 이런 모델과 설정을 미리 가려낼 수 있다.</w:t>
      </w:r>
    </w:p>
    <w:p>
      <w:pPr>
        <w:keepNext w:val="false"/>
        <w:keepLines/>
        <w:widowControl/>
        <w:spacing w:after="60" w:line="384"/>
        <w:ind w:left="360" w:hanging="360"/>
        <w:jc w:val="both"/>
      </w:pPr>
      <w:r>
        <w:rPr>
          <w:rFonts w:ascii="바탕" w:cs="바탕" w:eastAsia="바탕" w:hAnsi="바탕"/>
          <w:sz w:val="22"/>
          <w:szCs w:val="22"/>
          <w:lang w:val="en-US" w:eastAsia="ko-KR"/>
        </w:rPr>
        <w:t xml:space="preserve">2. 사후보정을 기본으로 붙여야 한다. ACI-CQR은 모델을 바꾸지 않고, 계산 비용이 거의 없으며, 모든 경우에 평균 커버리지를 80%로 복원하였다. 변동성 목표와 VaR 같은 실제 규칙에서도 보정 전후의 차이가 분명하였다(5.5절, 6.6절).</w:t>
      </w:r>
    </w:p>
    <w:p>
      <w:pPr>
        <w:keepNext w:val="false"/>
        <w:keepLines/>
        <w:widowControl/>
        <w:spacing w:after="60" w:line="384"/>
        <w:ind w:left="360" w:hanging="360"/>
        <w:jc w:val="both"/>
      </w:pPr>
      <w:r>
        <w:rPr>
          <w:rFonts w:ascii="바탕" w:cs="바탕" w:eastAsia="바탕" w:hAnsi="바탕"/>
          <w:sz w:val="22"/>
          <w:szCs w:val="22"/>
          <w:lang w:val="en-US" w:eastAsia="ko-KR"/>
        </w:rPr>
        <w:t xml:space="preserve">3. TSFM 예측구간은 방향 예측이 아니라 위험 측정에 쓰고, 입력 설정은 모델마다 점검해 골라야 한다. 일별 수익률에서 TSFM은 RW보다 나은 분포를 내지 못했고, 중앙값 부호로 매매하는 규칙도 계속 보유보다 못하였다. 네 모델 모두 1년·수익률 조건에서 RW와 같은 정확도를 보였지만 GARCH-t보다는 조금 낮았고(0.4~1.5%), 과거 한 달이나 가격 입력에서는 RW보다 손실이 0.8~9.8% 컸다. TSFM 예측구간의 쓸모는 위험 크기 측정에 있으며, 설정 점검과 보정을 거쳤을 때 의도대로 작동한다.</w:t>
      </w:r>
    </w:p>
    <w:p>
      <w:pPr>
        <w:keepNext w:val="false"/>
        <w:keepLines/>
        <w:widowControl/>
        <w:spacing w:after="60" w:line="384"/>
        <w:ind w:left="360" w:hanging="360"/>
        <w:jc w:val="both"/>
      </w:pPr>
      <w:r>
        <w:rPr>
          <w:rFonts w:ascii="바탕" w:cs="바탕" w:eastAsia="바탕" w:hAnsi="바탕"/>
          <w:sz w:val="22"/>
          <w:szCs w:val="22"/>
          <w:lang w:val="en-US" w:eastAsia="ko-KR"/>
        </w:rPr>
        <w:t xml:space="preserve">4. 새 예측 모델을 위험 관리에 들일 때의 검증 절차로 쓸 수 있다. 금융기관은 위험 측정에 쓰는 모형을 도입 전에 독립적으로 검증하고(Board of Governors of the Federal Reserve System, 2011), VaR 모형은 실제 위반 횟수로 사후 점검한다(Basel Committee on Banking Supervision, 1996). 본 연구의 절차, 곧 실측 기반 합성 데이터로 설정을 미리 점검하고, 실제 데이터에서 커버리지와 VaR 백테스트를 확인한 뒤, 필요하면 사후보정을 붙이는 순서는 모델 구조와 무관하다. 따라서 사전학습 모델처럼 내부 구조를 들여다보기 어려운 모델을 이 검증 체계에 넣을 때 그대로 활용할 수 있다.</w:t>
      </w:r>
    </w:p>
    <w:p>
      <w:pPr>
        <w:pStyle w:val="Heading2"/>
        <w:keepNext/>
      </w:pPr>
      <w:r>
        <w:rPr>
          <w:rFonts w:ascii="바탕" w:cs="바탕" w:eastAsia="바탕" w:hAnsi="바탕"/>
          <w:lang w:val="en-US" w:eastAsia="ko-KR"/>
        </w:rPr>
        <w:t xml:space="preserve">7.3 한계</w:t>
      </w:r>
    </w:p>
    <w:p>
      <w:pPr>
        <w:keepNext/>
        <w:keepLines/>
        <w:widowControl/>
        <w:spacing w:after="60" w:line="384"/>
        <w:ind w:left="360" w:hanging="360"/>
        <w:jc w:val="both"/>
      </w:pPr>
      <w:r>
        <w:rPr>
          <w:rFonts w:ascii="바탕" w:cs="바탕" w:eastAsia="바탕" w:hAnsi="바탕"/>
          <w:sz w:val="22"/>
          <w:szCs w:val="22"/>
          <w:lang w:val="en-US" w:eastAsia="ko-KR"/>
        </w:rPr>
        <w:t xml:space="preserve">1. 주분석은 80% 구간에 한정된다. 일부 모델이 0.1~0.9 분위수만 내기 때문에 네 모델을 같은 조건으로 비교할 수 있는 가장 넓은 구간이 80%였다. 극단 구간은 극단 분위수를 내는 Chronos-2 한 모델로만 확인하였으며, 이론 계산(표 4-3)대로 꼬리와 국면 전환이 98% 구간의 커버리지는 낮추었다(표 4-4). 따라서 본 연구의 "꼬리는 불리하지 않다"는 결과를 극단 위험에 그대로 적용해서는 안 된다.</w:t>
      </w:r>
    </w:p>
    <w:p>
      <w:pPr>
        <w:keepNext w:val="false"/>
        <w:keepLines/>
        <w:widowControl/>
        <w:spacing w:after="60" w:line="384"/>
        <w:ind w:left="360" w:hanging="360"/>
        <w:jc w:val="both"/>
      </w:pPr>
      <w:r>
        <w:rPr>
          <w:rFonts w:ascii="바탕" w:cs="바탕" w:eastAsia="바탕" w:hAnsi="바탕"/>
          <w:sz w:val="22"/>
          <w:szCs w:val="22"/>
          <w:lang w:val="en-US" w:eastAsia="ko-KR"/>
        </w:rPr>
        <w:t xml:space="preserve">2. 표본 범위가 제한적이다. 다음 날 예측만 다루었으므로 여러 날 앞 예측에서는 오차 누적과 군집의 영향이 다르게 나타날 수 있다. 대상은 2017년 기준 미국·한국 대형주 10종목이며(미국은 선행연구와 같은 종목, 한국은 2017년 초 시가총액 순위로 선정), 소형주, 다른 자산(채권, 환율, 암호화폐), 다른 시장으로의 일반화는 확인하지 않았다. 합성 데이터의 단계값도 이 10종목에서 측정했으므로 특성이 더 극단적인 자산에서는 효과가 더 클 수 있고, 특성 간 상호작용은 실제 데이터로 간접 확인하는 데 그쳤다.</w:t>
      </w:r>
    </w:p>
    <w:p>
      <w:pPr>
        <w:keepNext w:val="false"/>
        <w:keepLines/>
        <w:widowControl/>
        <w:spacing w:after="60" w:line="384"/>
        <w:ind w:left="360" w:hanging="360"/>
        <w:jc w:val="both"/>
      </w:pPr>
      <w:r>
        <w:rPr>
          <w:rFonts w:ascii="바탕" w:cs="바탕" w:eastAsia="바탕" w:hAnsi="바탕"/>
          <w:sz w:val="22"/>
          <w:szCs w:val="22"/>
          <w:lang w:val="en-US" w:eastAsia="ko-KR"/>
        </w:rPr>
        <w:t xml:space="preserve">3. 평가한 모델과 입력 길이가 제한적이다. Chronos-T5는 계산 자원의 제약으로 large 대신 base를 사용하였고, Moirai-2.0은 small 크기만 평가하였다. 미세조정이나 금융 데이터로 사전학습한 모델은 다루지 않았다. 과거 길이는 기준 모형과 맞추어 최대 252일로 하였다. TSFM은 더 긴 과거(예: 512일)를 받을 수 있으나, Chronos-T5를 독립 정규 계열로 점검했을 때 512일과 252일의 커버리지는 78.3%와 78.6%로 같았다(부록 A.3). 다른 모델과 실제 주가에서 512일은 확인하지 않았다.</w:t>
      </w:r>
    </w:p>
    <w:p>
      <w:pPr>
        <w:keepNext w:val="false"/>
        <w:keepLines/>
        <w:widowControl/>
        <w:spacing w:after="60" w:line="384"/>
        <w:ind w:left="360" w:hanging="360"/>
        <w:jc w:val="both"/>
      </w:pPr>
      <w:r>
        <w:rPr>
          <w:rFonts w:ascii="바탕" w:cs="바탕" w:eastAsia="바탕" w:hAnsi="바탕"/>
          <w:sz w:val="22"/>
          <w:szCs w:val="22"/>
          <w:lang w:val="en-US" w:eastAsia="ko-KR"/>
        </w:rPr>
        <w:t xml:space="preserve">4. 입력 정보가 종가에서 얻은 단변량 계열뿐이다. 주분석에서는 거래량 같은 외부 변수를 넣지 않았다. 따라서 분포 정확도가 RW 수준에 그친 결과(H5)는 같은 정보를 쓴 비교에 한정된다. Chronos-2에 로그 거래량을 과거 공변량으로 넣어 확인한 결과 1년·수익률의 RW 대비 손실 개선율은 넣기 전과 같은 +1.0%였고(차이 유의하지 않음), 한 달·수익률은 −7.3%에서 −6.4%로 조금 나아졌으나 여전히 RW보다 나빴다(부록 A.4). 한 모델과 한 가지 변수만 확인한 결과라는 한계는 남는다. 그러나 커버리지 오차는 거래량이 존재하지 않는 합성 데이터에서도 같은 크기로 나타났으므로, 오차의 출처에 대한 결론(RQ1)은 이 한계의 영향을 받지 않는다.</w:t>
      </w:r>
    </w:p>
    <w:p>
      <w:pPr>
        <w:keepNext w:val="false"/>
        <w:keepLines/>
        <w:widowControl/>
        <w:spacing w:after="60" w:line="384"/>
        <w:ind w:left="360" w:hanging="360"/>
        <w:jc w:val="both"/>
      </w:pPr>
      <w:r>
        <w:rPr>
          <w:rFonts w:ascii="바탕" w:cs="바탕" w:eastAsia="바탕" w:hAnsi="바탕"/>
          <w:sz w:val="22"/>
          <w:szCs w:val="22"/>
          <w:lang w:val="en-US" w:eastAsia="ko-KR"/>
        </w:rPr>
        <w:t xml:space="preserve">5. 사후보정의 적용 범위가 구간 양 끝에 한정된다. 보정은 80% 구간의 양 끝만 조정하므로 분포 전체의 정확도를 높이지 않고, 날마다의 폭 변화 양상은 원래 모델의 것을 따르므로 변동 추종 능력을 더해 주지 않으며(6.3절), 위반이 몰려 오는 문제(한 달·가격 조건)는 고치지 못하였다. 또한 결과를 본 뒤 정한 배율로 일괄 확대한 대조군보다 폭 효율이 낮았다.</w:t>
      </w:r>
    </w:p>
    <w:p>
      <w:pPr>
        <w:keepNext w:val="false"/>
        <w:keepLines/>
        <w:widowControl/>
        <w:spacing w:after="60" w:line="384"/>
        <w:ind w:left="360" w:hanging="360"/>
        <w:jc w:val="both"/>
      </w:pPr>
      <w:r>
        <w:rPr>
          <w:rFonts w:ascii="바탕" w:cs="바탕" w:eastAsia="바탕" w:hAnsi="바탕"/>
          <w:sz w:val="22"/>
          <w:szCs w:val="22"/>
          <w:lang w:val="en-US" w:eastAsia="ko-KR"/>
        </w:rPr>
        <w:t xml:space="preserve">6. 경제적 가치 분석은 탐색적이다. 가설 검정에 포함되지 않는 보조 분석이며, 전날 종가 체결과 단순한 비용 가정을 사용하였고, 표본 기간이 강세장을 포함한다.</w:t>
      </w:r>
    </w:p>
    <w:p>
      <w:pPr>
        <w:pStyle w:val="Heading2"/>
        <w:keepNext/>
      </w:pPr>
      <w:r>
        <w:rPr>
          <w:rFonts w:ascii="바탕" w:cs="바탕" w:eastAsia="바탕" w:hAnsi="바탕"/>
          <w:lang w:val="en-US" w:eastAsia="ko-KR"/>
        </w:rPr>
        <w:t xml:space="preserve">7.4 향후 연구</w:t>
      </w:r>
    </w:p>
    <w:p>
      <w:pPr>
        <w:keepNext/>
        <w:keepLines/>
        <w:widowControl/>
        <w:spacing w:after="60" w:line="384"/>
        <w:ind w:left="360" w:hanging="360"/>
        <w:jc w:val="both"/>
      </w:pPr>
      <w:r>
        <w:rPr>
          <w:rFonts w:ascii="바탕" w:cs="바탕" w:eastAsia="바탕" w:hAnsi="바탕"/>
          <w:sz w:val="22"/>
          <w:szCs w:val="22"/>
          <w:lang w:val="en-US" w:eastAsia="ko-KR"/>
        </w:rPr>
        <w:t xml:space="preserve">1. 극단 분위수(1%, 5%)를 내는 다른 모델과 설정에서 꼬리·국면 전환 특성의 영향 재검증</w:t>
      </w:r>
    </w:p>
    <w:p>
      <w:pPr>
        <w:keepNext/>
        <w:keepLines/>
        <w:widowControl/>
        <w:spacing w:after="60" w:line="384"/>
        <w:ind w:left="360" w:hanging="360"/>
        <w:jc w:val="both"/>
      </w:pPr>
      <w:r>
        <w:rPr>
          <w:rFonts w:ascii="바탕" w:cs="바탕" w:eastAsia="바탕" w:hAnsi="바탕"/>
          <w:sz w:val="22"/>
          <w:szCs w:val="22"/>
          <w:lang w:val="en-US" w:eastAsia="ko-KR"/>
        </w:rPr>
        <w:t xml:space="preserve">2. 여러 날 앞 예측과 다른 자산군으로의 확장</w:t>
      </w:r>
    </w:p>
    <w:p>
      <w:pPr>
        <w:keepNext/>
        <w:keepLines/>
        <w:widowControl/>
        <w:spacing w:after="60" w:line="384"/>
        <w:ind w:left="360" w:hanging="360"/>
        <w:jc w:val="both"/>
      </w:pPr>
      <w:r>
        <w:rPr>
          <w:rFonts w:ascii="바탕" w:cs="바탕" w:eastAsia="바탕" w:hAnsi="바탕"/>
          <w:sz w:val="22"/>
          <w:szCs w:val="22"/>
          <w:lang w:val="en-US" w:eastAsia="ko-KR"/>
        </w:rPr>
        <w:t xml:space="preserve">3. TimesFM-2.5 1년·가격 조건의 구간 과대 원인 규명(분위수 출력 방식으로 설명되지 않는 나머지)</w:t>
      </w:r>
    </w:p>
    <w:p>
      <w:pPr>
        <w:keepNext/>
        <w:keepLines/>
        <w:widowControl/>
        <w:spacing w:after="60" w:line="384"/>
        <w:ind w:left="360" w:hanging="360"/>
        <w:jc w:val="both"/>
      </w:pPr>
      <w:r>
        <w:rPr>
          <w:rFonts w:ascii="바탕" w:cs="바탕" w:eastAsia="바탕" w:hAnsi="바탕"/>
          <w:sz w:val="22"/>
          <w:szCs w:val="22"/>
          <w:lang w:val="en-US" w:eastAsia="ko-KR"/>
        </w:rPr>
        <w:t xml:space="preserve">4. 보정의 폭 효율 개선: 갱신 속도(γ)의 적응적 조정, 변동 크기에 따른 조건부 보정, 위반 몰림을 줄이는 방법</w:t>
      </w:r>
    </w:p>
    <w:p>
      <w:pPr>
        <w:keepNext/>
        <w:keepLines/>
        <w:widowControl/>
        <w:spacing w:after="60" w:line="384"/>
        <w:ind w:left="360" w:hanging="360"/>
        <w:jc w:val="both"/>
      </w:pPr>
      <w:r>
        <w:rPr>
          <w:rFonts w:ascii="바탕" w:cs="바탕" w:eastAsia="바탕" w:hAnsi="바탕"/>
          <w:sz w:val="22"/>
          <w:szCs w:val="22"/>
          <w:lang w:val="en-US" w:eastAsia="ko-KR"/>
        </w:rPr>
        <w:t xml:space="preserve">5. 금융 데이터로 미세조정·사전학습한 모델과의 비교(Rahimikia 외, 2025의 방향)</w:t>
      </w:r>
    </w:p>
    <w:p>
      <w:pPr>
        <w:keepNext w:val="false"/>
        <w:keepLines/>
        <w:widowControl/>
        <w:spacing w:after="60" w:line="384"/>
        <w:ind w:left="360" w:hanging="360"/>
        <w:jc w:val="both"/>
      </w:pPr>
      <w:r>
        <w:rPr>
          <w:rFonts w:ascii="바탕" w:cs="바탕" w:eastAsia="바탕" w:hAnsi="바탕"/>
          <w:sz w:val="22"/>
          <w:szCs w:val="22"/>
          <w:lang w:val="en-US" w:eastAsia="ko-KR"/>
        </w:rPr>
        <w:t xml:space="preserve">6. 거래량 외의 외부 변수(실현변동성, 내재변동성 등)와 다른 모델의 공변량 입력으로 예측구간의 정확도가 RW를 넘는지 검증</w:t>
      </w:r>
    </w:p>
    <w:p>
      <w:pPr>
        <w:pStyle w:val="Heading2"/>
        <w:keepNext/>
      </w:pPr>
      <w:r>
        <w:rPr>
          <w:rFonts w:ascii="바탕" w:cs="바탕" w:eastAsia="바탕" w:hAnsi="바탕"/>
          <w:lang w:val="en-US" w:eastAsia="ko-KR"/>
        </w:rPr>
        <w:t xml:space="preserve">7.5 맺음말</w:t>
      </w:r>
    </w:p>
    <w:p>
      <w:pPr>
        <w:keepNext w:val="false"/>
        <w:widowControl/>
        <w:spacing w:after="120" w:before="0" w:line="384"/>
        <w:ind w:firstLine="220"/>
        <w:jc w:val="both"/>
      </w:pPr>
      <w:r>
        <w:rPr>
          <w:rFonts w:ascii="바탕" w:cs="바탕" w:eastAsia="바탕" w:hAnsi="바탕"/>
          <w:sz w:val="22"/>
          <w:szCs w:val="22"/>
          <w:lang w:val="en-US" w:eastAsia="ko-KR"/>
        </w:rPr>
        <w:t xml:space="preserve">금융 분야에서 새로운 예측 모델을 도입할 때는 점 예측의 정확도에 앞서 예측구간이 명목 신뢰수준을 충족하는지를 검증해야 한다. 본 연구의 결과에 따르면 TSFM 예측구간의 신뢰성은 금융 데이터의 특성보다 모델과 사용 설정, 그리고 사후보정 여부에 의해 좌우된다. 본 연구의 의의는 TSFM이 기존의 단순 모형보다 낫다는 것을 보이는 데 있지 않고, TSFM 예측구간이 금융 데이터에서 얼마나, 왜 어긋나는지(같은 데이터에서도 모델과 설정에 따라 75~88%, 16개 조건 중 절반이 실질 기준 밖)와 이를 모델을 재학습하지 않고 어떻게 미리 점검하고 교정하는지를 보인 데 있다. 이 점검과 보정은 모델 구조와 무관하므로 앞으로 공개될 모델에도 그대로 적용할 수 있다. 따라서 사전학습 시계열 모델의 예측구간을 실무 위험 관리에 활용할 때에는 모델과 사용 설정에 대한 사전 점검과 온라인 사후보정을 필수적인 절차로 결합해야 한다.</w:t>
      </w:r>
    </w:p>
    <w:p>
      <w:pPr>
        <w:pStyle w:val="Heading1"/>
        <w:keepNext/>
        <w:pageBreakBefore/>
      </w:pPr>
      <w:r>
        <w:rPr>
          <w:rFonts w:ascii="바탕" w:cs="바탕" w:eastAsia="바탕" w:hAnsi="바탕"/>
          <w:lang w:val="en-US" w:eastAsia="ko-KR"/>
        </w:rPr>
        <w:t xml:space="preserve">참고문헌</w:t>
      </w:r>
    </w:p>
    <w:p>
      <w:pPr>
        <w:spacing w:after="120" w:line="300"/>
        <w:ind w:left="480" w:hanging="480"/>
        <w:jc w:val="left"/>
      </w:pPr>
      <w:r>
        <w:rPr>
          <w:rFonts w:ascii="바탕" w:cs="바탕" w:eastAsia="바탕" w:hAnsi="바탕"/>
          <w:sz w:val="20"/>
          <w:szCs w:val="20"/>
          <w:lang w:val="en-US" w:eastAsia="ko-KR"/>
        </w:rPr>
        <w:t xml:space="preserve">Ansari, A. F., Shchur, O., Küken, J., Auer, A., Han, B., Mercado, P., et al. (2025). Chronos-2: From univariate to universal forecasting. arXiv:2510.15821.</w:t>
      </w:r>
    </w:p>
    <w:p>
      <w:pPr>
        <w:spacing w:after="120" w:line="300"/>
        <w:ind w:left="480" w:hanging="480"/>
        <w:jc w:val="left"/>
      </w:pPr>
      <w:r>
        <w:rPr>
          <w:rFonts w:ascii="바탕" w:cs="바탕" w:eastAsia="바탕" w:hAnsi="바탕"/>
          <w:sz w:val="20"/>
          <w:szCs w:val="20"/>
          <w:lang w:val="en-US" w:eastAsia="ko-KR"/>
        </w:rPr>
        <w:t xml:space="preserve">Ansari, A. F., Stella, L., Turkmen, C., Zhang, X., Mercado, P., Shen, H., et al. (2024). Chronos: Learning the language of time series. </w:t>
      </w:r>
      <w:r>
        <w:rPr>
          <w:rFonts w:ascii="바탕" w:cs="바탕" w:eastAsia="바탕" w:hAnsi="바탕"/>
          <w:i/>
          <w:iCs/>
          <w:sz w:val="20"/>
          <w:szCs w:val="20"/>
          <w:lang w:val="en-US" w:eastAsia="ko-KR"/>
        </w:rPr>
        <w:t xml:space="preserve">Transactions on Machine Learning Research</w:t>
      </w:r>
      <w:r>
        <w:rPr>
          <w:rFonts w:ascii="바탕" w:cs="바탕" w:eastAsia="바탕" w:hAnsi="바탕"/>
          <w:sz w:val="20"/>
          <w:szCs w:val="20"/>
          <w:lang w:val="en-US" w:eastAsia="ko-KR"/>
        </w:rPr>
        <w:t xml:space="preserve"> (10/2024). arXiv:2403.07815.</w:t>
      </w:r>
    </w:p>
    <w:p>
      <w:pPr>
        <w:spacing w:after="120" w:line="300"/>
        <w:ind w:left="480" w:hanging="480"/>
        <w:jc w:val="left"/>
      </w:pPr>
      <w:r>
        <w:rPr>
          <w:rFonts w:ascii="바탕" w:cs="바탕" w:eastAsia="바탕" w:hAnsi="바탕"/>
          <w:sz w:val="20"/>
          <w:szCs w:val="20"/>
          <w:lang w:val="en-US" w:eastAsia="ko-KR"/>
        </w:rPr>
        <w:t xml:space="preserve">Basel Committee on Banking Supervision. (1996). </w:t>
      </w:r>
      <w:r>
        <w:rPr>
          <w:rFonts w:ascii="바탕" w:cs="바탕" w:eastAsia="바탕" w:hAnsi="바탕"/>
          <w:i/>
          <w:iCs/>
          <w:sz w:val="20"/>
          <w:szCs w:val="20"/>
          <w:lang w:val="en-US" w:eastAsia="ko-KR"/>
        </w:rPr>
        <w:t xml:space="preserve">Supervisory framework for the use of "backtesting" in conjunction with the internal models approach to market risk capital requirements</w:t>
      </w:r>
      <w:r>
        <w:rPr>
          <w:rFonts w:ascii="바탕" w:cs="바탕" w:eastAsia="바탕" w:hAnsi="바탕"/>
          <w:sz w:val="20"/>
          <w:szCs w:val="20"/>
          <w:lang w:val="en-US" w:eastAsia="ko-KR"/>
        </w:rPr>
        <w:t xml:space="preserve">. Bank for International Settlements.</w:t>
      </w:r>
    </w:p>
    <w:p>
      <w:pPr>
        <w:spacing w:after="120" w:line="300"/>
        <w:ind w:left="480" w:hanging="480"/>
        <w:jc w:val="left"/>
      </w:pPr>
      <w:r>
        <w:rPr>
          <w:rFonts w:ascii="바탕" w:cs="바탕" w:eastAsia="바탕" w:hAnsi="바탕"/>
          <w:sz w:val="20"/>
          <w:szCs w:val="20"/>
          <w:lang w:val="en-US" w:eastAsia="ko-KR"/>
        </w:rPr>
        <w:t xml:space="preserve">Board of Governors of the Federal Reserve System. (2011). </w:t>
      </w:r>
      <w:r>
        <w:rPr>
          <w:rFonts w:ascii="바탕" w:cs="바탕" w:eastAsia="바탕" w:hAnsi="바탕"/>
          <w:i/>
          <w:iCs/>
          <w:sz w:val="20"/>
          <w:szCs w:val="20"/>
          <w:lang w:val="en-US" w:eastAsia="ko-KR"/>
        </w:rPr>
        <w:t xml:space="preserve">Supervisory guidance on model risk management</w:t>
      </w:r>
      <w:r>
        <w:rPr>
          <w:rFonts w:ascii="바탕" w:cs="바탕" w:eastAsia="바탕" w:hAnsi="바탕"/>
          <w:sz w:val="20"/>
          <w:szCs w:val="20"/>
          <w:lang w:val="en-US" w:eastAsia="ko-KR"/>
        </w:rPr>
        <w:t xml:space="preserve"> (SR Letter 11-7).</w:t>
      </w:r>
    </w:p>
    <w:p>
      <w:pPr>
        <w:spacing w:after="120" w:line="300"/>
        <w:ind w:left="480" w:hanging="480"/>
        <w:jc w:val="left"/>
      </w:pPr>
      <w:r>
        <w:rPr>
          <w:rFonts w:ascii="바탕" w:cs="바탕" w:eastAsia="바탕" w:hAnsi="바탕"/>
          <w:sz w:val="20"/>
          <w:szCs w:val="20"/>
          <w:lang w:val="en-US" w:eastAsia="ko-KR"/>
        </w:rPr>
        <w:t xml:space="preserve">Bollerslev, T. (1986). Generalized autoregressive conditional heteroskedasticity. </w:t>
      </w:r>
      <w:r>
        <w:rPr>
          <w:rFonts w:ascii="바탕" w:cs="바탕" w:eastAsia="바탕" w:hAnsi="바탕"/>
          <w:i/>
          <w:iCs/>
          <w:sz w:val="20"/>
          <w:szCs w:val="20"/>
          <w:lang w:val="en-US" w:eastAsia="ko-KR"/>
        </w:rPr>
        <w:t xml:space="preserve">Journal of Econometrics</w:t>
      </w:r>
      <w:r>
        <w:rPr>
          <w:rFonts w:ascii="바탕" w:cs="바탕" w:eastAsia="바탕" w:hAnsi="바탕"/>
          <w:sz w:val="20"/>
          <w:szCs w:val="20"/>
          <w:lang w:val="en-US" w:eastAsia="ko-KR"/>
        </w:rPr>
        <w:t xml:space="preserve">, 31(3), 307–327.</w:t>
      </w:r>
    </w:p>
    <w:p>
      <w:pPr>
        <w:spacing w:after="120" w:line="300"/>
        <w:ind w:left="480" w:hanging="480"/>
        <w:jc w:val="left"/>
      </w:pPr>
      <w:r>
        <w:rPr>
          <w:rFonts w:ascii="바탕" w:cs="바탕" w:eastAsia="바탕" w:hAnsi="바탕"/>
          <w:sz w:val="20"/>
          <w:szCs w:val="20"/>
          <w:lang w:val="en-US" w:eastAsia="ko-KR"/>
        </w:rPr>
        <w:t xml:space="preserve">Bommasani, R., Hudson, D. A., Adeli, E., Altman, R., Arora, S., von Arx, S., et al. (2021). On the opportunities and risks of foundation models. arXiv:2108.07258.</w:t>
      </w:r>
    </w:p>
    <w:p>
      <w:pPr>
        <w:spacing w:after="120" w:line="300"/>
        <w:ind w:left="480" w:hanging="480"/>
        <w:jc w:val="left"/>
      </w:pPr>
      <w:r>
        <w:rPr>
          <w:rFonts w:ascii="바탕" w:cs="바탕" w:eastAsia="바탕" w:hAnsi="바탕"/>
          <w:sz w:val="20"/>
          <w:szCs w:val="20"/>
          <w:lang w:val="en-US" w:eastAsia="ko-KR"/>
        </w:rPr>
        <w:t xml:space="preserve">Box, G. E. P., &amp; Jenkins, G. M. (1970). </w:t>
      </w:r>
      <w:r>
        <w:rPr>
          <w:rFonts w:ascii="바탕" w:cs="바탕" w:eastAsia="바탕" w:hAnsi="바탕"/>
          <w:i/>
          <w:iCs/>
          <w:sz w:val="20"/>
          <w:szCs w:val="20"/>
          <w:lang w:val="en-US" w:eastAsia="ko-KR"/>
        </w:rPr>
        <w:t xml:space="preserve">Time series analysis: Forecasting and control</w:t>
      </w:r>
      <w:r>
        <w:rPr>
          <w:rFonts w:ascii="바탕" w:cs="바탕" w:eastAsia="바탕" w:hAnsi="바탕"/>
          <w:sz w:val="20"/>
          <w:szCs w:val="20"/>
          <w:lang w:val="en-US" w:eastAsia="ko-KR"/>
        </w:rPr>
        <w:t xml:space="preserve">. Holden-Day.</w:t>
      </w:r>
    </w:p>
    <w:p>
      <w:pPr>
        <w:spacing w:after="120" w:line="300"/>
        <w:ind w:left="480" w:hanging="480"/>
        <w:jc w:val="left"/>
      </w:pPr>
      <w:r>
        <w:rPr>
          <w:rFonts w:ascii="바탕" w:cs="바탕" w:eastAsia="바탕" w:hAnsi="바탕"/>
          <w:sz w:val="20"/>
          <w:szCs w:val="20"/>
          <w:lang w:val="en-US" w:eastAsia="ko-KR"/>
        </w:rPr>
        <w:t xml:space="preserve">Brown, T., Mann, B., Ryder, N., Subbiah, M., Kaplan, J., Dhariwal, P., et al. (2020). Language models are few-shot learners. </w:t>
      </w:r>
      <w:r>
        <w:rPr>
          <w:rFonts w:ascii="바탕" w:cs="바탕" w:eastAsia="바탕" w:hAnsi="바탕"/>
          <w:i/>
          <w:iCs/>
          <w:sz w:val="20"/>
          <w:szCs w:val="20"/>
          <w:lang w:val="en-US" w:eastAsia="ko-KR"/>
        </w:rPr>
        <w:t xml:space="preserve">Advances in Neural Information Processing Systems</w:t>
      </w:r>
      <w:r>
        <w:rPr>
          <w:rFonts w:ascii="바탕" w:cs="바탕" w:eastAsia="바탕" w:hAnsi="바탕"/>
          <w:sz w:val="20"/>
          <w:szCs w:val="20"/>
          <w:lang w:val="en-US" w:eastAsia="ko-KR"/>
        </w:rPr>
        <w:t xml:space="preserve">, 33.</w:t>
      </w:r>
    </w:p>
    <w:p>
      <w:pPr>
        <w:spacing w:after="120" w:line="300"/>
        <w:ind w:left="480" w:hanging="480"/>
        <w:jc w:val="left"/>
      </w:pPr>
      <w:r>
        <w:rPr>
          <w:rFonts w:ascii="바탕" w:cs="바탕" w:eastAsia="바탕" w:hAnsi="바탕"/>
          <w:sz w:val="20"/>
          <w:szCs w:val="20"/>
          <w:lang w:val="en-US" w:eastAsia="ko-KR"/>
        </w:rPr>
        <w:t xml:space="preserve">Christoffersen, P. F. (1998). Evaluating interval forecasts. </w:t>
      </w:r>
      <w:r>
        <w:rPr>
          <w:rFonts w:ascii="바탕" w:cs="바탕" w:eastAsia="바탕" w:hAnsi="바탕"/>
          <w:i/>
          <w:iCs/>
          <w:sz w:val="20"/>
          <w:szCs w:val="20"/>
          <w:lang w:val="en-US" w:eastAsia="ko-KR"/>
        </w:rPr>
        <w:t xml:space="preserve">International Economic Review</w:t>
      </w:r>
      <w:r>
        <w:rPr>
          <w:rFonts w:ascii="바탕" w:cs="바탕" w:eastAsia="바탕" w:hAnsi="바탕"/>
          <w:sz w:val="20"/>
          <w:szCs w:val="20"/>
          <w:lang w:val="en-US" w:eastAsia="ko-KR"/>
        </w:rPr>
        <w:t xml:space="preserve">, 39(4), 841–862.</w:t>
      </w:r>
    </w:p>
    <w:p>
      <w:pPr>
        <w:spacing w:after="120" w:line="300"/>
        <w:ind w:left="480" w:hanging="480"/>
        <w:jc w:val="left"/>
      </w:pPr>
      <w:r>
        <w:rPr>
          <w:rFonts w:ascii="바탕" w:cs="바탕" w:eastAsia="바탕" w:hAnsi="바탕"/>
          <w:sz w:val="20"/>
          <w:szCs w:val="20"/>
          <w:lang w:val="en-US" w:eastAsia="ko-KR"/>
        </w:rPr>
        <w:t xml:space="preserve">Cont, R. (2001). Empirical properties of asset returns: Stylized facts and statistical issues. </w:t>
      </w:r>
      <w:r>
        <w:rPr>
          <w:rFonts w:ascii="바탕" w:cs="바탕" w:eastAsia="바탕" w:hAnsi="바탕"/>
          <w:i/>
          <w:iCs/>
          <w:sz w:val="20"/>
          <w:szCs w:val="20"/>
          <w:lang w:val="en-US" w:eastAsia="ko-KR"/>
        </w:rPr>
        <w:t xml:space="preserve">Quantitative Finance</w:t>
      </w:r>
      <w:r>
        <w:rPr>
          <w:rFonts w:ascii="바탕" w:cs="바탕" w:eastAsia="바탕" w:hAnsi="바탕"/>
          <w:sz w:val="20"/>
          <w:szCs w:val="20"/>
          <w:lang w:val="en-US" w:eastAsia="ko-KR"/>
        </w:rPr>
        <w:t xml:space="preserve">, 1(2), 223–236.</w:t>
      </w:r>
    </w:p>
    <w:p>
      <w:pPr>
        <w:spacing w:after="120" w:line="300"/>
        <w:ind w:left="480" w:hanging="480"/>
        <w:jc w:val="left"/>
      </w:pPr>
      <w:r>
        <w:rPr>
          <w:rFonts w:ascii="바탕" w:cs="바탕" w:eastAsia="바탕" w:hAnsi="바탕"/>
          <w:sz w:val="20"/>
          <w:szCs w:val="20"/>
          <w:lang w:val="en-US" w:eastAsia="ko-KR"/>
        </w:rPr>
        <w:t xml:space="preserve">Das, A., Kong, W., Sen, R., &amp; Zhou, Y. (2024). A decoder-only foundation model for time-series forecasting. </w:t>
      </w:r>
      <w:r>
        <w:rPr>
          <w:rFonts w:ascii="바탕" w:cs="바탕" w:eastAsia="바탕" w:hAnsi="바탕"/>
          <w:i/>
          <w:iCs/>
          <w:sz w:val="20"/>
          <w:szCs w:val="20"/>
          <w:lang w:val="en-US" w:eastAsia="ko-KR"/>
        </w:rPr>
        <w:t xml:space="preserve">Proceedings of the 41st International Conference on Machine Learning (ICML)</w:t>
      </w:r>
      <w:r>
        <w:rPr>
          <w:rFonts w:ascii="바탕" w:cs="바탕" w:eastAsia="바탕" w:hAnsi="바탕"/>
          <w:sz w:val="20"/>
          <w:szCs w:val="20"/>
          <w:lang w:val="en-US" w:eastAsia="ko-KR"/>
        </w:rPr>
        <w:t xml:space="preserve">. arXiv:2310.10688.</w:t>
      </w:r>
    </w:p>
    <w:p>
      <w:pPr>
        <w:spacing w:after="120" w:line="300"/>
        <w:ind w:left="480" w:hanging="480"/>
        <w:jc w:val="left"/>
      </w:pPr>
      <w:r>
        <w:rPr>
          <w:rFonts w:ascii="바탕" w:cs="바탕" w:eastAsia="바탕" w:hAnsi="바탕"/>
          <w:sz w:val="20"/>
          <w:szCs w:val="20"/>
          <w:lang w:val="en-US" w:eastAsia="ko-KR"/>
        </w:rPr>
        <w:t xml:space="preserve">Engle, R. F. (1982). Autoregressive conditional heteroscedasticity with estimates of the variance of United Kingdom inflation. </w:t>
      </w:r>
      <w:r>
        <w:rPr>
          <w:rFonts w:ascii="바탕" w:cs="바탕" w:eastAsia="바탕" w:hAnsi="바탕"/>
          <w:i/>
          <w:iCs/>
          <w:sz w:val="20"/>
          <w:szCs w:val="20"/>
          <w:lang w:val="en-US" w:eastAsia="ko-KR"/>
        </w:rPr>
        <w:t xml:space="preserve">Econometrica</w:t>
      </w:r>
      <w:r>
        <w:rPr>
          <w:rFonts w:ascii="바탕" w:cs="바탕" w:eastAsia="바탕" w:hAnsi="바탕"/>
          <w:sz w:val="20"/>
          <w:szCs w:val="20"/>
          <w:lang w:val="en-US" w:eastAsia="ko-KR"/>
        </w:rPr>
        <w:t xml:space="preserve">, 50(4), 987–1007.</w:t>
      </w:r>
    </w:p>
    <w:p>
      <w:pPr>
        <w:spacing w:after="120" w:line="300"/>
        <w:ind w:left="480" w:hanging="480"/>
        <w:jc w:val="left"/>
      </w:pPr>
      <w:r>
        <w:rPr>
          <w:rFonts w:ascii="바탕" w:cs="바탕" w:eastAsia="바탕" w:hAnsi="바탕"/>
          <w:sz w:val="20"/>
          <w:szCs w:val="20"/>
          <w:lang w:val="en-US" w:eastAsia="ko-KR"/>
        </w:rPr>
        <w:t xml:space="preserve">Fama, E. F. (1970). Efficient capital markets: A review of theory and empirical work. </w:t>
      </w:r>
      <w:r>
        <w:rPr>
          <w:rFonts w:ascii="바탕" w:cs="바탕" w:eastAsia="바탕" w:hAnsi="바탕"/>
          <w:i/>
          <w:iCs/>
          <w:sz w:val="20"/>
          <w:szCs w:val="20"/>
          <w:lang w:val="en-US" w:eastAsia="ko-KR"/>
        </w:rPr>
        <w:t xml:space="preserve">The Journal of Finance</w:t>
      </w:r>
      <w:r>
        <w:rPr>
          <w:rFonts w:ascii="바탕" w:cs="바탕" w:eastAsia="바탕" w:hAnsi="바탕"/>
          <w:sz w:val="20"/>
          <w:szCs w:val="20"/>
          <w:lang w:val="en-US" w:eastAsia="ko-KR"/>
        </w:rPr>
        <w:t xml:space="preserve">, 25(2), 383–417.</w:t>
      </w:r>
    </w:p>
    <w:p>
      <w:pPr>
        <w:spacing w:after="120" w:line="300"/>
        <w:ind w:left="480" w:hanging="480"/>
        <w:jc w:val="left"/>
      </w:pPr>
      <w:r>
        <w:rPr>
          <w:rFonts w:ascii="바탕" w:cs="바탕" w:eastAsia="바탕" w:hAnsi="바탕"/>
          <w:sz w:val="20"/>
          <w:szCs w:val="20"/>
          <w:lang w:val="en-US" w:eastAsia="ko-KR"/>
        </w:rPr>
        <w:t xml:space="preserve">Gibbs, I., &amp; Candès, E. (2021). Adaptive conformal inference under distribution shift. </w:t>
      </w:r>
      <w:r>
        <w:rPr>
          <w:rFonts w:ascii="바탕" w:cs="바탕" w:eastAsia="바탕" w:hAnsi="바탕"/>
          <w:i/>
          <w:iCs/>
          <w:sz w:val="20"/>
          <w:szCs w:val="20"/>
          <w:lang w:val="en-US" w:eastAsia="ko-KR"/>
        </w:rPr>
        <w:t xml:space="preserve">Advances in Neural Information Processing Systems</w:t>
      </w:r>
      <w:r>
        <w:rPr>
          <w:rFonts w:ascii="바탕" w:cs="바탕" w:eastAsia="바탕" w:hAnsi="바탕"/>
          <w:sz w:val="20"/>
          <w:szCs w:val="20"/>
          <w:lang w:val="en-US" w:eastAsia="ko-KR"/>
        </w:rPr>
        <w:t xml:space="preserve">, 34.</w:t>
      </w:r>
    </w:p>
    <w:p>
      <w:pPr>
        <w:spacing w:after="120" w:line="300"/>
        <w:ind w:left="480" w:hanging="480"/>
        <w:jc w:val="left"/>
      </w:pPr>
      <w:r>
        <w:rPr>
          <w:rFonts w:ascii="바탕" w:cs="바탕" w:eastAsia="바탕" w:hAnsi="바탕"/>
          <w:sz w:val="20"/>
          <w:szCs w:val="20"/>
          <w:lang w:val="en-US" w:eastAsia="ko-KR"/>
        </w:rPr>
        <w:t xml:space="preserve">Gneiting, T., &amp; Raftery, A. E. (2007). Strictly proper scoring rules, prediction, and estimation. </w:t>
      </w:r>
      <w:r>
        <w:rPr>
          <w:rFonts w:ascii="바탕" w:cs="바탕" w:eastAsia="바탕" w:hAnsi="바탕"/>
          <w:i/>
          <w:iCs/>
          <w:sz w:val="20"/>
          <w:szCs w:val="20"/>
          <w:lang w:val="en-US" w:eastAsia="ko-KR"/>
        </w:rPr>
        <w:t xml:space="preserve">Journal of the American Statistical Association</w:t>
      </w:r>
      <w:r>
        <w:rPr>
          <w:rFonts w:ascii="바탕" w:cs="바탕" w:eastAsia="바탕" w:hAnsi="바탕"/>
          <w:sz w:val="20"/>
          <w:szCs w:val="20"/>
          <w:lang w:val="en-US" w:eastAsia="ko-KR"/>
        </w:rPr>
        <w:t xml:space="preserve">, 102(477), 359–378.</w:t>
      </w:r>
    </w:p>
    <w:p>
      <w:pPr>
        <w:spacing w:after="120" w:line="300"/>
        <w:ind w:left="480" w:hanging="480"/>
        <w:jc w:val="left"/>
      </w:pPr>
      <w:r>
        <w:rPr>
          <w:rFonts w:ascii="바탕" w:cs="바탕" w:eastAsia="바탕" w:hAnsi="바탕"/>
          <w:sz w:val="20"/>
          <w:szCs w:val="20"/>
          <w:lang w:val="en-US" w:eastAsia="ko-KR"/>
        </w:rPr>
        <w:t xml:space="preserve">Gneiting, T., Balabdaoui, F., &amp; Raftery, A. E. (2007). Probabilistic forecasts, calibration and sharpness. </w:t>
      </w:r>
      <w:r>
        <w:rPr>
          <w:rFonts w:ascii="바탕" w:cs="바탕" w:eastAsia="바탕" w:hAnsi="바탕"/>
          <w:i/>
          <w:iCs/>
          <w:sz w:val="20"/>
          <w:szCs w:val="20"/>
          <w:lang w:val="en-US" w:eastAsia="ko-KR"/>
        </w:rPr>
        <w:t xml:space="preserve">Journal of the Royal Statistical Society: Series B</w:t>
      </w:r>
      <w:r>
        <w:rPr>
          <w:rFonts w:ascii="바탕" w:cs="바탕" w:eastAsia="바탕" w:hAnsi="바탕"/>
          <w:sz w:val="20"/>
          <w:szCs w:val="20"/>
          <w:lang w:val="en-US" w:eastAsia="ko-KR"/>
        </w:rPr>
        <w:t xml:space="preserve">, 69(2), 243–268.</w:t>
      </w:r>
    </w:p>
    <w:p>
      <w:pPr>
        <w:spacing w:after="120" w:line="300"/>
        <w:ind w:left="480" w:hanging="480"/>
        <w:jc w:val="left"/>
      </w:pPr>
      <w:r>
        <w:rPr>
          <w:rFonts w:ascii="바탕" w:cs="바탕" w:eastAsia="바탕" w:hAnsi="바탕"/>
          <w:sz w:val="20"/>
          <w:szCs w:val="20"/>
          <w:lang w:val="en-US" w:eastAsia="ko-KR"/>
        </w:rPr>
        <w:t xml:space="preserve">Hamilton, J. D. (1989). A new approach to the economic analysis of nonstationary time series and the business cycle. </w:t>
      </w:r>
      <w:r>
        <w:rPr>
          <w:rFonts w:ascii="바탕" w:cs="바탕" w:eastAsia="바탕" w:hAnsi="바탕"/>
          <w:i/>
          <w:iCs/>
          <w:sz w:val="20"/>
          <w:szCs w:val="20"/>
          <w:lang w:val="en-US" w:eastAsia="ko-KR"/>
        </w:rPr>
        <w:t xml:space="preserve">Econometrica</w:t>
      </w:r>
      <w:r>
        <w:rPr>
          <w:rFonts w:ascii="바탕" w:cs="바탕" w:eastAsia="바탕" w:hAnsi="바탕"/>
          <w:sz w:val="20"/>
          <w:szCs w:val="20"/>
          <w:lang w:val="en-US" w:eastAsia="ko-KR"/>
        </w:rPr>
        <w:t xml:space="preserve">, 57(2), 357–384.</w:t>
      </w:r>
    </w:p>
    <w:p>
      <w:pPr>
        <w:spacing w:after="120" w:line="300"/>
        <w:ind w:left="480" w:hanging="480"/>
        <w:jc w:val="left"/>
      </w:pPr>
      <w:r>
        <w:rPr>
          <w:rFonts w:ascii="바탕" w:cs="바탕" w:eastAsia="바탕" w:hAnsi="바탕"/>
          <w:sz w:val="20"/>
          <w:szCs w:val="20"/>
          <w:lang w:val="en-US" w:eastAsia="ko-KR"/>
        </w:rPr>
        <w:t xml:space="preserve">Holm, S. (1979). A simple sequentially rejective multiple test procedure. </w:t>
      </w:r>
      <w:r>
        <w:rPr>
          <w:rFonts w:ascii="바탕" w:cs="바탕" w:eastAsia="바탕" w:hAnsi="바탕"/>
          <w:i/>
          <w:iCs/>
          <w:sz w:val="20"/>
          <w:szCs w:val="20"/>
          <w:lang w:val="en-US" w:eastAsia="ko-KR"/>
        </w:rPr>
        <w:t xml:space="preserve">Scandinavian Journal of Statistics</w:t>
      </w:r>
      <w:r>
        <w:rPr>
          <w:rFonts w:ascii="바탕" w:cs="바탕" w:eastAsia="바탕" w:hAnsi="바탕"/>
          <w:sz w:val="20"/>
          <w:szCs w:val="20"/>
          <w:lang w:val="en-US" w:eastAsia="ko-KR"/>
        </w:rPr>
        <w:t xml:space="preserve">, 6(2), 65–70.</w:t>
      </w:r>
    </w:p>
    <w:p>
      <w:pPr>
        <w:spacing w:after="120" w:line="300"/>
        <w:ind w:left="480" w:hanging="480"/>
        <w:jc w:val="left"/>
      </w:pPr>
      <w:r>
        <w:rPr>
          <w:rFonts w:ascii="바탕" w:cs="바탕" w:eastAsia="바탕" w:hAnsi="바탕"/>
          <w:sz w:val="20"/>
          <w:szCs w:val="20"/>
          <w:lang w:val="en-US" w:eastAsia="ko-KR"/>
        </w:rPr>
        <w:t xml:space="preserve">Koenker, R., &amp; Bassett, G. (1978). Regression quantiles. </w:t>
      </w:r>
      <w:r>
        <w:rPr>
          <w:rFonts w:ascii="바탕" w:cs="바탕" w:eastAsia="바탕" w:hAnsi="바탕"/>
          <w:i/>
          <w:iCs/>
          <w:sz w:val="20"/>
          <w:szCs w:val="20"/>
          <w:lang w:val="en-US" w:eastAsia="ko-KR"/>
        </w:rPr>
        <w:t xml:space="preserve">Econometrica</w:t>
      </w:r>
      <w:r>
        <w:rPr>
          <w:rFonts w:ascii="바탕" w:cs="바탕" w:eastAsia="바탕" w:hAnsi="바탕"/>
          <w:sz w:val="20"/>
          <w:szCs w:val="20"/>
          <w:lang w:val="en-US" w:eastAsia="ko-KR"/>
        </w:rPr>
        <w:t xml:space="preserve">, 46(1), 33–50.</w:t>
      </w:r>
    </w:p>
    <w:p>
      <w:pPr>
        <w:spacing w:after="120" w:line="300"/>
        <w:ind w:left="480" w:hanging="480"/>
        <w:jc w:val="left"/>
      </w:pPr>
      <w:r>
        <w:rPr>
          <w:rFonts w:ascii="바탕" w:cs="바탕" w:eastAsia="바탕" w:hAnsi="바탕"/>
          <w:sz w:val="20"/>
          <w:szCs w:val="20"/>
          <w:lang w:val="en-US" w:eastAsia="ko-KR"/>
        </w:rPr>
        <w:t xml:space="preserve">Kupiec, P. H. (1995). Techniques for verifying the accuracy of risk measurement models. </w:t>
      </w:r>
      <w:r>
        <w:rPr>
          <w:rFonts w:ascii="바탕" w:cs="바탕" w:eastAsia="바탕" w:hAnsi="바탕"/>
          <w:i/>
          <w:iCs/>
          <w:sz w:val="20"/>
          <w:szCs w:val="20"/>
          <w:lang w:val="en-US" w:eastAsia="ko-KR"/>
        </w:rPr>
        <w:t xml:space="preserve">The Journal of Derivatives</w:t>
      </w:r>
      <w:r>
        <w:rPr>
          <w:rFonts w:ascii="바탕" w:cs="바탕" w:eastAsia="바탕" w:hAnsi="바탕"/>
          <w:sz w:val="20"/>
          <w:szCs w:val="20"/>
          <w:lang w:val="en-US" w:eastAsia="ko-KR"/>
        </w:rPr>
        <w:t xml:space="preserve">, 3(2), 73–84.</w:t>
      </w:r>
    </w:p>
    <w:p>
      <w:pPr>
        <w:spacing w:after="120" w:line="300"/>
        <w:ind w:left="480" w:hanging="480"/>
        <w:jc w:val="left"/>
      </w:pPr>
      <w:r>
        <w:rPr>
          <w:rFonts w:ascii="바탕" w:cs="바탕" w:eastAsia="바탕" w:hAnsi="바탕"/>
          <w:sz w:val="20"/>
          <w:szCs w:val="20"/>
          <w:lang w:val="en-US" w:eastAsia="ko-KR"/>
        </w:rPr>
        <w:t xml:space="preserve">Lei, J., G'Sell, M., Rinaldo, A., Tibshirani, R. J., &amp; Wasserman, L. (2018). Distribution-free predictive inference for regression. </w:t>
      </w:r>
      <w:r>
        <w:rPr>
          <w:rFonts w:ascii="바탕" w:cs="바탕" w:eastAsia="바탕" w:hAnsi="바탕"/>
          <w:i/>
          <w:iCs/>
          <w:sz w:val="20"/>
          <w:szCs w:val="20"/>
          <w:lang w:val="en-US" w:eastAsia="ko-KR"/>
        </w:rPr>
        <w:t xml:space="preserve">Journal of the American Statistical Association</w:t>
      </w:r>
      <w:r>
        <w:rPr>
          <w:rFonts w:ascii="바탕" w:cs="바탕" w:eastAsia="바탕" w:hAnsi="바탕"/>
          <w:sz w:val="20"/>
          <w:szCs w:val="20"/>
          <w:lang w:val="en-US" w:eastAsia="ko-KR"/>
        </w:rPr>
        <w:t xml:space="preserve">, 113(523), 1094–1111.</w:t>
      </w:r>
    </w:p>
    <w:p>
      <w:pPr>
        <w:spacing w:after="120" w:line="300"/>
        <w:ind w:left="480" w:hanging="480"/>
        <w:jc w:val="left"/>
      </w:pPr>
      <w:r>
        <w:rPr>
          <w:rFonts w:ascii="바탕" w:cs="바탕" w:eastAsia="바탕" w:hAnsi="바탕"/>
          <w:sz w:val="20"/>
          <w:szCs w:val="20"/>
          <w:lang w:val="en-US" w:eastAsia="ko-KR"/>
        </w:rPr>
        <w:t xml:space="preserve">Liu, C., Aksu, T., Liu, J., Liu, X., Yan, H., Pham, Q., et al. (2025). Moirai 2.0: When less is more for time series forecasting. arXiv:2511.11698.</w:t>
      </w:r>
    </w:p>
    <w:p>
      <w:pPr>
        <w:spacing w:after="120" w:line="300"/>
        <w:ind w:left="480" w:hanging="480"/>
        <w:jc w:val="left"/>
      </w:pPr>
      <w:r>
        <w:rPr>
          <w:rFonts w:ascii="바탕" w:cs="바탕" w:eastAsia="바탕" w:hAnsi="바탕"/>
          <w:sz w:val="20"/>
          <w:szCs w:val="20"/>
          <w:lang w:val="en-US" w:eastAsia="ko-KR"/>
        </w:rPr>
        <w:t xml:space="preserve">Moreira, A., &amp; Muir, T. (2017). Volatility-managed portfolios. </w:t>
      </w:r>
      <w:r>
        <w:rPr>
          <w:rFonts w:ascii="바탕" w:cs="바탕" w:eastAsia="바탕" w:hAnsi="바탕"/>
          <w:i/>
          <w:iCs/>
          <w:sz w:val="20"/>
          <w:szCs w:val="20"/>
          <w:lang w:val="en-US" w:eastAsia="ko-KR"/>
        </w:rPr>
        <w:t xml:space="preserve">The Journal of Finance</w:t>
      </w:r>
      <w:r>
        <w:rPr>
          <w:rFonts w:ascii="바탕" w:cs="바탕" w:eastAsia="바탕" w:hAnsi="바탕"/>
          <w:sz w:val="20"/>
          <w:szCs w:val="20"/>
          <w:lang w:val="en-US" w:eastAsia="ko-KR"/>
        </w:rPr>
        <w:t xml:space="preserve">, 72(4), 1611–1644.</w:t>
      </w:r>
    </w:p>
    <w:p>
      <w:pPr>
        <w:spacing w:after="120" w:line="300"/>
        <w:ind w:left="480" w:hanging="480"/>
        <w:jc w:val="left"/>
      </w:pPr>
      <w:r>
        <w:rPr>
          <w:rFonts w:ascii="바탕" w:cs="바탕" w:eastAsia="바탕" w:hAnsi="바탕"/>
          <w:sz w:val="20"/>
          <w:szCs w:val="20"/>
          <w:lang w:val="en-US" w:eastAsia="ko-KR"/>
        </w:rPr>
        <w:t xml:space="preserve">Nie, Y., Nguyen, N. H., Sinthong, P., &amp; Kalagnanam, J. (2023). A time series is worth 64 words: Long-term forecasting with transformers. </w:t>
      </w:r>
      <w:r>
        <w:rPr>
          <w:rFonts w:ascii="바탕" w:cs="바탕" w:eastAsia="바탕" w:hAnsi="바탕"/>
          <w:i/>
          <w:iCs/>
          <w:sz w:val="20"/>
          <w:szCs w:val="20"/>
          <w:lang w:val="en-US" w:eastAsia="ko-KR"/>
        </w:rPr>
        <w:t xml:space="preserve">International Conference on Learning Representations (ICLR)</w:t>
      </w:r>
      <w:r>
        <w:rPr>
          <w:rFonts w:ascii="바탕" w:cs="바탕" w:eastAsia="바탕" w:hAnsi="바탕"/>
          <w:sz w:val="20"/>
          <w:szCs w:val="20"/>
          <w:lang w:val="en-US" w:eastAsia="ko-KR"/>
        </w:rPr>
        <w:t xml:space="preserve">. arXiv:2211.14730.</w:t>
      </w:r>
    </w:p>
    <w:p>
      <w:pPr>
        <w:spacing w:after="120" w:line="300"/>
        <w:ind w:left="480" w:hanging="480"/>
        <w:jc w:val="left"/>
      </w:pPr>
      <w:r>
        <w:rPr>
          <w:rFonts w:ascii="바탕" w:cs="바탕" w:eastAsia="바탕" w:hAnsi="바탕"/>
          <w:sz w:val="20"/>
          <w:szCs w:val="20"/>
          <w:lang w:val="en-US" w:eastAsia="ko-KR"/>
        </w:rPr>
        <w:t xml:space="preserve">Noguer i Alonso, M., &amp; Franklin, R. P. (2026). Pretrained time-series foundation models for financial return forecasting. arXiv:2606.27100.</w:t>
      </w:r>
    </w:p>
    <w:p>
      <w:pPr>
        <w:spacing w:after="120" w:line="300"/>
        <w:ind w:left="480" w:hanging="480"/>
        <w:jc w:val="left"/>
      </w:pPr>
      <w:r>
        <w:rPr>
          <w:rFonts w:ascii="바탕" w:cs="바탕" w:eastAsia="바탕" w:hAnsi="바탕"/>
          <w:sz w:val="20"/>
          <w:szCs w:val="20"/>
          <w:lang w:val="en-US" w:eastAsia="ko-KR"/>
        </w:rPr>
        <w:t xml:space="preserve">Rahimikia, E., Ni, H., &amp; Wang, W. (2025). Re(Visiting) time series foundation models in finance. arXiv:2511.18578.</w:t>
      </w:r>
    </w:p>
    <w:p>
      <w:pPr>
        <w:spacing w:after="120" w:line="300"/>
        <w:ind w:left="480" w:hanging="480"/>
        <w:jc w:val="left"/>
      </w:pPr>
      <w:r>
        <w:rPr>
          <w:rFonts w:ascii="바탕" w:cs="바탕" w:eastAsia="바탕" w:hAnsi="바탕"/>
          <w:sz w:val="20"/>
          <w:szCs w:val="20"/>
          <w:lang w:val="en-US" w:eastAsia="ko-KR"/>
        </w:rPr>
        <w:t xml:space="preserve">Romano, Y., Patterson, E., &amp; Candès, E. (2019). Conformalized quantile regression. </w:t>
      </w:r>
      <w:r>
        <w:rPr>
          <w:rFonts w:ascii="바탕" w:cs="바탕" w:eastAsia="바탕" w:hAnsi="바탕"/>
          <w:i/>
          <w:iCs/>
          <w:sz w:val="20"/>
          <w:szCs w:val="20"/>
          <w:lang w:val="en-US" w:eastAsia="ko-KR"/>
        </w:rPr>
        <w:t xml:space="preserve">Advances in Neural Information Processing Systems</w:t>
      </w:r>
      <w:r>
        <w:rPr>
          <w:rFonts w:ascii="바탕" w:cs="바탕" w:eastAsia="바탕" w:hAnsi="바탕"/>
          <w:sz w:val="20"/>
          <w:szCs w:val="20"/>
          <w:lang w:val="en-US" w:eastAsia="ko-KR"/>
        </w:rPr>
        <w:t xml:space="preserve">, 32.</w:t>
      </w:r>
    </w:p>
    <w:p>
      <w:pPr>
        <w:spacing w:after="120" w:line="300"/>
        <w:ind w:left="480" w:hanging="480"/>
        <w:jc w:val="left"/>
      </w:pPr>
      <w:r>
        <w:rPr>
          <w:rFonts w:ascii="바탕" w:cs="바탕" w:eastAsia="바탕" w:hAnsi="바탕"/>
          <w:sz w:val="20"/>
          <w:szCs w:val="20"/>
          <w:lang w:val="en-US" w:eastAsia="ko-KR"/>
        </w:rPr>
        <w:t xml:space="preserve">Salinas, D., Flunkert, V., Gasthaus, J., &amp; Januschowski, T. (2020). DeepAR: Probabilistic forecasting with autoregressive recurrent networks. </w:t>
      </w:r>
      <w:r>
        <w:rPr>
          <w:rFonts w:ascii="바탕" w:cs="바탕" w:eastAsia="바탕" w:hAnsi="바탕"/>
          <w:i/>
          <w:iCs/>
          <w:sz w:val="20"/>
          <w:szCs w:val="20"/>
          <w:lang w:val="en-US" w:eastAsia="ko-KR"/>
        </w:rPr>
        <w:t xml:space="preserve">International Journal of Forecasting</w:t>
      </w:r>
      <w:r>
        <w:rPr>
          <w:rFonts w:ascii="바탕" w:cs="바탕" w:eastAsia="바탕" w:hAnsi="바탕"/>
          <w:sz w:val="20"/>
          <w:szCs w:val="20"/>
          <w:lang w:val="en-US" w:eastAsia="ko-KR"/>
        </w:rPr>
        <w:t xml:space="preserve">, 36(3), 1181–1191.</w:t>
      </w:r>
    </w:p>
    <w:p>
      <w:pPr>
        <w:spacing w:after="120" w:line="300"/>
        <w:ind w:left="480" w:hanging="480"/>
        <w:jc w:val="left"/>
      </w:pPr>
      <w:r>
        <w:rPr>
          <w:rFonts w:ascii="바탕" w:cs="바탕" w:eastAsia="바탕" w:hAnsi="바탕"/>
          <w:sz w:val="20"/>
          <w:szCs w:val="20"/>
          <w:lang w:val="en-US" w:eastAsia="ko-KR"/>
        </w:rPr>
        <w:t xml:space="preserve">Sun, J., Koa, K. J. L., Ni, R., Liu, Y., Chen, H., &amp; Huang, K.-W. (2026). FinStressTS: A parametric synthetic benchmark for time-series forecasting in finance. </w:t>
      </w:r>
      <w:r>
        <w:rPr>
          <w:rFonts w:ascii="바탕" w:cs="바탕" w:eastAsia="바탕" w:hAnsi="바탕"/>
          <w:i/>
          <w:iCs/>
          <w:sz w:val="20"/>
          <w:szCs w:val="20"/>
          <w:lang w:val="en-US" w:eastAsia="ko-KR"/>
        </w:rPr>
        <w:t xml:space="preserve">Proceedings of the 32nd ACM SIGKDD Conference on Knowledge Discovery and Data Mining (KDD '26)</w:t>
      </w:r>
      <w:r>
        <w:rPr>
          <w:rFonts w:ascii="바탕" w:cs="바탕" w:eastAsia="바탕" w:hAnsi="바탕"/>
          <w:sz w:val="20"/>
          <w:szCs w:val="20"/>
          <w:lang w:val="en-US" w:eastAsia="ko-KR"/>
        </w:rPr>
        <w:t xml:space="preserve">. arXiv:2606.03184.</w:t>
      </w:r>
    </w:p>
    <w:p>
      <w:pPr>
        <w:spacing w:after="120" w:line="300"/>
        <w:ind w:left="480" w:hanging="480"/>
        <w:jc w:val="left"/>
      </w:pPr>
      <w:r>
        <w:rPr>
          <w:rFonts w:ascii="바탕" w:cs="바탕" w:eastAsia="바탕" w:hAnsi="바탕"/>
          <w:sz w:val="20"/>
          <w:szCs w:val="20"/>
          <w:lang w:val="en-US" w:eastAsia="ko-KR"/>
        </w:rPr>
        <w:t xml:space="preserve">Vaswani, A., Shazeer, N., Parmar, N., Uszkoreit, J., Jones, L., Gomez, A. N., et al. (2017). Attention is all you need. </w:t>
      </w:r>
      <w:r>
        <w:rPr>
          <w:rFonts w:ascii="바탕" w:cs="바탕" w:eastAsia="바탕" w:hAnsi="바탕"/>
          <w:i/>
          <w:iCs/>
          <w:sz w:val="20"/>
          <w:szCs w:val="20"/>
          <w:lang w:val="en-US" w:eastAsia="ko-KR"/>
        </w:rPr>
        <w:t xml:space="preserve">Advances in Neural Information Processing Systems</w:t>
      </w:r>
      <w:r>
        <w:rPr>
          <w:rFonts w:ascii="바탕" w:cs="바탕" w:eastAsia="바탕" w:hAnsi="바탕"/>
          <w:sz w:val="20"/>
          <w:szCs w:val="20"/>
          <w:lang w:val="en-US" w:eastAsia="ko-KR"/>
        </w:rPr>
        <w:t xml:space="preserve">, 30.</w:t>
      </w:r>
    </w:p>
    <w:p>
      <w:pPr>
        <w:spacing w:after="120" w:line="300"/>
        <w:ind w:left="480" w:hanging="480"/>
        <w:jc w:val="left"/>
      </w:pPr>
      <w:r>
        <w:rPr>
          <w:rFonts w:ascii="바탕" w:cs="바탕" w:eastAsia="바탕" w:hAnsi="바탕"/>
          <w:sz w:val="20"/>
          <w:szCs w:val="20"/>
          <w:lang w:val="en-US" w:eastAsia="ko-KR"/>
        </w:rPr>
        <w:t xml:space="preserve">Vovk, V., Gammerman, A., &amp; Shafer, G. (2005). </w:t>
      </w:r>
      <w:r>
        <w:rPr>
          <w:rFonts w:ascii="바탕" w:cs="바탕" w:eastAsia="바탕" w:hAnsi="바탕"/>
          <w:i/>
          <w:iCs/>
          <w:sz w:val="20"/>
          <w:szCs w:val="20"/>
          <w:lang w:val="en-US" w:eastAsia="ko-KR"/>
        </w:rPr>
        <w:t xml:space="preserve">Algorithmic learning in a random world</w:t>
      </w:r>
      <w:r>
        <w:rPr>
          <w:rFonts w:ascii="바탕" w:cs="바탕" w:eastAsia="바탕" w:hAnsi="바탕"/>
          <w:sz w:val="20"/>
          <w:szCs w:val="20"/>
          <w:lang w:val="en-US" w:eastAsia="ko-KR"/>
        </w:rPr>
        <w:t xml:space="preserve">. Springer.</w:t>
      </w:r>
    </w:p>
    <w:p>
      <w:pPr>
        <w:spacing w:after="120" w:line="300"/>
        <w:ind w:left="480" w:hanging="480"/>
        <w:jc w:val="left"/>
      </w:pPr>
      <w:r>
        <w:rPr>
          <w:rFonts w:ascii="바탕" w:cs="바탕" w:eastAsia="바탕" w:hAnsi="바탕"/>
          <w:sz w:val="20"/>
          <w:szCs w:val="20"/>
          <w:lang w:val="en-US" w:eastAsia="ko-KR"/>
        </w:rPr>
        <w:t xml:space="preserve">Wang, T., Ennadir, S., Pertoft, J., Zarzar Gandler, G., Cao, L., Senane, Z., et al. (2025). Frequency matters: When time series foundation models fail under spectral shift. NeurIPS 2025 Workshop on Recent Advances in Time Series Foundation Models. arXiv:2511.05619.</w:t>
      </w:r>
    </w:p>
    <w:p>
      <w:pPr>
        <w:spacing w:after="120" w:line="300"/>
        <w:ind w:left="480" w:hanging="480"/>
        <w:jc w:val="left"/>
      </w:pPr>
      <w:r>
        <w:rPr>
          <w:rFonts w:ascii="바탕" w:cs="바탕" w:eastAsia="바탕" w:hAnsi="바탕"/>
          <w:sz w:val="20"/>
          <w:szCs w:val="20"/>
          <w:lang w:val="en-US" w:eastAsia="ko-KR"/>
        </w:rPr>
        <w:t xml:space="preserve">Woo, G., Liu, C., Kumar, A., Xiong, C., Savarese, S., &amp; Sahoo, D. (2024). Unified training of universal time series forecasting transformers. </w:t>
      </w:r>
      <w:r>
        <w:rPr>
          <w:rFonts w:ascii="바탕" w:cs="바탕" w:eastAsia="바탕" w:hAnsi="바탕"/>
          <w:i/>
          <w:iCs/>
          <w:sz w:val="20"/>
          <w:szCs w:val="20"/>
          <w:lang w:val="en-US" w:eastAsia="ko-KR"/>
        </w:rPr>
        <w:t xml:space="preserve">Proceedings of the 41st International Conference on Machine Learning (ICML)</w:t>
      </w:r>
      <w:r>
        <w:rPr>
          <w:rFonts w:ascii="바탕" w:cs="바탕" w:eastAsia="바탕" w:hAnsi="바탕"/>
          <w:sz w:val="20"/>
          <w:szCs w:val="20"/>
          <w:lang w:val="en-US" w:eastAsia="ko-KR"/>
        </w:rPr>
        <w:t xml:space="preserve">. arXiv:2402.02592.</w:t>
      </w:r>
    </w:p>
    <w:p>
      <w:pPr>
        <w:spacing w:after="120" w:line="300"/>
        <w:ind w:left="480" w:hanging="480"/>
        <w:jc w:val="left"/>
      </w:pPr>
      <w:r>
        <w:rPr>
          <w:rFonts w:ascii="바탕" w:cs="바탕" w:eastAsia="바탕" w:hAnsi="바탕"/>
          <w:sz w:val="20"/>
          <w:szCs w:val="20"/>
          <w:lang w:val="en-US" w:eastAsia="ko-KR"/>
        </w:rPr>
        <w:t xml:space="preserve">(소프트웨어) chronos-forecasting 2.3.2, timesfm 3.0.2, uni2ts 2.0.0, arch 8.0.0. 데이터: yfinance, FinanceDataReader, FinanceData/marcap.</w:t>
      </w:r>
    </w:p>
    <w:p>
      <w:pPr>
        <w:pStyle w:val="Heading1"/>
        <w:keepNext/>
        <w:pageBreakBefore/>
      </w:pPr>
      <w:r>
        <w:rPr>
          <w:rFonts w:ascii="바탕" w:cs="바탕" w:eastAsia="바탕" w:hAnsi="바탕"/>
          <w:lang w:val="en-US" w:eastAsia="ko-KR"/>
        </w:rPr>
        <w:t xml:space="preserve">부록 A. 실험 절차와 재현 정보</w:t>
      </w:r>
    </w:p>
    <w:p>
      <w:pPr>
        <w:pStyle w:val="Heading3"/>
        <w:keepNext/>
        <w:spacing w:after="160" w:before="360"/>
      </w:pPr>
      <w:r>
        <w:rPr>
          <w:rFonts w:ascii="바탕" w:cs="바탕" w:eastAsia="바탕" w:hAnsi="바탕"/>
          <w:b/>
          <w:bCs/>
          <w:sz w:val="26"/>
          <w:szCs w:val="26"/>
          <w:lang w:val="en-US" w:eastAsia="ko-KR"/>
        </w:rPr>
        <w:t xml:space="preserve">A.1 실험 기록과 조치</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일정: 설계 확정·단계값 측정·사전 시험(2026-10-13) → 고정 커밋 </w:t>
      </w:r>
      <w:r>
        <w:rPr>
          <w:rFonts w:ascii="바탕" w:cs="바탕" w:eastAsia="바탕" w:hAnsi="바탕"/>
          <w:sz w:val="21"/>
          <w:szCs w:val="21"/>
        </w:rPr>
        <w:t xml:space="preserve">8f55c57</w:t>
      </w:r>
      <w:r>
        <w:rPr>
          <w:rFonts w:ascii="바탕" w:cs="바탕" w:eastAsia="바탕" w:hAnsi="바탕"/>
          <w:sz w:val="22"/>
          <w:szCs w:val="22"/>
          <w:lang w:val="en-US" w:eastAsia="ko-KR"/>
        </w:rPr>
        <w:t xml:space="preserve">(2026-10-14 01:43 KST) → 본 실행(GPU 추론, 01:44~07:06, 약 5.4시간) → 독립 검산 및 분석.</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고정 후의 변경은 변경 사유를 기록하고 새 커밋으로만 허용하였다.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고정 전 사전 시험: 실제 GPU 환경과 같은 패키지 버전으로 전체 규모를 시험하였다. 이때 TSFM 대신 더미(dummy) 모델을 사용하였으나, 기준 모형(RW, GARCH-t)은 실제 모델이므로 실제 주가에 대한 기준 모형 결과(커버리지 등)가 시험 출력에 함께 산출되었다. 이를 본 뒤 설정과 코드는 바꾸지 않았고, 본 실행에서 같은 값을 다시 계산하였다.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검산에서 발견: GARCH-t 합성 2건(전환크기 L3 계열 79의 66일째, 꼬리 L2 계열 86의 64일째)이 사전 대체 규칙(유한값 아님, 분산 ≤ 0, ν ≤ 2)에 걸리지 않는 비정상 값을 냈다. 민감도는 6.5절.</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Chronos-T5 샘플링 설정(2026-10-20~21): 본 실행 결과를 점검하던 중 수익률 입력의 구간이 비정상적으로 좁은 것을 발견하여 원인을 확인하고(A.3), 샘플링 제한(top-k)만 해제하여 수익률 조건 2개를 다시 예측하였다. 과제·난수 시드·배치·후처리·채점과 분석 코드는 본 실행과 같다. 본문의 모든 표와 그림은 해제 후 결과이며, 해제 전 결과는 A.3에 싣는다.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가설 번호: 실험 계획서의 H5(보정 후 복원)와 H6(RW 대비 분위수 손실)은 본문에서 연구 질문 순서에 맞추어 각각 H6과 H5로 부른다. 가설의 내용과 판정 기준은 같다.</w:t>
      </w:r>
    </w:p>
    <w:p>
      <w:pPr>
        <w:pStyle w:val="Heading3"/>
        <w:keepNext/>
        <w:spacing w:after="160" w:before="360"/>
      </w:pPr>
      <w:r>
        <w:rPr>
          <w:rFonts w:ascii="바탕" w:cs="바탕" w:eastAsia="바탕" w:hAnsi="바탕"/>
          <w:b/>
          <w:bCs/>
          <w:sz w:val="26"/>
          <w:szCs w:val="26"/>
          <w:lang w:val="en-US" w:eastAsia="ko-KR"/>
        </w:rPr>
        <w:t xml:space="preserve">A.2 실행 환경 및 패키지 버전</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실행 환경: Python 3.11.17, PyTorch 2.5.1(CUDA 12.1), NVIDIA RTX 3080 10GB, chronos-forecasting 2.3.2, timesfm 3.0.2, uni2ts 2.0.0, arch 8.0.0, numpy 1.26.4, pandas 2.1.4, scipy 1.11.4, pyarrow 20.0.0</w:t>
      </w:r>
    </w:p>
    <w:p>
      <w:pPr>
        <w:keepNext/>
        <w:widowControl/>
        <w:spacing w:after="120" w:before="0" w:line="384"/>
        <w:ind w:firstLine="220"/>
        <w:jc w:val="both"/>
      </w:pPr>
      <w:r>
        <w:rPr>
          <w:rFonts w:ascii="바탕" w:cs="바탕" w:eastAsia="바탕" w:hAnsi="바탕"/>
          <w:sz w:val="22"/>
          <w:szCs w:val="22"/>
          <w:lang w:val="en-US" w:eastAsia="ko-KR"/>
        </w:rPr>
        <w:t xml:space="preserve">표 A-1은 모델별 추론 설정이다. 표에 적지 않은 설정은 각 라이브러리의 기본값을 그대로 썼다. 네 모델 모두 다음 날 하나(예측 길이 1)를 예측하며, 9개 분위수의 순서가 뒤바뀌면 오름차순으로 정렬하고, 가격 입력의 분위수는 ln(q / P</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)로 수익률 단위로 바꾸어 채점한다.</w:t>
      </w:r>
    </w:p>
    <w:p>
      <w:pPr>
        <w:pStyle w:val="TableCaption"/>
        <w:keepNext/>
        <w:spacing w:after="80" w:before="200" w:line="276"/>
        <w:jc w:val="center"/>
      </w:pPr>
      <w:r>
        <w:rPr>
          <w:rFonts w:ascii="바탕" w:cs="바탕" w:eastAsia="바탕" w:hAnsi="바탕"/>
          <w:sz w:val="19"/>
          <w:szCs w:val="19"/>
          <w:lang w:val="en-US" w:eastAsia="ko-KR"/>
        </w:rPr>
        <w:t xml:space="preserve">표 A-1. 모델별 추론 설정</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5"/>
        <w:gridCol w:w="2398"/>
        <w:gridCol w:w="3513"/>
      </w:tblGrid>
      <w:tr>
        <w:trPr>
          <w:cantSplit/>
          <w:tblHeader/>
        </w:trPr>
        <w:tc>
          <w:tcPr>
            <w:tcW w:type="dxa" w:w="202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모델</w:t>
            </w:r>
          </w:p>
        </w:tc>
        <w:tc>
          <w:tcPr>
            <w:tcW w:type="dxa" w:w="239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분위수를 얻는 방식</w:t>
            </w:r>
          </w:p>
        </w:tc>
        <w:tc>
          <w:tcPr>
            <w:tcW w:type="dxa" w:w="351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명시한 설정</w:t>
            </w:r>
          </w:p>
        </w:tc>
      </w:tr>
      <w:tr>
        <w:trPr>
          <w:cantSplit/>
          <w:trHeight w:val="728" w:hRule="atLeast"/>
        </w:trPr>
        <w:tc>
          <w:tcPr>
            <w:tcW w:type="dxa" w:w="202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 base</w:t>
            </w:r>
          </w:p>
        </w:tc>
        <w:tc>
          <w:tcPr>
            <w:tcW w:type="dxa" w:w="23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다음 값을 200번 뽑은 표본의 분위수</w:t>
            </w:r>
          </w:p>
        </w:tc>
        <w:tc>
          <w:tcPr>
            <w:tcW w:type="dxa" w:w="35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bfloat16, 표본 200개, temperature 1, top-p 1, top-k 4,096(어휘 전체, 기본값 50에서 변경)</w:t>
            </w:r>
          </w:p>
        </w:tc>
      </w:tr>
      <w:tr>
        <w:trPr>
          <w:cantSplit/>
          <w:trHeight w:val="728" w:hRule="atLeast"/>
        </w:trPr>
        <w:tc>
          <w:tcPr>
            <w:tcW w:type="dxa" w:w="202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23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분위수 직접 출력</w:t>
            </w:r>
          </w:p>
        </w:tc>
        <w:tc>
          <w:tcPr>
            <w:tcW w:type="dxa" w:w="35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분위수 수준 0.1~0.9</w:t>
            </w:r>
          </w:p>
        </w:tc>
      </w:tr>
      <w:tr>
        <w:trPr>
          <w:cantSplit/>
          <w:trHeight w:val="728" w:hRule="atLeast"/>
        </w:trPr>
        <w:tc>
          <w:tcPr>
            <w:tcW w:type="dxa" w:w="202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23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분위수 직접 출력(평균과 함께)</w:t>
            </w:r>
          </w:p>
        </w:tc>
        <w:tc>
          <w:tcPr>
            <w:tcW w:type="dxa" w:w="35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최대 과거 길이 256, 입력 정규화 사용, 연속 분위수 헤드 사용</w:t>
            </w:r>
          </w:p>
        </w:tc>
      </w:tr>
      <w:tr>
        <w:trPr>
          <w:cantSplit/>
          <w:trHeight w:val="728" w:hRule="atLeast"/>
        </w:trPr>
        <w:tc>
          <w:tcPr>
            <w:tcW w:type="dxa" w:w="202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Moirai-2.0-R-small</w:t>
            </w:r>
          </w:p>
        </w:tc>
        <w:tc>
          <w:tcPr>
            <w:tcW w:type="dxa" w:w="239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분위수 직접 출력</w:t>
            </w:r>
          </w:p>
        </w:tc>
        <w:tc>
          <w:tcPr>
            <w:tcW w:type="dxa" w:w="351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과거 길이 = L(21 또는 252), 모든 과거 관측을 유효로 표시</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Chronos-T5의 샘플링 설정은 바로잡고 TimesFM-2.5의 출력 방식은 그대로 둔 기준은 다음과 같다. top-k 제한은 모델이 낸 다음 값의 분포를 확률 상위 50칸에서 잘라 내는 생성 설정이어서, 모델의 예측을 그대로 평가하려면 풀어야 하는 제약이다. 반면 TimesFM-2.5의 연속 분위수 헤드는 라이브러리가 제공하는 두 출력 방식 가운데 권장 방식을 고른 것이고, 끄더라도 과대가 일부만 줄어(A.4) 모델의 출력을 왜곡하는 설정으로 볼 근거가 없으므로 바꾸지 않았다.</w:t>
      </w:r>
    </w:p>
    <w:p>
      <w:pPr>
        <w:pStyle w:val="Heading3"/>
        <w:keepNext/>
        <w:spacing w:after="160" w:before="360"/>
      </w:pPr>
      <w:r>
        <w:rPr>
          <w:rFonts w:ascii="바탕" w:cs="바탕" w:eastAsia="바탕" w:hAnsi="바탕"/>
          <w:b/>
          <w:bCs/>
          <w:sz w:val="26"/>
          <w:szCs w:val="26"/>
          <w:lang w:val="en-US" w:eastAsia="ko-KR"/>
        </w:rPr>
        <w:t xml:space="preserve">A.3 Chronos-T5 샘플링 설정의 점검과 조치</w:t>
      </w:r>
    </w:p>
    <w:p>
      <w:pPr>
        <w:keepNext w:val="false"/>
        <w:widowControl/>
        <w:spacing w:after="120" w:before="0" w:line="384"/>
        <w:ind w:firstLine="220"/>
        <w:jc w:val="both"/>
      </w:pPr>
      <w:r>
        <w:rPr>
          <w:rFonts w:ascii="바탕" w:cs="바탕" w:eastAsia="바탕" w:hAnsi="바탕"/>
          <w:sz w:val="22"/>
          <w:szCs w:val="22"/>
          <w:lang w:val="en-US" w:eastAsia="ko-KR"/>
        </w:rPr>
        <w:t xml:space="preserve">Chronos-T5는 입력을 평균 절댓값으로 나눈 뒤 [−15, +15]를 4,096칸으로 나누고, 다음 칸을 확률적으로 뽑는다(2.2.3절). 라이브러리의 기본 생성 설정은 확률이 높은 상위 50칸에서만 뽑는데(top-k = 50), 한 칸의 폭은 평균 절댓값의 약 0.0073배이다. 수익률처럼 평균이 0 근처인 계열은 다음 값의 표준편차가 평균 절댓값의 약 1.25배이므로 80% 구간을 담으려면 수백 칸이 필요하지만, 상위 50칸은 그 일부만 덮는다. 가격 입력은 다음 값의 퍼짐이 평균 절댓값의 2% 안팎이어서 몇 칸 안에 들어오므로 이 제한의 영향을 받지 않는다.</w:t>
      </w:r>
    </w:p>
    <w:p>
      <w:pPr>
        <w:keepNext/>
        <w:widowControl/>
        <w:spacing w:after="120" w:before="0" w:line="384"/>
        <w:ind w:firstLine="220"/>
        <w:jc w:val="both"/>
      </w:pPr>
      <w:r>
        <w:rPr>
          <w:rFonts w:ascii="바탕" w:cs="바탕" w:eastAsia="바탕" w:hAnsi="바탕"/>
          <w:sz w:val="22"/>
          <w:szCs w:val="22"/>
          <w:lang w:val="en-US" w:eastAsia="ko-KR"/>
        </w:rPr>
        <w:t xml:space="preserve">이 설명이 맞는지 본 실행 후 표 A-2의 점검으로 확인하였다. 모두 합성 데이터이고, 비교하는 설정 외의 조건은 같게 두었다.</w:t>
      </w:r>
    </w:p>
    <w:p>
      <w:pPr>
        <w:pStyle w:val="TableCaption"/>
        <w:keepNext/>
        <w:spacing w:after="80" w:before="200" w:line="276"/>
        <w:jc w:val="center"/>
      </w:pPr>
      <w:r>
        <w:rPr>
          <w:rFonts w:ascii="바탕" w:cs="바탕" w:eastAsia="바탕" w:hAnsi="바탕"/>
          <w:sz w:val="19"/>
          <w:szCs w:val="19"/>
          <w:lang w:val="en-US" w:eastAsia="ko-KR"/>
        </w:rPr>
        <w:t xml:space="preserve">표 A-2. Chronos-T5 샘플링 설정 점검(합성 데이터, 80% 구간 커버리지)</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5"/>
        <w:gridCol w:w="2313"/>
        <w:gridCol w:w="1450"/>
        <w:gridCol w:w="2098"/>
      </w:tblGrid>
      <w:tr>
        <w:trPr>
          <w:cantSplit/>
          <w:tblHeader/>
        </w:trPr>
        <w:tc>
          <w:tcPr>
            <w:tcW w:type="dxa" w:w="207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점검 항목</w:t>
            </w:r>
          </w:p>
        </w:tc>
        <w:tc>
          <w:tcPr>
            <w:tcW w:type="dxa" w:w="231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입력과 과거 길이</w:t>
            </w:r>
          </w:p>
        </w:tc>
        <w:tc>
          <w:tcPr>
            <w:tcW w:type="dxa" w:w="145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예측 수</w:t>
            </w:r>
          </w:p>
        </w:tc>
        <w:tc>
          <w:tcPr>
            <w:tcW w:type="dxa" w:w="209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결과(%)</w:t>
            </w:r>
          </w:p>
        </w:tc>
      </w:tr>
      <w:tr>
        <w:trPr>
          <w:cantSplit/>
          <w:trHeight w:val="512" w:hRule="atLeast"/>
        </w:trPr>
        <w:tc>
          <w:tcPr>
            <w:tcW w:type="dxa" w:w="2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수익률 입력</w:t>
            </w:r>
          </w:p>
        </w:tc>
        <w:tc>
          <w:tcPr>
            <w:tcW w:type="dxa" w:w="23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L1 수익률, 252일</w:t>
            </w:r>
          </w:p>
        </w:tc>
        <w:tc>
          <w:tcPr>
            <w:tcW w:type="dxa" w:w="14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8,000</w:t>
            </w:r>
          </w:p>
        </w:tc>
        <w:tc>
          <w:tcPr>
            <w:tcW w:type="dxa" w:w="20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기본 14.0 → 해제 78.7</w:t>
            </w:r>
          </w:p>
        </w:tc>
      </w:tr>
      <w:tr>
        <w:trPr>
          <w:cantSplit/>
          <w:trHeight w:val="512" w:hRule="atLeast"/>
        </w:trPr>
        <w:tc>
          <w:tcPr>
            <w:tcW w:type="dxa" w:w="2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값의 크기</w:t>
            </w:r>
          </w:p>
        </w:tc>
        <w:tc>
          <w:tcPr>
            <w:tcW w:type="dxa" w:w="23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위 입력을 100배로 키움, 252일</w:t>
            </w:r>
          </w:p>
        </w:tc>
        <w:tc>
          <w:tcPr>
            <w:tcW w:type="dxa" w:w="14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8,000</w:t>
            </w:r>
          </w:p>
        </w:tc>
        <w:tc>
          <w:tcPr>
            <w:tcW w:type="dxa" w:w="20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기본 14.0</w:t>
            </w:r>
          </w:p>
        </w:tc>
      </w:tr>
      <w:tr>
        <w:trPr>
          <w:cantSplit/>
          <w:trHeight w:val="512" w:hRule="atLeast"/>
        </w:trPr>
        <w:tc>
          <w:tcPr>
            <w:tcW w:type="dxa" w:w="2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가격 입력</w:t>
            </w:r>
          </w:p>
        </w:tc>
        <w:tc>
          <w:tcPr>
            <w:tcW w:type="dxa" w:w="23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L1 가격, 252일</w:t>
            </w:r>
          </w:p>
        </w:tc>
        <w:tc>
          <w:tcPr>
            <w:tcW w:type="dxa" w:w="14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8,000</w:t>
            </w:r>
          </w:p>
        </w:tc>
        <w:tc>
          <w:tcPr>
            <w:tcW w:type="dxa" w:w="20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기본 75.34 → 해제 75.35</w:t>
            </w:r>
          </w:p>
        </w:tc>
      </w:tr>
      <w:tr>
        <w:trPr>
          <w:cantSplit/>
          <w:trHeight w:val="512" w:hRule="atLeast"/>
        </w:trPr>
        <w:tc>
          <w:tcPr>
            <w:tcW w:type="dxa" w:w="2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원 논문 조건</w:t>
            </w:r>
          </w:p>
        </w:tc>
        <w:tc>
          <w:tcPr>
            <w:tcW w:type="dxa" w:w="23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독립 N(0,1), 252일</w:t>
            </w:r>
          </w:p>
        </w:tc>
        <w:tc>
          <w:tcPr>
            <w:tcW w:type="dxa" w:w="14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8,000</w:t>
            </w:r>
          </w:p>
        </w:tc>
        <w:tc>
          <w:tcPr>
            <w:tcW w:type="dxa" w:w="20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기본 13.5 → 해제 78.6</w:t>
            </w:r>
          </w:p>
        </w:tc>
      </w:tr>
      <w:tr>
        <w:trPr>
          <w:cantSplit/>
          <w:trHeight w:val="512" w:hRule="atLeast"/>
        </w:trPr>
        <w:tc>
          <w:tcPr>
            <w:tcW w:type="dxa" w:w="2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원 논문 과거 길이</w:t>
            </w:r>
          </w:p>
        </w:tc>
        <w:tc>
          <w:tcPr>
            <w:tcW w:type="dxa" w:w="23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독립 N(0,1), 512일</w:t>
            </w:r>
          </w:p>
        </w:tc>
        <w:tc>
          <w:tcPr>
            <w:tcW w:type="dxa" w:w="14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2,400</w:t>
            </w:r>
          </w:p>
        </w:tc>
        <w:tc>
          <w:tcPr>
            <w:tcW w:type="dxa" w:w="20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기본 14.2 → 해제 78.3</w:t>
            </w:r>
          </w:p>
        </w:tc>
      </w:tr>
      <w:tr>
        <w:trPr>
          <w:cantSplit/>
          <w:trHeight w:val="512" w:hRule="atLeast"/>
        </w:trPr>
        <w:tc>
          <w:tcPr>
            <w:tcW w:type="dxa" w:w="2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평균이 0이 아닌 계열</w:t>
            </w:r>
          </w:p>
        </w:tc>
        <w:tc>
          <w:tcPr>
            <w:tcW w:type="dxa" w:w="23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독립 N(100, 10²), 512일</w:t>
            </w:r>
          </w:p>
        </w:tc>
        <w:tc>
          <w:tcPr>
            <w:tcW w:type="dxa" w:w="14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2,400</w:t>
            </w:r>
          </w:p>
        </w:tc>
        <w:tc>
          <w:tcPr>
            <w:tcW w:type="dxa" w:w="20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기본 73.8</w:t>
            </w:r>
          </w:p>
        </w:tc>
      </w:tr>
      <w:tr>
        <w:trPr>
          <w:cantSplit/>
          <w:trHeight w:val="512" w:hRule="atLeast"/>
        </w:trPr>
        <w:tc>
          <w:tcPr>
            <w:tcW w:type="dxa" w:w="2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난수 시드</w:t>
            </w:r>
          </w:p>
        </w:tc>
        <w:tc>
          <w:tcPr>
            <w:tcW w:type="dxa" w:w="23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L1 수익률, 252일, 해제</w:t>
            </w:r>
          </w:p>
        </w:tc>
        <w:tc>
          <w:tcPr>
            <w:tcW w:type="dxa" w:w="14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8,000 / 6,000</w:t>
            </w:r>
          </w:p>
        </w:tc>
        <w:tc>
          <w:tcPr>
            <w:tcW w:type="dxa" w:w="20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점검 78.7, 재실행 78.6(시드 다름)</w:t>
            </w:r>
          </w:p>
        </w:tc>
      </w:tr>
      <w:tr>
        <w:trPr>
          <w:cantSplit/>
          <w:trHeight w:val="512" w:hRule="atLeast"/>
        </w:trPr>
        <w:tc>
          <w:tcPr>
            <w:tcW w:type="dxa" w:w="207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표본 수</w:t>
            </w:r>
          </w:p>
        </w:tc>
        <w:tc>
          <w:tcPr>
            <w:tcW w:type="dxa" w:w="231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L1 수익률, 252일, 해제</w:t>
            </w:r>
          </w:p>
        </w:tc>
        <w:tc>
          <w:tcPr>
            <w:tcW w:type="dxa" w:w="145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2,000</w:t>
            </w:r>
          </w:p>
        </w:tc>
        <w:tc>
          <w:tcPr>
            <w:tcW w:type="dxa" w:w="209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표본 200개 78.60, 1,000개 78.85</w:t>
            </w:r>
          </w:p>
        </w:tc>
      </w:tr>
    </w:tbl>
    <w:p>
      <w:pPr>
        <w:spacing w:after="60"/>
      </w:pPr>
    </w:p>
    <w:p>
      <w:pPr>
        <w:spacing w:after="200" w:line="276"/>
        <w:jc w:val="both"/>
      </w:pPr>
      <w:r>
        <w:rPr>
          <w:rFonts w:ascii="바탕" w:cs="바탕" w:eastAsia="바탕" w:hAnsi="바탕"/>
          <w:sz w:val="17"/>
          <w:szCs w:val="17"/>
          <w:lang w:val="en-US" w:eastAsia="ko-KR"/>
        </w:rPr>
        <w:t xml:space="preserve">주: 기본 = 라이브러리 기본 설정(top-k = 50), 해제 = 어휘 전체에서 추출(top-k = 4,096). 예측 수 8,000은 계열 100개 × 80일, 2,400은 30개 × 80일, 2,000은 25개 × 80일.</w:t>
      </w:r>
    </w:p>
    <w:p>
      <w:pPr>
        <w:keepNext w:val="false"/>
        <w:widowControl/>
        <w:spacing w:after="120" w:before="0" w:line="384"/>
        <w:ind w:firstLine="220"/>
        <w:jc w:val="both"/>
      </w:pPr>
      <w:r>
        <w:rPr>
          <w:rFonts w:ascii="바탕" w:cs="바탕" w:eastAsia="바탕" w:hAnsi="바탕"/>
          <w:sz w:val="22"/>
          <w:szCs w:val="22"/>
          <w:lang w:val="en-US" w:eastAsia="ko-KR"/>
        </w:rPr>
        <w:t xml:space="preserve">기본 설정의 붕괴는 값의 크기와 무관하였고, 평균이 0 근처인 입력에서만 나타났다. 원 논문(Ansari 외, 2024의 그림 12a)은 N(0,1) 계열에서 80% 구간이 맞는다고 보고하였으나, 과거 길이를 원 논문과 같은 512일로 늘려도 기본 설정에서는 무너졌으므로 그 차이는 과거 길이로 설명되지 않는다. 그 밖의 설정 차이는 확인하지 못하였다. 해제한 설정의 결과는 시드를 바꾸어도, 표본을 1,000개로 늘려도 거의 같았다. 표본 수에 따른 차이 0.25%p는 계열 단위 표준오차 0.35%p보다 작았고, 평균 구간 폭은 0.8% 넓어지는 데 그쳤다.</w:t>
      </w:r>
    </w:p>
    <w:p>
      <w:pPr>
        <w:keepNext/>
        <w:widowControl/>
        <w:spacing w:after="120" w:before="0" w:line="384"/>
        <w:ind w:firstLine="220"/>
        <w:jc w:val="both"/>
      </w:pPr>
      <w:r>
        <w:rPr>
          <w:rFonts w:ascii="바탕" w:cs="바탕" w:eastAsia="바탕" w:hAnsi="바탕"/>
          <w:sz w:val="22"/>
          <w:szCs w:val="22"/>
          <w:lang w:val="en-US" w:eastAsia="ko-KR"/>
        </w:rPr>
        <w:t xml:space="preserve">표 A-3은 Chronos-T5 수익률 조건의 해제 전후 결과이다. 가설 판정은 다른 모델에서는 하나도 바뀌지 않았고, Chronos-T5 수익률 조건에서 다음이 바뀌었다. 꼬리(H2)와 전환 빈도(H3a)의 커버리지 상승이 유의해져 반대 방향 유의 조건이 각각 9개에서 11개, 5개에서 7개로 늘었고, 전환 크기(H3b)의 유의한 변화는 1개에서 0개가 되었다. 축마다 다름(H4)은 9개에서 10개, RW 대비 손실이 큰 조건(H5)은 13개에서 12개가 되었다. 모델별 최종 판정(조건 규칙)은 바뀌지 않았다.</w:t>
      </w:r>
    </w:p>
    <w:p>
      <w:pPr>
        <w:pStyle w:val="TableCaption"/>
        <w:keepNext/>
        <w:spacing w:after="80" w:before="200" w:line="276"/>
        <w:jc w:val="center"/>
      </w:pPr>
      <w:r>
        <w:rPr>
          <w:rFonts w:ascii="바탕" w:cs="바탕" w:eastAsia="바탕" w:hAnsi="바탕"/>
          <w:sz w:val="19"/>
          <w:szCs w:val="19"/>
          <w:lang w:val="en-US" w:eastAsia="ko-KR"/>
        </w:rPr>
        <w:t xml:space="preserve">표 A-3. Chronos-T5 수익률 조건의 샘플링 제한 해제 전후</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22"/>
        <w:gridCol w:w="2257"/>
        <w:gridCol w:w="2257"/>
      </w:tblGrid>
      <w:tr>
        <w:trPr>
          <w:cantSplit/>
          <w:tblHeader/>
        </w:trPr>
        <w:tc>
          <w:tcPr>
            <w:tcW w:type="dxa" w:w="342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항목</w:t>
            </w:r>
          </w:p>
        </w:tc>
        <w:tc>
          <w:tcPr>
            <w:tcW w:type="dxa" w:w="225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한 달·수익률</w:t>
            </w:r>
          </w:p>
          <w:p>
            <w:pPr>
              <w:keepNext/>
              <w:keepLines/>
              <w:wordWrap w:val="1"/>
              <w:spacing w:after="0" w:before="0" w:line="240"/>
              <w:jc w:val="center"/>
            </w:pPr>
            <w:r>
              <w:rPr>
                <w:rFonts w:ascii="굴림" w:cs="굴림" w:eastAsia="굴림" w:hAnsi="굴림"/>
                <w:b/>
                <w:bCs/>
                <w:sz w:val="18"/>
                <w:szCs w:val="18"/>
                <w:lang w:val="en-US" w:eastAsia="ko-KR"/>
              </w:rPr>
              <w:t xml:space="preserve">(기본 → 해제)</w:t>
            </w:r>
          </w:p>
        </w:tc>
        <w:tc>
          <w:tcPr>
            <w:tcW w:type="dxa" w:w="225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1년·수익률</w:t>
            </w:r>
          </w:p>
          <w:p>
            <w:pPr>
              <w:keepNext/>
              <w:keepLines/>
              <w:wordWrap w:val="1"/>
              <w:spacing w:after="0" w:before="0" w:line="240"/>
              <w:jc w:val="center"/>
            </w:pPr>
            <w:r>
              <w:rPr>
                <w:rFonts w:ascii="굴림" w:cs="굴림" w:eastAsia="굴림" w:hAnsi="굴림"/>
                <w:b/>
                <w:bCs/>
                <w:sz w:val="18"/>
                <w:szCs w:val="18"/>
                <w:lang w:val="en-US" w:eastAsia="ko-KR"/>
              </w:rPr>
              <w:t xml:space="preserve">(기본 → 해제)</w:t>
            </w:r>
          </w:p>
        </w:tc>
      </w:tr>
      <w:tr>
        <w:trPr>
          <w:cantSplit/>
          <w:trHeight w:val="512" w:hRule="atLeast"/>
        </w:trPr>
        <w:tc>
          <w:tcPr>
            <w:tcW w:type="dxa" w:w="342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합성 L1 커버리지(%)</w:t>
            </w:r>
          </w:p>
        </w:tc>
        <w:tc>
          <w:tcPr>
            <w:tcW w:type="dxa" w:w="22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14.7 → 76.0</w:t>
            </w:r>
          </w:p>
        </w:tc>
        <w:tc>
          <w:tcPr>
            <w:tcW w:type="dxa" w:w="22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14.0 → 78.6</w:t>
            </w:r>
          </w:p>
        </w:tc>
      </w:tr>
      <w:tr>
        <w:trPr>
          <w:cantSplit/>
          <w:trHeight w:val="512" w:hRule="atLeast"/>
        </w:trPr>
        <w:tc>
          <w:tcPr>
            <w:tcW w:type="dxa" w:w="342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합성 17개 시나리오 범위(%)</w:t>
            </w:r>
          </w:p>
        </w:tc>
        <w:tc>
          <w:tcPr>
            <w:tcW w:type="dxa" w:w="22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14.1~15.7 → 75.3~78.6</w:t>
            </w:r>
          </w:p>
        </w:tc>
        <w:tc>
          <w:tcPr>
            <w:tcW w:type="dxa" w:w="22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13.9~15.3 → 78.1~81.1</w:t>
            </w:r>
          </w:p>
        </w:tc>
      </w:tr>
      <w:tr>
        <w:trPr>
          <w:cantSplit/>
          <w:trHeight w:val="512" w:hRule="atLeast"/>
        </w:trPr>
        <w:tc>
          <w:tcPr>
            <w:tcW w:type="dxa" w:w="342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실제 10종목 커버리지(%)</w:t>
            </w:r>
          </w:p>
        </w:tc>
        <w:tc>
          <w:tcPr>
            <w:tcW w:type="dxa" w:w="22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16.9 → 77.8</w:t>
            </w:r>
          </w:p>
        </w:tc>
        <w:tc>
          <w:tcPr>
            <w:tcW w:type="dxa" w:w="22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17.6 → 80.0</w:t>
            </w:r>
          </w:p>
        </w:tc>
      </w:tr>
      <w:tr>
        <w:trPr>
          <w:cantSplit/>
          <w:trHeight w:val="512" w:hRule="atLeast"/>
        </w:trPr>
        <w:tc>
          <w:tcPr>
            <w:tcW w:type="dxa" w:w="342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RW 대비 분위수 손실 개선(%)</w:t>
            </w:r>
          </w:p>
        </w:tc>
        <w:tc>
          <w:tcPr>
            <w:tcW w:type="dxa" w:w="22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−19.5 → −1.7</w:t>
            </w:r>
          </w:p>
        </w:tc>
        <w:tc>
          <w:tcPr>
            <w:tcW w:type="dxa" w:w="22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−16.1 → +0.1</w:t>
            </w:r>
          </w:p>
        </w:tc>
      </w:tr>
      <w:tr>
        <w:trPr>
          <w:cantSplit/>
          <w:trHeight w:val="512" w:hRule="atLeast"/>
        </w:trPr>
        <w:tc>
          <w:tcPr>
            <w:tcW w:type="dxa" w:w="342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보정 후 커버리지(실제, %)</w:t>
            </w:r>
          </w:p>
        </w:tc>
        <w:tc>
          <w:tcPr>
            <w:tcW w:type="dxa" w:w="22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80.3 → 80.2</w:t>
            </w:r>
          </w:p>
        </w:tc>
        <w:tc>
          <w:tcPr>
            <w:tcW w:type="dxa" w:w="22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80.4 → 80.2</w:t>
            </w:r>
          </w:p>
        </w:tc>
      </w:tr>
      <w:tr>
        <w:trPr>
          <w:cantSplit/>
          <w:trHeight w:val="512" w:hRule="atLeast"/>
        </w:trPr>
        <w:tc>
          <w:tcPr>
            <w:tcW w:type="dxa" w:w="342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보정 폭 배율(합성, 에피소드)</w:t>
            </w:r>
          </w:p>
        </w:tc>
        <w:tc>
          <w:tcPr>
            <w:tcW w:type="dxa" w:w="22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8.52~9.44 → 1.14~1.24</w:t>
            </w:r>
          </w:p>
        </w:tc>
        <w:tc>
          <w:tcPr>
            <w:tcW w:type="dxa" w:w="22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8.03~9.44 → 1.04~1.17</w:t>
            </w:r>
          </w:p>
        </w:tc>
      </w:tr>
      <w:tr>
        <w:trPr>
          <w:cantSplit/>
          <w:trHeight w:val="512" w:hRule="atLeast"/>
        </w:trPr>
        <w:tc>
          <w:tcPr>
            <w:tcW w:type="dxa" w:w="342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보정 폭 배율(실제, 연속)</w:t>
            </w:r>
          </w:p>
        </w:tc>
        <w:tc>
          <w:tcPr>
            <w:tcW w:type="dxa" w:w="22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7.68 → 1.11</w:t>
            </w:r>
          </w:p>
        </w:tc>
        <w:tc>
          <w:tcPr>
            <w:tcW w:type="dxa" w:w="22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7.50 → 1.05</w:t>
            </w:r>
          </w:p>
        </w:tc>
      </w:tr>
      <w:tr>
        <w:trPr>
          <w:cantSplit/>
          <w:trHeight w:val="512" w:hRule="atLeast"/>
        </w:trPr>
        <w:tc>
          <w:tcPr>
            <w:tcW w:type="dxa" w:w="342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VaR 10% 위반율(원래 구간, %)</w:t>
            </w:r>
          </w:p>
        </w:tc>
        <w:tc>
          <w:tcPr>
            <w:tcW w:type="dxa" w:w="22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42.4 → 11.0</w:t>
            </w:r>
          </w:p>
        </w:tc>
        <w:tc>
          <w:tcPr>
            <w:tcW w:type="dxa" w:w="22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39.5 → 9.8</w:t>
            </w:r>
          </w:p>
        </w:tc>
      </w:tr>
      <w:tr>
        <w:trPr>
          <w:cantSplit/>
          <w:trHeight w:val="512" w:hRule="atLeast"/>
        </w:trPr>
        <w:tc>
          <w:tcPr>
            <w:tcW w:type="dxa" w:w="342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변동성 목표 실현변동/목표(원래 구간)</w:t>
            </w:r>
          </w:p>
        </w:tc>
        <w:tc>
          <w:tcPr>
            <w:tcW w:type="dxa" w:w="22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2.21 → 1.14</w:t>
            </w:r>
          </w:p>
        </w:tc>
        <w:tc>
          <w:tcPr>
            <w:tcW w:type="dxa" w:w="22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2.23 → 1.12</w:t>
            </w:r>
          </w:p>
        </w:tc>
      </w:tr>
      <w:tr>
        <w:trPr>
          <w:cantSplit/>
          <w:trHeight w:val="512" w:hRule="atLeast"/>
        </w:trPr>
        <w:tc>
          <w:tcPr>
            <w:tcW w:type="dxa" w:w="342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변동성 목표 최대낙폭(원래 구간, %)</w:t>
            </w:r>
          </w:p>
        </w:tc>
        <w:tc>
          <w:tcPr>
            <w:tcW w:type="dxa" w:w="225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8"/>
                <w:szCs w:val="18"/>
                <w:lang w:val="en-US" w:eastAsia="ko-KR"/>
              </w:rPr>
              <w:t xml:space="preserve">−34.0 → −21.7</w:t>
            </w:r>
          </w:p>
        </w:tc>
        <w:tc>
          <w:tcPr>
            <w:tcW w:type="dxa" w:w="225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8"/>
                <w:szCs w:val="18"/>
                <w:lang w:val="en-US" w:eastAsia="ko-KR"/>
              </w:rPr>
              <w:t xml:space="preserve">−34.2 → −21.7</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기본 설정의 무너진 구간에도 사후보정은 작동하였다. 보정 후 커버리지는 합성 17개 시나리오에서 79.7~80.5%, 실제 10종목에서 80.3%·80.4%였고, VaR 10% 위반율은 42.4%·39.5%에서 9.9%·9.2%로, 변동성 목표의 실현변동/목표는 2.21배·2.23배에서 1.11배·1.14배로 돌아왔다(한 달·수익률, 1년·수익률 순). 다만 그만큼 구간을 8~9배로 넓혀야 했다.</w:t>
      </w:r>
    </w:p>
    <w:p>
      <w:pPr>
        <w:pStyle w:val="Heading3"/>
        <w:keepNext/>
        <w:spacing w:after="160" w:before="360"/>
      </w:pPr>
      <w:r>
        <w:rPr>
          <w:rFonts w:ascii="바탕" w:cs="바탕" w:eastAsia="바탕" w:hAnsi="바탕"/>
          <w:b/>
          <w:bCs/>
          <w:sz w:val="26"/>
          <w:szCs w:val="26"/>
          <w:lang w:val="en-US" w:eastAsia="ko-KR"/>
        </w:rPr>
        <w:t xml:space="preserve">A.4 그 밖의 추가 점검</w:t>
      </w:r>
    </w:p>
    <w:p>
      <w:pPr>
        <w:keepNext/>
        <w:widowControl/>
        <w:spacing w:after="120" w:before="0" w:line="384"/>
        <w:ind w:firstLine="220"/>
        <w:jc w:val="both"/>
      </w:pPr>
      <w:r>
        <w:rPr>
          <w:rFonts w:ascii="바탕" w:cs="바탕" w:eastAsia="바탕" w:hAnsi="바탕"/>
          <w:sz w:val="22"/>
          <w:szCs w:val="22"/>
          <w:lang w:val="en-US" w:eastAsia="ko-KR"/>
        </w:rPr>
        <w:t xml:space="preserve">결과의 해석을 확인하기 위해 다음을 추가로 점검하였다. 본 실행과 같은 과제를 쓰고, 기본 설정 결과가 본 실행과 같게 재현되는 것을 먼저 확인하였다(차이 0.00%p).</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거래량 공변량(Chronos-2, 실제 10종목): 로그 거래량을 과거 공변량으로 함께 넣었다. RW 대비 분위수 손실 개선율은 1년·수익률 +1.03% → +0.98%(넣기 전후 차이 유의하지 않음), 한 달·수익률 −7.30% → −6.35%(유의하게 개선되었으나 여전히 RW보다 나쁨)였고, 가격 입력과 커버리지(변화 1%p 안팎)도 결론을 바꾸지 않았다.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보정의 갱신 속도 γ(실제 10종목, 19개 모델·조건, 에피소드 보정): γ = 0.005, 0.01, 0.02, 0.05(본문), 0.1에서 보정 후 커버리지는 각각 80.3~80.9%, 80.2~80.8%, 80.1~80.5%, 79.9~80.3%, 79.8~80.1%였고, 다섯 경우 모두 19개가 복원 판정 기준([77%, 83%], 월 블록 부트스트랩 90% 구간)을 만족하였다. 폭 배율은 0.84~1.19배(γ = 0.005)에서 0.90~1.27배(γ = 0.1)로 γ가 클수록 조금 넓어졌다.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TimesFM-2.5 1년·가격의 구간 과대: 입력 정규화를 끄거나, 마지막 값 기준으로 크기를 바꾸거나, 로그 가격을 넣어도 합성 L1 커버리지는 87.4~87.7%로 같았다. 연속 분위수 헤드를 끄면 합성 83.4%, 실제 84.3%로 과대가 일부 줄었다. 같은 모델의 1년·수익률은 헤드와 무관하였다(78.6% 대 79.8%).</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Chronos-2의 90%·98% 구간(4.3.2절, 표 4-4): 본 실행과 같은 과제·환경(RTX 3080, 같은 패키지 버전)에서 분위수 수준만 0.01~0.99의 21개로 늘려 다시 예측하였다. 새 예측의 0.1·0.9 분위수는 본 실행과 같았고, 가격 입력에서 분위수 교차를 정렬하는 순서가 달라진 3~17건(전체의 0.02% 이하)만 차이가 났다. 80% 구간 커버리지 차이는 최대 0.01%p였다.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GARCH-t 대비 분위수 손실(실제 10종목, 5.2절): H5와 같은 방법으로 TSFM 1년 조건 8개를 GARCH-t 1년과 비교하였다. 8개 모두 손실이 유의하게 컸다(Holm 보정 후 p &lt; 0.001; 1년·수익률 0.4~1.5%, 1년·가격 2.2~5.1%). RW 1년도 GARCH-t보다 1.4% 컸다.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커버리지 변동의 분해(4.2절, 5.1절): 조건과 시나리오(또는 종목)의 주효과 제곱합 비율은 합성 90% 대 7%, 실제 92% 대 1%였다(TimesFM 1년·가격 제외 시 76% 대 18%, 83% 대 1%).</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다중 비교 보정의 범위(4.3절): 가설·비교마다 16개씩 하던 Holm 보정을 H1~H3b의 두 비교 전체 128개로 넓혀도, 2%p 이상의 실질 효과는 L5 − L1 기준(군집 2개, 꼬리 6개) 모두 유의하였고, L5 − L3 기준으로는 전환 빈도 3개 중 1개만 유의하지 않게 되었다(부록 B). 2%p 미만의 작은 효과는 일부 유의하지 않게 되어 L5 − L1 기준 유의한 조건이 군집 5개 → 2개, 꼬리 11개 → 8개, 전환 빈도 7개 → 1개로 줄었다. 특성의 효과가 작다는 결론은 바뀌지 않는다.</w:t>
      </w:r>
    </w:p>
    <w:p>
      <w:pPr>
        <w:pStyle w:val="Heading1"/>
        <w:keepNext/>
        <w:pageBreakBefore/>
      </w:pPr>
      <w:r>
        <w:rPr>
          <w:rFonts w:ascii="바탕" w:cs="바탕" w:eastAsia="바탕" w:hAnsi="바탕"/>
          <w:lang w:val="en-US" w:eastAsia="ko-KR"/>
        </w:rPr>
        <w:t xml:space="preserve">부록 B. 특성 강도 비교(L5 − L3)</w:t>
      </w:r>
    </w:p>
    <w:p>
      <w:pPr>
        <w:keepNext/>
        <w:widowControl/>
        <w:spacing w:after="120" w:before="0" w:line="384"/>
        <w:ind w:firstLine="220"/>
        <w:jc w:val="both"/>
      </w:pPr>
      <w:r>
        <w:rPr>
          <w:rFonts w:ascii="바탕" w:cs="바탕" w:eastAsia="바탕" w:hAnsi="바탕"/>
          <w:sz w:val="22"/>
          <w:szCs w:val="22"/>
          <w:lang w:val="en-US" w:eastAsia="ko-KR"/>
        </w:rPr>
        <w:t xml:space="preserve">제4장 표 4-2와 같은 방식으로, 각 특성을 실측 범위의 가장 약한 값(L3)에서 가장 강한 값(L5)으로 바꿨을 때의 커버리지 변화(%p)를 표 B-1에 제시한다. 표시는 표 4-2와 같다(▼▽ 가설 방향 유의, ▲△ 반대 방향 유의, 큰 기호는 2%p 이상, Holm 보정 16개 묶음). 기준 모형은 서술용이다.</w:t>
      </w:r>
    </w:p>
    <w:p>
      <w:pPr>
        <w:pStyle w:val="TableCaption"/>
        <w:keepNext/>
        <w:spacing w:after="80" w:before="200" w:line="276"/>
        <w:jc w:val="center"/>
      </w:pPr>
      <w:r>
        <w:rPr>
          <w:rFonts w:ascii="바탕" w:cs="바탕" w:eastAsia="바탕" w:hAnsi="바탕"/>
          <w:sz w:val="19"/>
          <w:szCs w:val="19"/>
          <w:lang w:val="en-US" w:eastAsia="ko-KR"/>
        </w:rPr>
        <w:t xml:space="preserve">표 B-1. 특성을 L3에서 L5로 강하게 설정했을 때의 커버리지 변화 (L5 − L3, %p)</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0"/>
        <w:gridCol w:w="1403"/>
        <w:gridCol w:w="1023"/>
        <w:gridCol w:w="1023"/>
        <w:gridCol w:w="1504"/>
        <w:gridCol w:w="1503"/>
      </w:tblGrid>
      <w:tr>
        <w:trPr>
          <w:cantSplit/>
          <w:tblHeader/>
        </w:trPr>
        <w:tc>
          <w:tcPr>
            <w:tcW w:type="dxa" w:w="148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모델</w:t>
            </w:r>
          </w:p>
        </w:tc>
        <w:tc>
          <w:tcPr>
            <w:tcW w:type="dxa" w:w="140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조건</w:t>
            </w:r>
          </w:p>
        </w:tc>
        <w:tc>
          <w:tcPr>
            <w:tcW w:type="dxa" w:w="102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H1 군집</w:t>
            </w:r>
          </w:p>
        </w:tc>
        <w:tc>
          <w:tcPr>
            <w:tcW w:type="dxa" w:w="102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H2 꼬리</w:t>
            </w:r>
          </w:p>
        </w:tc>
        <w:tc>
          <w:tcPr>
            <w:tcW w:type="dxa" w:w="150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H3a 전환빈도</w:t>
            </w:r>
          </w:p>
        </w:tc>
        <w:tc>
          <w:tcPr>
            <w:tcW w:type="dxa" w:w="150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H3b 전환크기</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+0.8</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+1.6△</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0.0</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+1.7△</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+2.1▲</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+0.6</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+2.1▲</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-0.3</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+0.6</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0.0</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+1.1△</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0.0</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+1.9△</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+1.7△</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+2.4</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-0.3</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+1.3</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-1.0</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-0.4</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+0.4</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+1.1△</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+1.7△</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+0.3</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+2.6▲</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+0.6</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-0.3</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-0.4</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+1.0△</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+1.1</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-0.3</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+2.5</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+3.2</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+2.3</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+4.1</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+1.9</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+2.3</w:t>
            </w:r>
          </w:p>
        </w:tc>
      </w:tr>
      <w:tr>
        <w:trPr>
          <w:cantSplit/>
          <w:trHeight w:val="284" w:hRule="atLeast"/>
        </w:trPr>
        <w:tc>
          <w:tcPr>
            <w:tcW w:type="dxa" w:w="148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GARCH-t</w:t>
            </w:r>
          </w:p>
        </w:tc>
        <w:tc>
          <w:tcPr>
            <w:tcW w:type="dxa" w:w="140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c>
          <w:tcPr>
            <w:tcW w:type="dxa" w:w="102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c>
          <w:tcPr>
            <w:tcW w:type="dxa" w:w="150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+1.3</w:t>
            </w:r>
          </w:p>
        </w:tc>
        <w:tc>
          <w:tcPr>
            <w:tcW w:type="dxa" w:w="150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r>
    </w:tbl>
    <w:p>
      <w:pPr>
        <w:spacing w:after="60"/>
      </w:pPr>
    </w:p>
    <w:p>
      <w:pPr>
        <w:spacing w:after="200" w:line="276"/>
        <w:jc w:val="both"/>
      </w:pPr>
      <w:r>
        <w:rPr>
          <w:rFonts w:ascii="바탕" w:cs="바탕" w:eastAsia="바탕" w:hAnsi="바탕"/>
          <w:sz w:val="17"/>
          <w:szCs w:val="17"/>
          <w:lang w:val="en-US" w:eastAsia="ko-KR"/>
        </w:rPr>
        <w:t xml:space="preserve">주: 2%p 이상이지만 기호가 없는 칸(예: Chronos-2 1년·가격 H3a +2.4, Holm 보정 p = 0.060)은 보정 후 유의하지 않은 경우이다.</w:t>
      </w:r>
    </w:p>
    <w:p>
      <w:pPr>
        <w:pStyle w:val="Heading1"/>
        <w:keepNext/>
        <w:pageBreakBefore/>
      </w:pPr>
      <w:r>
        <w:rPr>
          <w:rFonts w:ascii="바탕" w:cs="바탕" w:eastAsia="바탕" w:hAnsi="바탕"/>
          <w:lang w:val="en-US" w:eastAsia="ko-KR"/>
        </w:rPr>
        <w:t xml:space="preserve">부록 C. 종목별 실제 커버리지</w:t>
      </w:r>
    </w:p>
    <w:p>
      <w:pPr>
        <w:keepNext/>
        <w:widowControl/>
        <w:spacing w:after="120" w:before="0" w:line="384"/>
        <w:ind w:firstLine="220"/>
        <w:jc w:val="both"/>
      </w:pPr>
      <w:r>
        <w:rPr>
          <w:rFonts w:ascii="바탕" w:cs="바탕" w:eastAsia="바탕" w:hAnsi="바탕"/>
          <w:sz w:val="22"/>
          <w:szCs w:val="22"/>
          <w:lang w:val="en-US" w:eastAsia="ko-KR"/>
        </w:rPr>
        <w:t xml:space="preserve">표 5-1의 보정 전 커버리지를 종목별로 구분하여 제시한다(%, 종목당 29~30개 에피소드, 채점 1,740~1,800건). 표 C-1은 미국 5종목, 표 C-2는 한국 5종목이다.</w:t>
      </w:r>
    </w:p>
    <w:p>
      <w:pPr>
        <w:pStyle w:val="TableCaption"/>
        <w:keepNext/>
        <w:spacing w:after="80" w:before="200" w:line="276"/>
        <w:jc w:val="center"/>
      </w:pPr>
      <w:r>
        <w:rPr>
          <w:rFonts w:ascii="바탕" w:cs="바탕" w:eastAsia="바탕" w:hAnsi="바탕"/>
          <w:sz w:val="19"/>
          <w:szCs w:val="19"/>
          <w:lang w:val="en-US" w:eastAsia="ko-KR"/>
        </w:rPr>
        <w:t xml:space="preserve">표 C-1. 미국 종목별 보정 전 커버리지 (%)</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12"/>
        <w:gridCol w:w="1539"/>
        <w:gridCol w:w="984"/>
        <w:gridCol w:w="984"/>
        <w:gridCol w:w="984"/>
        <w:gridCol w:w="849"/>
        <w:gridCol w:w="984"/>
      </w:tblGrid>
      <w:tr>
        <w:trPr>
          <w:cantSplit/>
          <w:tblHeader/>
        </w:trPr>
        <w:tc>
          <w:tcPr>
            <w:tcW w:type="dxa" w:w="161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모델</w:t>
            </w:r>
          </w:p>
        </w:tc>
        <w:tc>
          <w:tcPr>
            <w:tcW w:type="dxa" w:w="153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조건</w:t>
            </w:r>
          </w:p>
        </w:tc>
        <w:tc>
          <w:tcPr>
            <w:tcW w:type="dxa" w:w="98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AAPL</w:t>
            </w:r>
          </w:p>
        </w:tc>
        <w:tc>
          <w:tcPr>
            <w:tcW w:type="dxa" w:w="98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AMZN</w:t>
            </w:r>
          </w:p>
        </w:tc>
        <w:tc>
          <w:tcPr>
            <w:tcW w:type="dxa" w:w="98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GOOG</w:t>
            </w:r>
          </w:p>
        </w:tc>
        <w:tc>
          <w:tcPr>
            <w:tcW w:type="dxa" w:w="84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JPM</w:t>
            </w:r>
          </w:p>
        </w:tc>
        <w:tc>
          <w:tcPr>
            <w:tcW w:type="dxa" w:w="98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META</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77.1</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77.5</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77.2</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77.8</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77.4</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76.7</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75.8</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75.9</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76.9</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76.7</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79.1</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81.7</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80.4</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79.8</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79.4</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75.9</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76.0</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78.0</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77.3</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75.8</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82.2</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82.1</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81.6</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82.2</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82.1</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82.1</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80.9</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81.6</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81.4</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81.7</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78.0</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80.1</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79.6</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78.8</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79.2</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78.4</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80.1</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80.7</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79.7</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80.3</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77.9</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78.4</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77.8</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78.5</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78.4</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78.1</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77.7</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78.3</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77.6</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77.2</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75.6</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77.5</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77.1</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76.3</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75.4</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86.2</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88.4</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87.3</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87.3</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86.0</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77.9</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76.3</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77.6</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77.8</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77.1</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79.7</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78.8</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78.7</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79.8</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78.9</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78.6</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81.1</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80.9</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79.7</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80.2</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82.8</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83.3</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83.8</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83.3</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81.9</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80.1</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79.3</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80.2</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80.3</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79.8</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83.6</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84.6</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84.1</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84.4</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85.7</w:t>
            </w:r>
          </w:p>
        </w:tc>
      </w:tr>
      <w:tr>
        <w:trPr>
          <w:cantSplit/>
          <w:trHeight w:val="284" w:hRule="atLeast"/>
        </w:trPr>
        <w:tc>
          <w:tcPr>
            <w:tcW w:type="dxa" w:w="161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7"/>
                <w:szCs w:val="17"/>
                <w:lang w:val="en-US" w:eastAsia="ko-KR"/>
              </w:rPr>
              <w:t xml:space="preserve">GARCH-t</w:t>
            </w:r>
          </w:p>
        </w:tc>
        <w:tc>
          <w:tcPr>
            <w:tcW w:type="dxa" w:w="153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78.7</w:t>
            </w:r>
          </w:p>
        </w:tc>
        <w:tc>
          <w:tcPr>
            <w:tcW w:type="dxa" w:w="98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79.2</w:t>
            </w:r>
          </w:p>
        </w:tc>
        <w:tc>
          <w:tcPr>
            <w:tcW w:type="dxa" w:w="98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79.1</w:t>
            </w:r>
          </w:p>
        </w:tc>
        <w:tc>
          <w:tcPr>
            <w:tcW w:type="dxa" w:w="84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77.4</w:t>
            </w:r>
          </w:p>
        </w:tc>
        <w:tc>
          <w:tcPr>
            <w:tcW w:type="dxa" w:w="98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78.5</w:t>
            </w:r>
          </w:p>
        </w:tc>
      </w:tr>
    </w:tbl>
    <w:p>
      <w:pPr>
        <w:spacing w:after="60"/>
      </w:pPr>
    </w:p>
    <w:p>
      <w:pPr>
        <w:pStyle w:val="TableCaption"/>
        <w:keepNext/>
        <w:spacing w:after="80" w:before="200" w:line="276"/>
        <w:jc w:val="center"/>
      </w:pPr>
      <w:r>
        <w:rPr>
          <w:rFonts w:ascii="바탕" w:cs="바탕" w:eastAsia="바탕" w:hAnsi="바탕"/>
          <w:sz w:val="19"/>
          <w:szCs w:val="19"/>
          <w:lang w:val="en-US" w:eastAsia="ko-KR"/>
        </w:rPr>
        <w:t xml:space="preserve">표 C-2. 한국 종목별 보정 전 커버리지 (%)</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9"/>
        <w:gridCol w:w="1324"/>
        <w:gridCol w:w="989"/>
        <w:gridCol w:w="1258"/>
        <w:gridCol w:w="799"/>
        <w:gridCol w:w="989"/>
        <w:gridCol w:w="1178"/>
      </w:tblGrid>
      <w:tr>
        <w:trPr>
          <w:cantSplit/>
          <w:tblHeader/>
        </w:trPr>
        <w:tc>
          <w:tcPr>
            <w:tcW w:type="dxa" w:w="139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모델</w:t>
            </w:r>
          </w:p>
        </w:tc>
        <w:tc>
          <w:tcPr>
            <w:tcW w:type="dxa" w:w="132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조건</w:t>
            </w:r>
          </w:p>
        </w:tc>
        <w:tc>
          <w:tcPr>
            <w:tcW w:type="dxa" w:w="98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삼성전자</w:t>
            </w:r>
          </w:p>
        </w:tc>
        <w:tc>
          <w:tcPr>
            <w:tcW w:type="dxa" w:w="125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SK하이닉스</w:t>
            </w:r>
          </w:p>
        </w:tc>
        <w:tc>
          <w:tcPr>
            <w:tcW w:type="dxa" w:w="79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현대차</w:t>
            </w:r>
          </w:p>
        </w:tc>
        <w:tc>
          <w:tcPr>
            <w:tcW w:type="dxa" w:w="98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한국전력</w:t>
            </w:r>
          </w:p>
        </w:tc>
        <w:tc>
          <w:tcPr>
            <w:tcW w:type="dxa" w:w="117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현대모비스</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78.0</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77.1</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78.8</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78.4</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78.7</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74.4</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76.1</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77.7</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76.8</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77.6</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80.0</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78.7</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80.0</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81.2</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79.2</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75.6</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74.0</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77.2</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76.8</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75.3</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81.3</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82.2</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81.0</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81.7</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81.7</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79.6</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81.8</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81.4</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79.7</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80.2</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79.4</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78.9</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79.3</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79.4</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78.7</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80.9</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79.4</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80.9</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80.9</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78.3</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78.4</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77.8</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78.2</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78.0</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78.3</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77.1</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77.7</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78.4</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77.9</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78.0</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79.2</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79.3</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77.5</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76.8</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77.9</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87.6</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87.2</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89.1</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89.2</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88.6</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76.3</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77.5</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76.6</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76.8</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76.9</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77.4</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78.3</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78.7</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77.9</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78.6</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80.3</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79.7</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79.4</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79.5</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79.1</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81.4</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81.7</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81.0</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80.3</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81.7</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79.0</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78.7</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79.8</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79.7</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79.2</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81.1</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79.9</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81.8</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83.2</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81.7</w:t>
            </w:r>
          </w:p>
        </w:tc>
      </w:tr>
      <w:tr>
        <w:trPr>
          <w:cantSplit/>
          <w:trHeight w:val="284" w:hRule="atLeast"/>
        </w:trPr>
        <w:tc>
          <w:tcPr>
            <w:tcW w:type="dxa" w:w="139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7"/>
                <w:szCs w:val="17"/>
                <w:lang w:val="en-US" w:eastAsia="ko-KR"/>
              </w:rPr>
              <w:t xml:space="preserve">GARCH-t</w:t>
            </w:r>
          </w:p>
        </w:tc>
        <w:tc>
          <w:tcPr>
            <w:tcW w:type="dxa" w:w="132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79.1</w:t>
            </w:r>
          </w:p>
        </w:tc>
        <w:tc>
          <w:tcPr>
            <w:tcW w:type="dxa" w:w="125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78.1</w:t>
            </w:r>
          </w:p>
        </w:tc>
        <w:tc>
          <w:tcPr>
            <w:tcW w:type="dxa" w:w="79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78.2</w:t>
            </w:r>
          </w:p>
        </w:tc>
        <w:tc>
          <w:tcPr>
            <w:tcW w:type="dxa" w:w="98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78.7</w:t>
            </w:r>
          </w:p>
        </w:tc>
        <w:tc>
          <w:tcPr>
            <w:tcW w:type="dxa" w:w="117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77.3</w:t>
            </w:r>
          </w:p>
        </w:tc>
      </w:tr>
    </w:tbl>
    <w:p>
      <w:pPr>
        <w:spacing w:after="60"/>
      </w:pPr>
    </w:p>
    <w:p>
      <w:pPr>
        <w:pStyle w:val="Heading1"/>
        <w:keepNext/>
        <w:pageBreakBefore/>
      </w:pPr>
      <w:r>
        <w:rPr>
          <w:rFonts w:ascii="바탕" w:cs="바탕" w:eastAsia="바탕" w:hAnsi="바탕"/>
          <w:lang w:val="en-US" w:eastAsia="ko-KR"/>
        </w:rPr>
        <w:t xml:space="preserve">ABSTRACT</w:t>
      </w:r>
    </w:p>
    <w:p>
      <w:pPr>
        <w:spacing w:after="360" w:line="300"/>
        <w:jc w:val="center"/>
      </w:pPr>
      <w:r>
        <w:rPr>
          <w:rFonts w:ascii="바탕" w:cs="바탕" w:eastAsia="바탕" w:hAnsi="바탕"/>
          <w:b/>
          <w:bCs/>
          <w:sz w:val="26"/>
          <w:szCs w:val="26"/>
          <w:lang w:val="en-US" w:eastAsia="ko-KR"/>
        </w:rPr>
        <w:t xml:space="preserve">Prediction Intervals of Pretrained Time Series Foundation Models for Financial Returns:</w:t>
      </w:r>
      <w:r>
        <w:br/>
      </w:r>
      <w:r>
        <w:rPr>
          <w:rFonts w:ascii="바탕" w:cs="바탕" w:eastAsia="바탕" w:hAnsi="바탕"/>
          <w:b/>
          <w:bCs/>
          <w:sz w:val="26"/>
          <w:szCs w:val="26"/>
          <w:lang w:val="en-US" w:eastAsia="ko-KR"/>
        </w:rPr>
        <w:t xml:space="preserve">Sources of Error and Training-Free Post-hoc Calibration</w:t>
      </w:r>
    </w:p>
    <w:p>
      <w:pPr>
        <w:spacing w:after="0" w:line="300"/>
        <w:jc w:val="right"/>
      </w:pPr>
      <w:r>
        <w:rPr>
          <w:rFonts w:ascii="바탕" w:cs="바탕" w:eastAsia="바탕" w:hAnsi="바탕"/>
          <w:sz w:val="21"/>
          <w:szCs w:val="21"/>
          <w:lang w:val="en-US" w:eastAsia="ko-KR"/>
        </w:rPr>
        <w:t xml:space="preserve">Kim, Seungmin</w:t>
      </w:r>
    </w:p>
    <w:p>
      <w:pPr>
        <w:spacing w:after="0" w:line="300"/>
        <w:jc w:val="right"/>
      </w:pPr>
      <w:r>
        <w:rPr>
          <w:rFonts w:ascii="바탕" w:cs="바탕" w:eastAsia="바탕" w:hAnsi="바탕"/>
          <w:sz w:val="21"/>
          <w:szCs w:val="21"/>
          <w:lang w:val="en-US" w:eastAsia="ko-KR"/>
        </w:rPr>
        <w:t xml:space="preserve">Dept. of Artificial Intelligence Convergence</w:t>
      </w:r>
    </w:p>
    <w:p>
      <w:pPr>
        <w:spacing w:after="0" w:line="300"/>
        <w:jc w:val="right"/>
      </w:pPr>
      <w:r>
        <w:rPr>
          <w:rFonts w:ascii="바탕" w:cs="바탕" w:eastAsia="바탕" w:hAnsi="바탕"/>
          <w:sz w:val="21"/>
          <w:szCs w:val="21"/>
          <w:lang w:val="en-US" w:eastAsia="ko-KR"/>
        </w:rPr>
        <w:t xml:space="preserve">Graduate School of Applied Artificial Intelligence</w:t>
      </w:r>
    </w:p>
    <w:p>
      <w:pPr>
        <w:spacing w:after="480" w:line="300"/>
        <w:jc w:val="right"/>
      </w:pPr>
      <w:r>
        <w:rPr>
          <w:rFonts w:ascii="바탕" w:cs="바탕" w:eastAsia="바탕" w:hAnsi="바탕"/>
          <w:sz w:val="21"/>
          <w:szCs w:val="21"/>
          <w:lang w:val="en-US" w:eastAsia="ko-KR"/>
        </w:rPr>
        <w:t xml:space="preserve">Hanyang University</w:t>
      </w:r>
    </w:p>
    <w:p>
      <w:pPr>
        <w:keepNext w:val="false"/>
        <w:widowControl/>
        <w:spacing w:after="0" w:before="0" w:line="384"/>
        <w:ind w:firstLine="220"/>
        <w:jc w:val="both"/>
      </w:pPr>
      <w:r>
        <w:rPr>
          <w:rFonts w:ascii="바탕" w:cs="바탕" w:eastAsia="바탕" w:hAnsi="바탕"/>
          <w:sz w:val="22"/>
          <w:szCs w:val="22"/>
          <w:lang w:val="en-US" w:eastAsia="ko-KR"/>
        </w:rPr>
        <w:t xml:space="preserve">Time series foundation models (TSFMs) produce prediction intervals without task-specific training, but whether these intervals keep their nominal coverage on financial returns has not been systematically tested. This thesis diagnoses whether miscoverage of TSFM 80% intervals stems from financial stylized facts or from the model and its usage settings, evaluates performance on real equities, and tests whether a training-free post-hoc calibration can restore coverage.</w:t>
      </w:r>
    </w:p>
    <w:p>
      <w:pPr>
        <w:keepNext w:val="false"/>
        <w:widowControl/>
        <w:spacing w:after="0" w:before="0" w:line="384"/>
        <w:ind w:firstLine="220"/>
        <w:jc w:val="both"/>
      </w:pPr>
      <w:r>
        <w:rPr>
          <w:rFonts w:ascii="바탕" w:cs="바탕" w:eastAsia="바탕" w:hAnsi="바탕"/>
          <w:sz w:val="22"/>
          <w:szCs w:val="22"/>
          <w:lang w:val="en-US" w:eastAsia="ko-KR"/>
        </w:rPr>
        <w:t xml:space="preserve">We generate 17 synthetic scenarios whose feature strengths (volatility clustering, heavy tails, regime-switching frequency and magnitude) are calibrated to ten U.S. and Korean large-cap stocks, varying one feature at a time under common random numbers. Four TSFMs (Chronos-T5, Chronos-2, TimesFM-2.5, Moirai-2.0) are evaluated on next-day log returns under four settings (21- or 252-day context; return or price input), and the same protocol is applied to the ten stocks over 2017–2026 (24,132 forecasts). Hypotheses and decision rules were specified before the experiments.</w:t>
      </w:r>
    </w:p>
    <w:p>
      <w:pPr>
        <w:keepNext w:val="false"/>
        <w:widowControl/>
        <w:spacing w:after="0" w:before="0" w:line="384"/>
        <w:ind w:firstLine="220"/>
        <w:jc w:val="both"/>
      </w:pPr>
      <w:r>
        <w:rPr>
          <w:rFonts w:ascii="바탕" w:cs="바탕" w:eastAsia="바탕" w:hAnsi="바탕"/>
          <w:sz w:val="22"/>
          <w:szCs w:val="22"/>
          <w:lang w:val="en-US" w:eastAsia="ko-KR"/>
        </w:rPr>
        <w:t xml:space="preserve">Even on feature-free data, TSFM coverage already ranged from 75% to 88% depending on model and setting, with half of the 16 settings outside the 80 ± 2% band. Raising feature strength to the strongest observed level moved coverage mostly within 3 percentage points. Only volatility clustering reduced coverage in some settings; heavy tails and frequent regime switching increased it, a consequence of variance-based 80% intervals under leptokurtic distributions; consistently, the same features lowered the coverage of Chronos-2's 98% intervals. During the experiments we also found that the library's default sampling setting alone collapsed Chronos-T5 coverage on return inputs to 14%; reported results use the corrected setting. Real-stock coverage differed from feature-free synthetic coverage by 1.1 percentage points on average (at most 3.6) across all 19 model-settings. On real stocks, quantile loss was larger than that of a historical-volatility Gaussian benchmark in 12 of 16 settings, and every one-year setting had larger loss than GARCH-t. Adaptive conformal quantile calibration (ACI-CQR) restored average (unconditional) coverage to 80% in all 340 synthetic and 19 real model-settings, at the cost of intervals 5–48% wider than the oracle. In exploratory analyses, calibrated intervals brought realized volatility in a volatility-targeting strategy to 1.05–1.14 times the target and 10% VaR violation rates to 8.6–10.8%, although violation clustering remained in some settings.</w:t>
      </w:r>
    </w:p>
    <w:p>
      <w:pPr>
        <w:keepNext/>
        <w:widowControl/>
        <w:spacing w:after="0" w:before="0" w:line="384"/>
        <w:ind w:firstLine="220"/>
        <w:jc w:val="both"/>
      </w:pPr>
      <w:r>
        <w:rPr>
          <w:rFonts w:ascii="바탕" w:cs="바탕" w:eastAsia="바탕" w:hAnsi="바탕"/>
          <w:sz w:val="22"/>
          <w:szCs w:val="22"/>
          <w:lang w:val="en-US" w:eastAsia="ko-KR"/>
        </w:rPr>
        <w:t xml:space="preserve">These results show that the reliability of TSFM intervals on financial returns is governed by model and input settings rather than by stylized facts, and that synthetic experiments calibrated to real markets can anticipate real-stock coverage. Distributional accuracy did not exceed the simple benchmark, reaching parity only in the best settings (one-year return input for all four models). Current TSFMs are therefore better used not as return forecasters but as risk-measurement tools, after checking models and usage settings and applying training-free post-hoc calibration.</w:t>
      </w:r>
    </w:p>
    <w:p>
      <w:pPr>
        <w:keepNext w:val="false"/>
        <w:widowControl/>
        <w:spacing w:after="0" w:before="0" w:line="384"/>
        <w:ind w:firstLine="220"/>
        <w:jc w:val="both"/>
      </w:pPr>
      <w:r>
        <w:rPr>
          <w:rFonts w:ascii="바탕" w:cs="바탕" w:eastAsia="바탕" w:hAnsi="바탕"/>
          <w:sz w:val="22"/>
          <w:szCs w:val="22"/>
          <w:lang w:val="en-US" w:eastAsia="ko-KR"/>
        </w:rPr>
        <w:t xml:space="preserve">Keywords: time series foundation model, prediction interval, coverage, controlled synthetic experiment, conformal prediction, stock returns</w:t>
      </w:r>
    </w:p>
    <w:sectPr>
      <w:footerReference w:type="default" r:id="rId9"/>
      <w:pgSz w:w="11906" w:h="16838" w:orient="portrait"/>
      <w:pgMar w:top="2268" w:right="1985" w:bottom="2268" w:left="1985" w:header="851" w:footer="851"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바탕" w:cs="바탕" w:eastAsia="바탕" w:hAnsi="바탕"/>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바탕" w:cs="바탕" w:eastAsia="바탕" w:hAnsi="바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22"/>
        <w:szCs w:val="22"/>
        <w:lang w:val="en-US" w:eastAsia="ko-KR"/>
      </w:rPr>
    </w:rPrDefault>
    <w:pPrDefault>
      <w:pPr>
        <w:widowControl/>
        <w:wordWrap w:val="1"/>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ableCaption">
    <w:name w:val="TableCaption"/>
    <w:basedOn w:val="Normal"/>
    <w:next w:val="Normal"/>
    <w:rPr>
      <w:rFonts w:ascii="바탕" w:cs="바탕" w:eastAsia="바탕" w:hAnsi="바탕"/>
      <w:b/>
      <w:bCs/>
      <w:sz w:val="19"/>
      <w:szCs w:val="19"/>
    </w:rPr>
  </w:style>
  <w:style w:type="paragraph" w:styleId="FigureCaption">
    <w:name w:val="FigureCaption"/>
    <w:basedOn w:val="Normal"/>
    <w:next w:val="Normal"/>
    <w:rPr>
      <w:rFonts w:ascii="바탕" w:cs="바탕" w:eastAsia="바탕" w:hAnsi="바탕"/>
      <w:b/>
      <w:bCs/>
      <w:sz w:val="19"/>
      <w:szCs w:val="19"/>
    </w:rPr>
  </w:style>
  <w:style w:type="paragraph" w:styleId="TOC1">
    <w:name w:val="toc 1"/>
    <w:basedOn w:val="Normal"/>
    <w:next w:val="Normal"/>
    <w:pPr>
      <w:spacing w:after="40" w:before="160"/>
    </w:pPr>
    <w:rPr>
      <w:sz w:val="21"/>
      <w:szCs w:val="21"/>
    </w:rPr>
  </w:style>
  <w:style w:type="paragraph" w:styleId="TOC2">
    <w:name w:val="toc 2"/>
    <w:basedOn w:val="Normal"/>
    <w:next w:val="Normal"/>
    <w:pPr>
      <w:spacing w:after="40" w:before="0"/>
      <w:ind w:left="300"/>
    </w:pPr>
    <w:rPr>
      <w:sz w:val="21"/>
      <w:szCs w:val="21"/>
    </w:rPr>
  </w:style>
  <w:style w:type="paragraph" w:styleId="TOC3">
    <w:name w:val="toc 3"/>
    <w:basedOn w:val="Normal"/>
    <w:next w:val="Normal"/>
    <w:pPr>
      <w:spacing w:after="40" w:before="0"/>
      <w:ind w:left="600"/>
    </w:pPr>
    <w:rPr>
      <w:sz w:val="21"/>
      <w:szCs w:val="21"/>
    </w:rPr>
  </w:style>
  <w:style w:type="paragraph" w:styleId="Heading1">
    <w:name w:val="Heading 1"/>
    <w:basedOn w:val="Normal"/>
    <w:next w:val="Normal"/>
    <w:qFormat/>
    <w:pPr>
      <w:spacing w:after="480" w:before="0"/>
      <w:jc w:val="center"/>
      <w:outlineLvl w:val="0"/>
    </w:pPr>
    <w:rPr>
      <w:rFonts w:ascii="바탕" w:cs="바탕" w:eastAsia="바탕" w:hAnsi="바탕"/>
      <w:b/>
      <w:bCs/>
      <w:sz w:val="32"/>
      <w:szCs w:val="32"/>
    </w:rPr>
  </w:style>
  <w:style w:type="paragraph" w:styleId="Heading2">
    <w:name w:val="Heading 2"/>
    <w:basedOn w:val="Normal"/>
    <w:next w:val="Normal"/>
    <w:qFormat/>
    <w:pPr>
      <w:spacing w:after="160" w:before="360"/>
      <w:outlineLvl w:val="1"/>
    </w:pPr>
    <w:rPr>
      <w:rFonts w:ascii="바탕" w:cs="바탕" w:eastAsia="바탕" w:hAnsi="바탕"/>
      <w:b/>
      <w:bCs/>
      <w:sz w:val="26"/>
      <w:szCs w:val="26"/>
    </w:rPr>
  </w:style>
  <w:style w:type="paragraph" w:styleId="Heading3">
    <w:name w:val="Heading 3"/>
    <w:basedOn w:val="Normal"/>
    <w:next w:val="Normal"/>
    <w:qFormat/>
    <w:pPr>
      <w:spacing w:after="120" w:before="240"/>
      <w:outlineLvl w:val="2"/>
    </w:pPr>
    <w:rPr>
      <w:rFonts w:ascii="바탕" w:cs="바탕" w:eastAsia="바탕" w:hAnsi="바탕"/>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2dc62e195b74c6a99606a0de38c0dc680782e39e.png"/><Relationship Id="rId11" Type="http://schemas.openxmlformats.org/officeDocument/2006/relationships/image" Target="media/0c717ae833d7e61695404c76c261a0a5220b9f51.png"/><Relationship Id="rId12" Type="http://schemas.openxmlformats.org/officeDocument/2006/relationships/image" Target="media/a13faeffbdecb6c6c94f6183066a3d950127f547.png"/><Relationship Id="rId13" Type="http://schemas.openxmlformats.org/officeDocument/2006/relationships/image" Target="media/91f9e325039544ec19668564f9f18b16c3ebaa2a.png"/><Relationship Id="rId14" Type="http://schemas.openxmlformats.org/officeDocument/2006/relationships/image" Target="media/0c6a240c8ba5e30d1215b91bc27be8c63e938d94.png"/><Relationship Id="rId15" Type="http://schemas.openxmlformats.org/officeDocument/2006/relationships/image" Target="media/3c36ea06e3976a014cffc7c40da57caaf94d7ec9.png"/><Relationship Id="rId16" Type="http://schemas.openxmlformats.org/officeDocument/2006/relationships/image" Target="media/d92c19a3fc1b9e426e5cef724a252cd8ab2a8c32.png"/><Relationship Id="rId17" Type="http://schemas.openxmlformats.org/officeDocument/2006/relationships/image" Target="media/7e9683e5c3c45d15bce1532f2f51b25175beee56.png"/><Relationship Id="rId18" Type="http://schemas.openxmlformats.org/officeDocument/2006/relationships/image" Target="media/5db29d9c2f8af4aa9b2e62890964dd06a9296104.png"/><Relationship Id="rId19" Type="http://schemas.openxmlformats.org/officeDocument/2006/relationships/image" Target="media/d5c809602b70a957ca95d6aeac3af238ffbca1a2.png"/><Relationship Id="rId20" Type="http://schemas.openxmlformats.org/officeDocument/2006/relationships/image" Target="media/ffde52162dae9037e4f8b203196ca8a4c42a3509.png"/><Relationship Id="rId21" Type="http://schemas.openxmlformats.org/officeDocument/2006/relationships/image" Target="media/86bfee041b853111609315f9a70980d433ac85f8.png"/><Relationship Id="rId22" Type="http://schemas.openxmlformats.org/officeDocument/2006/relationships/image" Target="media/407b9c1ff53979d3fa7068c254e673f9df52b04e.png"/><Relationship Id="rId23" Type="http://schemas.openxmlformats.org/officeDocument/2006/relationships/image" Target="media/8d3f1fcf3aec095cdca081de1ff4a9d7fc05d5a6.png"/><Relationship Id="rId24" Type="http://schemas.openxmlformats.org/officeDocument/2006/relationships/image" Target="media/50fce3821f4f050e8c32911508e82f621e340342.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사전학습 시계열 모델의 금융 수익률 예측구간: 오차의 출처와 재학습 없는 사후보정</dc:title>
  <dc:creator>김승민</dc:creator>
  <cp:lastModifiedBy>김승민</cp:lastModifiedBy>
  <cp:revision>1</cp:revision>
  <dcterms:created xsi:type="dcterms:W3CDTF">2026-10-21T13:34:02.544Z</dcterms:created>
  <dcterms:modified xsi:type="dcterms:W3CDTF">2026-10-21T13:34:02.544Z</dcterms:modified>
</cp:coreProperties>
</file>

<file path=docProps/custom.xml><?xml version="1.0" encoding="utf-8"?>
<Properties xmlns="http://schemas.openxmlformats.org/officeDocument/2006/custom-properties" xmlns:vt="http://schemas.openxmlformats.org/officeDocument/2006/docPropsVTypes"/>
</file>