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20</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절차와 검산</w:t>
          </w:r>
          <w:r>
            <w:rPr>
              <w:rFonts w:ascii="바탕" w:hAnsi="바탕" w:eastAsia="바탕" w:cs="바탕"/>
              <w:sz w:val="21"/>
              <w:szCs w:val="21"/>
            </w:rPr>
            <w:tab/>
            <w:t>35</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47</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(H5)</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54</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57</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59</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61</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63</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72</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74</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75</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76</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77</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78</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절차와 재현 정보</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A.1 실험 기록과 조치</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설정의 점검과 조치</w:t>
          </w:r>
          <w:r>
            <w:rPr>
              <w:rFonts w:ascii="바탕" w:hAnsi="바탕" w:eastAsia="바탕" w:cs="바탕"/>
              <w:sz w:val="21"/>
              <w:szCs w:val="21"/>
            </w:rPr>
            <w:tab/>
            <w:t>82</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추가 점검</w:t>
          </w:r>
          <w:r>
            <w:rPr>
              <w:rFonts w:ascii="바탕" w:hAnsi="바탕" w:eastAsia="바탕" w:cs="바탕"/>
              <w:sz w:val="21"/>
              <w:szCs w:val="21"/>
            </w:rPr>
            <w:tab/>
            <w:t>85</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87</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88</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90</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20</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34</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Chronos-2의 구간 수준별 커버리지와 특성 강화의 효과 (합성 데이터, %)</w:t>
          </w:r>
          <w:r>
            <w:rPr>
              <w:rFonts w:ascii="바탕" w:hAnsi="바탕" w:eastAsia="바탕" w:cs="바탕"/>
              <w:sz w:val="21"/>
              <w:szCs w:val="21"/>
            </w:rPr>
            <w:tab/>
            <w:t>43</w:t>
          </w:r>
        </w:p>
        <w:p>
          <w:pPr>
            <w:tabs>
              <w:tab w:val="right" w:leader="dot" w:pos="7936"/>
            </w:tabs>
            <w:spacing w:before="0" w:after="20" w:line="264" w:lineRule="auto"/>
            <w:ind w:left="0" w:right="400" w:hanging="0"/>
          </w:pPr>
          <w:r>
            <w:rPr>
              <w:rFonts w:ascii="바탕" w:hAnsi="바탕" w:eastAsia="바탕" w:cs="바탕"/>
              <w:sz w:val="21"/>
              <w:szCs w:val="21"/>
            </w:rPr>
            <w:t xml:space="preserve">표 4-5. 고강도(L4·L5)에서 특성별 결손 (80% − 커버리지, %p; 양수 = 구간이 좁음)</w:t>
          </w:r>
          <w:r>
            <w:rPr>
              <w:rFonts w:ascii="바탕" w:hAnsi="바탕" w:eastAsia="바탕" w:cs="바탕"/>
              <w:sz w:val="21"/>
              <w:szCs w:val="21"/>
            </w:rPr>
            <w:tab/>
            <w:t>45</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53</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57</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61</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65</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70</w:t>
          </w:r>
        </w:p>
        <w:p>
          <w:pPr>
            <w:tabs>
              <w:tab w:val="right" w:leader="dot" w:pos="7936"/>
            </w:tabs>
            <w:spacing w:before="0" w:after="20" w:line="264" w:lineRule="auto"/>
            <w:ind w:left="0" w:right="400" w:hanging="0"/>
          </w:pPr>
          <w:r>
            <w:rPr>
              <w:rFonts w:ascii="바탕" w:hAnsi="바탕" w:eastAsia="바탕" w:cs="바탕"/>
              <w:sz w:val="21"/>
              <w:szCs w:val="21"/>
            </w:rPr>
            <w:t xml:space="preserve">표 6-4. 변동성 수준별 보정 전후 커버리지 (실제 10종목, %)</w:t>
          </w:r>
          <w:r>
            <w:rPr>
              <w:rFonts w:ascii="바탕" w:hAnsi="바탕" w:eastAsia="바탕" w:cs="바탕"/>
              <w:sz w:val="21"/>
              <w:szCs w:val="21"/>
            </w:rPr>
            <w:tab/>
            <w:t>71</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73</w:t>
          </w:r>
        </w:p>
        <w:p>
          <w:pPr>
            <w:tabs>
              <w:tab w:val="right" w:leader="dot" w:pos="7936"/>
            </w:tabs>
            <w:spacing w:before="0" w:after="20" w:line="264" w:lineRule="auto"/>
            <w:ind w:left="0" w:right="400" w:hanging="0"/>
          </w:pPr>
          <w:r>
            <w:rPr>
              <w:rFonts w:ascii="바탕" w:hAnsi="바탕" w:eastAsia="바탕" w:cs="바탕"/>
              <w:sz w:val="21"/>
              <w:szCs w:val="21"/>
            </w:rPr>
            <w:t xml:space="preserve">표 A-1. 모델별 추론 설정</w:t>
          </w:r>
          <w:r>
            <w:rPr>
              <w:rFonts w:ascii="바탕" w:hAnsi="바탕" w:eastAsia="바탕" w:cs="바탕"/>
              <w:sz w:val="21"/>
              <w:szCs w:val="21"/>
            </w:rPr>
            <w:tab/>
            <w:t>82</w:t>
          </w:r>
        </w:p>
        <w:p>
          <w:pPr>
            <w:tabs>
              <w:tab w:val="right" w:leader="dot" w:pos="7936"/>
            </w:tabs>
            <w:spacing w:before="0" w:after="20" w:line="264" w:lineRule="auto"/>
            <w:ind w:left="0" w:right="400" w:hanging="0"/>
          </w:pPr>
          <w:r>
            <w:rPr>
              <w:rFonts w:ascii="바탕" w:hAnsi="바탕" w:eastAsia="바탕" w:cs="바탕"/>
              <w:sz w:val="21"/>
              <w:szCs w:val="21"/>
            </w:rPr>
            <w:t xml:space="preserve">표 A-2. Chronos-T5 샘플링 설정 점검(합성 데이터, 80% 구간 커버리지)</w:t>
          </w:r>
          <w:r>
            <w:rPr>
              <w:rFonts w:ascii="바탕" w:hAnsi="바탕" w:eastAsia="바탕" w:cs="바탕"/>
              <w:sz w:val="21"/>
              <w:szCs w:val="21"/>
            </w:rPr>
            <w:tab/>
            <w:t>83</w:t>
          </w:r>
        </w:p>
        <w:p>
          <w:pPr>
            <w:tabs>
              <w:tab w:val="right" w:leader="dot" w:pos="7936"/>
            </w:tabs>
            <w:spacing w:before="0" w:after="20" w:line="264" w:lineRule="auto"/>
            <w:ind w:left="0" w:right="400" w:hanging="0"/>
          </w:pPr>
          <w:r>
            <w:rPr>
              <w:rFonts w:ascii="바탕" w:hAnsi="바탕" w:eastAsia="바탕" w:cs="바탕"/>
              <w:sz w:val="21"/>
              <w:szCs w:val="21"/>
            </w:rPr>
            <w:t xml:space="preserve">표 A-3. Chronos-T5 수익률 조건의 샘플링 제한 해제 전후</w:t>
          </w:r>
          <w:r>
            <w:rPr>
              <w:rFonts w:ascii="바탕" w:hAnsi="바탕" w:eastAsia="바탕" w:cs="바탕"/>
              <w:sz w:val="21"/>
              <w:szCs w:val="21"/>
            </w:rPr>
            <w:tab/>
            <w:t>84</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87</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88</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89</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개선율(H5)</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66</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가설과 판정 기준은 실험 전에 정해 두었다.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상승시켰다. 이 상승은 첨도가 높은 분포에서 분산 기반 80% 구간이 갖는 수학적 성질로 설명되며, 같은 성질 때문에 극단 분위수를 내는 Chronos-2의 98% 구간에서는 꼬리와 국면 전환이 오히려 커버리지를 낮추었다. 실험 과정에서는 Chronos-T5의 라이브러리 기본 샘플링 설정 하나가 수익률 입력의 커버리지를 14%까지 무너뜨리는 것도 발견하여 바로잡았으며, 이는 설정이 특성보다 큰 차이를 만든다는 또 하나의 사례이다. 실제 주가의 커버리지는 특성 없는 합성 데이터의 커버리지와 평균 1.1%p(최대 3.6%p) 차이를 보였다. 실제 주식에서 분위수 손실은 16개 조건 중 12개에서 과거 변동성 기반 정규분포(RW)보다 컸고, 과거 1년 조건은 모두 GARCH-t보다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크게 어긋나는 모델과 설정은 실측 기반 합성 데이터 실험으로 실제 주식에 쓰기 전에 가려낼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곧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가설과 판정 기준, 분석 코드는 실험 전에 정해 두었다(3.7절). 실험 과정에서 Chronos-T5의 수익률 구간이 비정상적으로 좁은 것을 발견하여 원인을 점검하였고, 라이브러리의 생성 설정이 모델의 분포를 잘라 내고 있음을 확인하여 바로잡은 설정으로 평가하였다(3.4절, 부록 A.3).</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커버리지 변동의 90%가 모델·조건의 차이로, 7%가 금융 특성의 차이로 설명된다. 변동성 군집만 일부 조건에서 커버리지를 낮췄고, 두꺼운 꼬리와 잦은 국면 전환 특성은 오히려 커버리지를 높였으며, 이는 80% 구간이 갖는 수학적 성질로 설명된다. 실험 과정에서는 Chronos-T5의 라이브러리 기본 샘플링 설정 하나가 수익률 입력의 커버리지를 14%까지 무너뜨리는 것도 발견하였는데(부록 A.3), 설정 하나가 어떤 특성보다 큰 차이를 만든 사례이다.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차이였고, 크게 어긋나는 모델과 설정(TimesFM-2.5 1년·가격 88%, 기본 설정 Chronos-T5 14%)은 합성 데이터에서 이미 그대로 드러났다. 실제 데이터에 적용하기 전에 합성 데이터로 이런 모델과 설정을 미리 가려낼 수 있다는 뜻이다.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수준이었으며, GARCH-t보다는 과거 1년 조건 모두 손실이 컸다(1년·수익률은 0.4~1.5%로 작은 차이).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확인하고, 크게 어긋나는 모델과 설정을 실제 데이터에 적용하기 전에 걸러내는 점검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근처 구간에서는 하락)을 이론 계산으로 보이고, 극단 분위수를 내는 Chronos-2의 98% 구간에서 실제로 확인하였다.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같은 절차로 평가하고, 가설과 판정 기준을 실험 전에 정해 둔 뒤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절차와 검산을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6573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46863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86300" cy="40481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얻으며, 표본을 뽑을 때 확률 상위 몇 개 토큰으로 후보를 제한하는 생성 설정(top-k)이 있다. 이 설정이 수익률 입력에 주는 영향은 3.4절과 부록 A.3에서 다룬다.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연구의 주분석은 네 모델이 공통으로 출력하는 0.1~0.9의 9개 분위수만 사용하고, 극단 구간 확인(4.3.2절)에서는 21개를 모두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2193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55257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193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2764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절차와 검산을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4"/>
        <w:gridCol w:w="4848"/>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선행연구(Rahimikia 외, 2025)도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571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49815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8157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Noguer i Alonso, Franklin(2026)과 같은 종목(그 연구는 20영업일 앞 중앙값을, 본 연구는 다음 날 분포를 예측하므로 수치를 직접 비교하지는 않음).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다르지만(선행연구와 같은 종목),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Noguer i Alonso와 Franklin(2026)이 평가한 모델과 맞추었다. 이하 표와 본문에서는 Moirai-2.0을 Moirai-2로 줄여 쓴다. Chronos-T5는 계산 자원(GPU 1장)의 제약으로 large 대신 base를 사용하였다. 사전 측정에서 large는 한 번 예측에 base의 약 4배(0.109초 대 0.028초)가 걸렸다. large 하나에만 약 19.4시간이 예상되어, 네 모델과 기준 모형 전체의 본 실행 시간(약 5.4시간)의 3배가 넘는다.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실험 과정에서 이 설정으로 낸 수익률 입력의 80% 구간 커버리지가 합성 데이터에서 14~16%, 실제 주가에서 17~18%로 비정상적으로 낮은 것을 발견하여 원인을 점검하였다(부록 A.3). 다음 값의 퍼짐이 입력의 평균 절댓값에 비해 큰 수익률 입력에서는 상위 50칸이 분포의 양 끝을 잘라 내고 있었고, 가격 입력은 다음 값이 마지막 값 근처에 모여 영향을 받지 않았다(해제 전후 차이 0.01%p). 이는 모델의 예측이 아니라 그 예측을 잘라 내는 생성 설정의 문제이므로, 본 연구는 제한을 해제하여(어휘 전체에서 추출) Chronos-T5의 수익률 조건을 다시 예측하였고, 본문의 결과는 모두 이 설정에 따른 것이다. 다른 모델의 출력 방식 선택(예: TimesFM-2.5의 연속 분위수 헤드)은 라이브러리 권장값을 그대로 두었다. 모델별 설정은 표 A-1에, 점검 과정과 기본 설정의 결과는 부록 A.3에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고정하였다(γ에 대한 민감도는 6.2절).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따라서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커버리지 기준 2%p는 시나리오당 채점 6,000건의 표본 오차(95% 구간 약 ±1%p)보다 확실히 큰 차이로 정하였다.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절차와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가설이나 판정 기준을 바꾸는 일을 막기 위해, 실험 전에 연구 계획(가설·판정 기준)·코드·단계값을 정해 git 커밋으로 기록해 두었다(시점과 실행 환경은 부록 A.1·A.2). 예비 실험에서 확인한 설계상의 한계를 보완하여 본 실험을 설계하였으며, 실행 전에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실험 과정에서 밝혀 둘 사항과 조치는 다음과 같다. 첫째, 실행 전 전체 규모 사전 시험에서 기준 모형(RW, GARCH-t)의 실제 주가 결과가 함께 산출되었으나, 이를 본 뒤 설정은 바꾸지 않았다. 둘째, 검산에서 GARCH-t가 합성 데이터 136,000건 중 2건에서 비정상 값을 낸 것을 발견하였으며, 가설 검정에는 영향이 없고 민감도 분석을 6.5절에 보고한다. 셋째, Chronos-T5 수익률 입력의 구간이 비정상적으로 좁은 것을 발견하여 원인을 확인하고, 샘플링 설정 하나만 바로잡아 같은 과제·난수 시드·채점 코드로 다시 계산하였다(3.4절). 다른 모델의 가설 판정은 바뀌지 않았으며, 바로잡기 전의 결과는 부록 A.3에 함께 싣는다. 그 밖의 추가 점검은 부록 A.4에 정리한다.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검정(H1~H5)에는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좁고, 1년·수익률(78.6%)을 뺀 세 조건은 실질 기준 하한(78%)에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A.4).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실험 과정에서 발견한 Chronos-T5의 샘플링 설정에서도 드러났다. 이 모델을 라이브러리 기본 설정 그대로 쓰면 수익률 입력의 커버리지가 14~15%로 무너졌다(3.4절, 부록 A.3).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이를 수치로 나누어 보면, TSFM 16개 조건 × 17개 시나리오 커버리지의 변동 가운데 90%가 모델·조건의 차이로, 7%가 시나리오(금융 특성)의 차이로 설명된다(이원 분산 분해의 주효과 비율). 가장 크게 벗어난 TimesFM 1년·가격을 빼도 76% 대 18%로 모델·조건의 몫이 훨씬 크다.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47339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339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5621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네 모델이 공통으로 내는 분위수는 0.1~0.9이지만, Chronos-2(Ansari 외, 2025)는 0.01~0.99 분위수도 직접 낸다. 이를 이용해 같은 과제를 분위수 21개로 다시 예측하여 90%·98% 구간에서 이 방향 전환이 실제로 나타나는지 확인하였다(표 4-4). 새 예측의 0.1·0.9 분위수는 본 실행과 사실상 같았다(부록 A.4).</w:t>
      </w:r>
    </w:p>
    <w:p>
      <w:pPr>
        <w:pStyle w:val="TableCaption"/>
        <w:keepNext/>
        <w:spacing w:after="80" w:before="200" w:line="276"/>
        <w:jc w:val="center"/>
      </w:pPr>
      <w:r>
        <w:rPr>
          <w:rFonts w:ascii="바탕" w:cs="바탕" w:eastAsia="바탕" w:hAnsi="바탕"/>
          <w:sz w:val="19"/>
          <w:szCs w:val="19"/>
          <w:lang w:val="en-US" w:eastAsia="ko-KR"/>
        </w:rPr>
        <w:t xml:space="preserve">표 4-4. Chronos-2의 구간 수준별 커버리지와 특성 강화의 효과 (합성 데이터,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024"/>
        <w:gridCol w:w="1977"/>
        <w:gridCol w:w="930"/>
        <w:gridCol w:w="930"/>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0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197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꼬리 L5 − L1(%p)</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빈도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크기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+0.4 / −1.0* / −1.0*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 / −0.7* / −0.8*</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 88.8 / 97.9</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 / +2.1* / 0.0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90.8 / 99.5</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 / +0.6 / −0.9*</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이론(정규 기준 구간)</w:t>
            </w:r>
          </w:p>
        </w:tc>
        <w:tc>
          <w:tcPr>
            <w:tcW w:type="dxa" w:w="20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 / 90.0 / 98.0</w:t>
            </w:r>
          </w:p>
        </w:tc>
        <w:tc>
          <w:tcPr>
            <w:tcW w:type="dxa" w:w="197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+6.6 / +2.4 / −1.0</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 Wilcoxon 부호순위 검정(계열 100개 대응), 같은 구간 수준·축의 4개 조건 Holm 보정 후 p &lt; 0.05. 이론은 분산이 같은 정규분포 기반 구간을 꼬리 L5(ν = 3.56) 자료에 적용했을 때의 값(표 4-3과 같은 계산).</w:t>
      </w:r>
    </w:p>
    <w:p>
      <w:pPr>
        <w:keepNext w:val="false"/>
        <w:widowControl/>
        <w:spacing w:after="120" w:before="0" w:line="384"/>
        <w:ind w:firstLine="220"/>
        <w:jc w:val="both"/>
      </w:pPr>
      <w:r>
        <w:rPr>
          <w:rFonts w:ascii="바탕" w:cs="바탕" w:eastAsia="바탕" w:hAnsi="바탕"/>
          <w:sz w:val="22"/>
          <w:szCs w:val="22"/>
          <w:lang w:val="en-US" w:eastAsia="ko-KR"/>
        </w:rPr>
        <w:t xml:space="preserve">꼬리를 가장 강하게 설정하면 80% 구간 커버리지는 네 조건 중 세 조건에서 유의하게 올랐고(+1.4~+3.2%p), 98% 구간에서는 세 조건에서 유의하게 내려갔다(−0.8~−1.0%p). 국면 전환의 빈도와 크기도 98% 구간에서는 여덟 조건 모두 커버리지를 유의하게 낮추었다(−0.6~−1.0%p). 이론 계산이 예상한 대로 구간 수준이 높아질수록 꼬리와 국면 전환의 효과가 상승에서 하락으로 바뀌며, 98% 구간의 하락 폭(약 1%p)도 이론값과 비슷하다. 다만 Chronos-2의 98% 구간은 특성이 없는 L1에서 이미 97.9~99.6%로 넓은 편이어서, 하락한 뒤에도 98% 근처에 머문다. 실제 10종목에서 Chronos-2의 98% 구간 커버리지는 97.6~99.2%였다. 이 확인은 극단 분위수를 내는 Chronos-2 한 모델에 한정된다.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4-5와 같다.</w:t>
      </w:r>
    </w:p>
    <w:p>
      <w:pPr>
        <w:pStyle w:val="TableCaption"/>
        <w:keepNext/>
        <w:spacing w:after="80" w:before="200" w:line="276"/>
        <w:jc w:val="center"/>
      </w:pPr>
      <w:r>
        <w:rPr>
          <w:rFonts w:ascii="바탕" w:cs="바탕" w:eastAsia="바탕" w:hAnsi="바탕"/>
          <w:sz w:val="19"/>
          <w:szCs w:val="19"/>
          <w:lang w:val="en-US" w:eastAsia="ko-KR"/>
        </w:rPr>
        <w:t xml:space="preserve">표 4-5.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998"/>
        <w:gridCol w:w="448"/>
        <w:gridCol w:w="448"/>
        <w:gridCol w:w="805"/>
        <w:gridCol w:w="805"/>
        <w:gridCol w:w="824"/>
        <w:gridCol w:w="807"/>
        <w:gridCol w:w="717"/>
        <w:gridCol w:w="891"/>
      </w:tblGrid>
      <w:tr>
        <w:trPr>
          <w:cantSplit/>
          <w:tblHeader/>
        </w:trPr>
        <w:tc>
          <w:tcPr>
            <w:tcW w:type="dxa" w:w="119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군집</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꼬리</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전환빈도</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전환크기</w:t>
            </w:r>
          </w:p>
        </w:tc>
        <w:tc>
          <w:tcPr>
            <w:tcW w:type="dxa" w:w="82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범위(%p)</w:t>
            </w:r>
          </w:p>
        </w:tc>
        <w:tc>
          <w:tcPr>
            <w:tcW w:type="dxa" w:w="80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최대 결손</w:t>
            </w:r>
          </w:p>
        </w:tc>
        <w:tc>
          <w:tcPr>
            <w:tcW w:type="dxa" w:w="71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Holm p</w:t>
            </w:r>
          </w:p>
        </w:tc>
        <w:tc>
          <w:tcPr>
            <w:tcW w:type="dxa" w:w="89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3.1e-06</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4.2e-02</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2.6e-08</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1.4e-07</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3.5e-11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-4.8</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-5.6</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4.5</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99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2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넓히거나 거의 바꾸지 않는데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실험 과정에서는 Chronos-T5의 샘플링 설정 하나가 커버리지를 14%까지 무너뜨린 사례도 확인되었다(부록 A.3).</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근처 구간에서는 방향이 반대가 되며, 이는 Chronos-2의 98% 구간에서 실제로 확인되었다(표 4-3, 4-4). 따라서 이 결과를 극단 위험에 그대로 적용할 수는 없다.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H5,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528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 16개 조건 × 10종목 커버리지의 변동 가운데 92%가 모델·조건의 차이로, 1%가 종목의 차이로 설명된다(TimesFM 1년·가격을 빼면 83% 대 1%).</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(H5)</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H5는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671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개선율(H5)</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H5는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없으므로(5.5.1절의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0.8~9.8% 컸다.</w:t>
      </w:r>
    </w:p>
    <w:p>
      <w:pPr>
        <w:keepNext w:val="false"/>
        <w:widowControl/>
        <w:spacing w:after="120" w:before="0" w:line="384"/>
        <w:ind w:firstLine="220"/>
        <w:jc w:val="both"/>
      </w:pPr>
      <w:r>
        <w:rPr>
          <w:rFonts w:ascii="바탕" w:cs="바탕" w:eastAsia="바탕" w:hAnsi="바탕"/>
          <w:sz w:val="22"/>
          <w:szCs w:val="22"/>
          <w:lang w:val="en-US" w:eastAsia="ko-KR"/>
        </w:rPr>
        <w:t xml:space="preserve">같은 과거 1년을 쓰는 GARCH-t와 비교하면 결과는 더 분명하다. 미리 정한 가설(H5)에는 들어 있지 않은 추가 분석으로, H5와 같은 방법(같은 종목·날짜로 짝지은 손실 차이의 월 평균에 t검정, Holm 보정)을 적용하였다. GARCH-t 1년의 분위수 손실은 RW 1년보다 1.4% 작아 19개 모델·조건 가운데 가장 작았고, TSFM 1년 조건 8개는 모두 GARCH-t보다 손실이 유의하게 컸다(1년·수익률 0.4~1.5%, 1년·가격 2.2~5.1%). 1년·수익률 조건의 차이는 실질 기준(2%)보다 작아, TSFM은 이 조건에서 RW와 같고 GARCH-t에는 조금 못 미치는 수준이다.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2.5~5.4%p 떨어졌다. 그러나 같은 기간에는 학습 데이터와 무관한 기준 모형도 함께 떨어졌다. 각 모델의 공개 이후 기간에서 RW 1년은 83.0%에서 79.2~81.3%로, GARCH-t는 78.4%에서 74.8~76.6%로 1.8~3.8%p 낮아졌다. 따라서 하락의 대부분은 공개 이후 기간의 시장 상황에서 온 것으로 보인다. 같은 기간 기준 모형과 비교하면 TSFM의 하락이 0.7~2.0%p 더 컸으므로 학습 데이터 중복의 영향을 완전히 배제할 수는 없지만, 공개 이후 기간이 1,300~4,300건(약 1~2.5년)으로 짧아 판단하기 어렵다.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다만 이 값은 L1에서 크게 벗어난 TimesFM 1년·가격(87.6 → 87.7%) 한 조건의 영향이 커서, 이를 빼면 0.78이다. 이 조건처럼 L1에서 벗어난 조건은 실제 주가에서도 같은 방향, 비슷한 크기로 벗어났다.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비교 기준으로, 모든 조건의 실제 커버리지를 명목 수준 80%로 짐작하면 평균 차이는 2.1%p(TimesFM 1년·가격을 빼면 1.8%p)이다. 합성 L1은 19개 중 12개 조건에서 이보다 실제에 가까웠으나, 조건 수가 적어 이 차이는 통계적으로 확실하지 않다(Wilcoxon 부호순위 검정 p = 0.07). 합성 점검이 분명하게 쓸모 있는 것은 크게 어긋나는 경우이다. TimesFM 1년·가격(87.6 → 87.7%)과 기본 설정 Chronos-T5의 수익률 구간(합성 14~16%, 실제 17~18%, 부록 A.3)은 합성 데이터에서 이미 그대로 드러났다.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39528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예측구간의 오차를 정하는 것이 금융 특성보다 모델과 입력 설정이라는 제4장의 결론을 실제 데이터가 뒷받침한다는 뜻이다. 또한 실측 기반 합성 데이터 실험이 실제 주가의 커버리지를 평균 1.1%p(최대 3.6%p) 차이로 재현했다는 것은, 새 모델이나 입력 설정을 실제 데이터에 쓰기 전에, 적어도 크게 어긋나는 모델과 설정은 합성 데이터 점검으로 미리 가려낼 수 있다는 뜻이다. 2%p 안쪽의 작은 어긋남까지 합성 점검으로 맞힌다고 보기는 어렵다.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가설 검정과 별개인 탐색 분석이다. 분석 규칙은 계산 전에 별도 분석 계획으로 정해 두었고,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이 연구가 평가한 대상인 구간의 폭을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보정 구간 기준으로 Chronos-T5의 2개 조건(한 달·가격, 1년·수익률)에서는 샤프 비율이 유의하게 낮았다(원래 구간 기준으로는 한 달·가격 1개).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비슷하였다(−34%, 부록 A.3).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가운데 10종목 중 8종목 이상이 위반율 검정을 통과한 조건은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78117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수준이었다(H5 미지지). 변동성 군집을 직접 모형화하는 GARCH-t보다는 1년 조건 모두 손실이 컸다(0.4~5.1%). 모델 공개 이후 기간만 보아도 RW 대비 손실의 양상은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검증한다(H6). 6.1절은 합성 데이터, 6.2절은 실제 주식, 6.3절은 보정의 비용(구간 폭), 6.4절은 대조군, 6.5절은 GARCH-t 비정상 값 2건의 민감도, 6.6절은 실무적 의미와 변동성 수준별 커버리지를 다룬다. 6.7절에서 RQ3에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전에 정함):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A.3).</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4860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 갱신 속도 γ에도 민감하지 않았다. 추가 민감도 분석으로 γ를 0.005~0.1로 바꾸어도 실제 19개 모델·조건이 모두 복원되었고(보정 후 79.8~80.9%), γ가 클수록 구간이 이탈에 빨리 반응하는 대신 평균 폭이 조금 넓어졌다(에피소드 보정의 폭 배율 0.84~1.19배 → 0.90~1.27배, 부록 A.4).</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H6은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H5)는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8~9배로 넓혀야 했다(부록 A.3).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2942"/>
        <w:gridCol w:w="1831"/>
      </w:tblGrid>
      <w:tr>
        <w:trPr>
          <w:cantSplit/>
          <w:tblHeader/>
        </w:trPr>
        <w:tc>
          <w:tcPr>
            <w:tcW w:type="dxa" w:w="31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9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정해 둔 규칙 그대로</w:t>
            </w:r>
          </w:p>
        </w:tc>
        <w:tc>
          <w:tcPr>
            <w:tcW w:type="dxa" w:w="18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1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9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18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검정(H1~H5)에는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A.3).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정확도(H5)를 높이지는 않는다. 한편 1년·수익률 조건에서는 보정 후 4개 TSFM 모두 위반율 검정(10종목)과 독립성 검정(9~10종목)을 함께 통과하여 보정의 효과가 가장 안정적이었다(표 5-6).</w:t>
      </w:r>
    </w:p>
    <w:p>
      <w:pPr>
        <w:keepNext/>
        <w:widowControl/>
        <w:spacing w:after="120" w:before="0" w:line="384"/>
        <w:ind w:firstLine="220"/>
        <w:jc w:val="both"/>
      </w:pPr>
      <w:r>
        <w:rPr>
          <w:rFonts w:ascii="바탕" w:cs="바탕" w:eastAsia="바탕" w:hAnsi="바탕"/>
          <w:sz w:val="22"/>
          <w:szCs w:val="22"/>
          <w:lang w:val="en-US" w:eastAsia="ko-KR"/>
        </w:rPr>
        <w:t xml:space="preserve">평균 커버리지만으로 복원을 판정하면 평온기의 과대와 위기의 과소가 서로 상쇄되어도 80%가 될 수 있다. 이를 확인하기 위해 실제 10종목의 예측을 종목·달력 월별 실현 변동성(그달 일별 수익률의 표준편차)의 5분위로 나누어, 가장 평온한 달(하위 20%, 일별 표준편차 1.24% 이하)과 가장 변동이 큰 달(상위 20%, 2.50% 이상)의 커버리지를 비교하였다(표 6-4, 실제 운용과 같은 연속 보정).</w:t>
      </w:r>
    </w:p>
    <w:p>
      <w:pPr>
        <w:pStyle w:val="TableCaption"/>
        <w:keepNext/>
        <w:spacing w:after="80" w:before="200" w:line="276"/>
        <w:jc w:val="center"/>
      </w:pPr>
      <w:r>
        <w:rPr>
          <w:rFonts w:ascii="바탕" w:cs="바탕" w:eastAsia="바탕" w:hAnsi="바탕"/>
          <w:sz w:val="19"/>
          <w:szCs w:val="19"/>
          <w:lang w:val="en-US" w:eastAsia="ko-KR"/>
        </w:rPr>
        <w:t xml:space="preserve">표 6-4. 변동성 수준별 보정 전후 커버리지 (실제 10종목,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2743"/>
        <w:gridCol w:w="2743"/>
      </w:tblGrid>
      <w:tr>
        <w:trPr>
          <w:cantSplit/>
          <w:tblHeader/>
        </w:trPr>
        <w:tc>
          <w:tcPr>
            <w:tcW w:type="dxa" w:w="2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평온한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변동이 큰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80.9~85.4 → 81.1~81.4</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74.5~79.7 → 79.3~79.8</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79.5~84.1 → 80.3~81.0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75.6~79.6 → 79.8~80.5</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85.3~89.0 → 82.3~83.2</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67.0~73.6 → 77.5~78.9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83.3~91.8 → 82.0~82.7</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69.0~82.4 → 78.5~78.9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한 달</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83.6 → 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76.9 → 79.7</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1년</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93.3 → 83.6</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70.4 → 76.5</w:t>
            </w:r>
          </w:p>
        </w:tc>
      </w:tr>
      <w:tr>
        <w:trPr>
          <w:cantSplit/>
          <w:trHeight w:val="296" w:hRule="atLeast"/>
        </w:trPr>
        <w:tc>
          <w:tcPr>
            <w:tcW w:type="dxa" w:w="2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 1년</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85.7 → 82.7</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71.9 → 78.6</w:t>
            </w:r>
          </w:p>
        </w:tc>
      </w:tr>
    </w:tbl>
    <w:p>
      <w:pPr>
        <w:spacing w:after="60"/>
      </w:pPr>
    </w:p>
    <w:p>
      <w:pPr>
        <w:spacing w:after="200" w:line="276"/>
        <w:jc w:val="both"/>
      </w:pPr>
      <w:r>
        <w:rPr>
          <w:rFonts w:ascii="바탕" w:cs="바탕" w:eastAsia="바탕" w:hAnsi="바탕"/>
          <w:sz w:val="17"/>
          <w:szCs w:val="17"/>
          <w:lang w:val="en-US" w:eastAsia="ko-KR"/>
        </w:rPr>
        <w:t xml:space="preserve">주: TSFM은 네 모델의 범위. 각 분위는 종목·달 단위로 나누었으며 분위마다 약 4,800건이다.</w:t>
      </w:r>
    </w:p>
    <w:p>
      <w:pPr>
        <w:keepNext w:val="false"/>
        <w:widowControl/>
        <w:spacing w:after="120" w:before="0" w:line="384"/>
        <w:ind w:firstLine="220"/>
        <w:jc w:val="both"/>
      </w:pPr>
      <w:r>
        <w:rPr>
          <w:rFonts w:ascii="바탕" w:cs="바탕" w:eastAsia="바탕" w:hAnsi="바탕"/>
          <w:sz w:val="22"/>
          <w:szCs w:val="22"/>
          <w:lang w:val="en-US" w:eastAsia="ko-KR"/>
        </w:rPr>
        <w:t xml:space="preserve">보정 전에는 평온한 달에 구간이 넓고 변동이 큰 달에 좁아, 특히 과거 1년을 쓰는 조건에서 두 시기의 차이가 컸다(최대 22.8%p). 1년치 과거로 정한 구간이 최근의 변동 변화를 늦게 따라가기 때문이다. 보정 후에는 이 차이가 19개 모델·조건 평균 10.1%p에서 2.9%p로 줄었다. 보정은 이탈이 이어지면 구간을 넓히므로 변동이 큰 시기의 과소를 상당 부분 메우지만, 1년 조건에서는 변동이 큰 달의 커버리지가 보정 후에도 76~79%로 목표보다 조금 낮게 남았다. 1년·수익률 조건이 VaR 백테스트의 위반율·독립성 검정을 함께 통과한 것(표 5-6)과 함께 보면, 위반이 연달아 몰리지는 않지만 변동이 큰 시기에는 위반이 다소 잦다는 뜻이다.</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평온한 달과 변동이 큰 달의 커버리지 차이도 평균 10.1%p에서 2.9%p로 줄었다. 다만 1년 조건에서 변동이 큰 달의 약간의 과소와, 한 달·가격 조건의 위반 몰림은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595"/>
        <w:gridCol w:w="3509"/>
        <w:gridCol w:w="1351"/>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59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50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5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설명(98% 구간에서는 하락, Chronos-2)</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 GARCH-t보다는 1년 조건 모두 손실 큼</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1160"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59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350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5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크게 어긋나는 모델과 설정은 실측 기반 합성 데이터 실험으로 미리 가려낼 수 있다. 이 오차는 재학습 없는 사후보정으로 평균 커버리지 기준에서 일관되게 바로잡힌다. 분포의 정확도는 RW 수준이고 GARCH-t에는 조금 못 미치므로,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A.3). 특성이 없는 합성 데이터에서 커버리지를 사전에 측정해 보면 실제 주가에서의 커버리지를 평균 1.1%p(최대 3.6%p) 차이로 가늠할 수 있었고, 크게 어긋나는 모델과 설정은 합성 데이터에서 이미 그대로 드러났다(본 연구의 10종목, 5.4절). 따라서 실제 데이터에 쓰기 전에 간단한 점검으로 이런 모델과 설정을 미리 가려낼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GARCH-t보다는 조금 낮았고(0.4~1.5%), 과거 한 달이나 가격 입력에서는 RW보다 손실이 0.8~9.8%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주분석은 80% 구간에 한정된다. 일부 모델이 0.1~0.9 분위수만 내기 때문에 네 모델을 같은 조건으로 비교할 수 있는 가장 넓은 구간이 80%였다. 극단 구간은 극단 분위수를 내는 Chronos-2 한 모델로만 확인하였으며, 이론 계산(표 4-3)대로 꼬리와 국면 전환이 98% 구간의 커버리지는 낮추었다(표 4-4). 따라서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선행연구와 같은 종목, 한국은 2017년 초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모델과 입력 길이가 제한적이다. Chronos-T5는 계산 자원의 제약으로 large 대신 base를 사용하였고, Moirai-2.0은 small 크기만 평가하였다. 미세조정이나 금융 데이터로 사전학습한 모델은 다루지 않았다. 과거 길이는 기준 모형과 맞추어 최대 252일로 하였다. TSFM은 더 긴 과거(예: 512일)를 받을 수 있으나, Chronos-T5를 독립 정규 계열로 점검했을 때 512일과 252일의 커버리지는 78.3%와 78.6%로 같았다(부록 A.3). 다른 모델과 실제 주가에서 512일은 확인하지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결과(H5)는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A.4). 한 모델과 한 가지 변수만 확인한 결과라는 한계는 남는다. 그러나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결과를 본 뒤 정한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가설 검정에 포함되지 않는 보조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다른 모델과 설정에서 꼬리·국면 전환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금융 데이터의 특성보다 모델과 사용 설정, 그리고 사후보정 여부에 의해 좌우된다. 본 연구의 의의는 TSFM이 기존의 단순 모형보다 낫다는 것을 보이는 데 있지 않고, TSFM 예측구간이 금융 데이터에서 얼마나, 왜 어긋나는지(같은 데이터에서도 모델과 설정에 따라 75~88%, 16개 조건 중 절반이 실질 기준 밖)와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모델과 사용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절차와 재현 정보</w:t>
      </w:r>
    </w:p>
    <w:p>
      <w:pPr>
        <w:pStyle w:val="Heading3"/>
        <w:keepNext/>
        <w:spacing w:after="160" w:before="360"/>
      </w:pPr>
      <w:r>
        <w:rPr>
          <w:rFonts w:ascii="바탕" w:cs="바탕" w:eastAsia="바탕" w:hAnsi="바탕"/>
          <w:b/>
          <w:bCs/>
          <w:sz w:val="26"/>
          <w:szCs w:val="26"/>
          <w:lang w:val="en-US" w:eastAsia="ko-KR"/>
        </w:rPr>
        <w:t xml:space="preserve">A.1 실험 기록과 조치</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검산에서 발견: GARCH-t 합성 2건(전환크기 L3 계열 79의 66일째, 꼬리 L2 계열 86의 64일째)이 사전 대체 규칙(유한값 아님, 분산 ≤ 0, ν ≤ 2)에 걸리지 않는 비정상 값을 냈다. 민감도는 6.5절.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샘플링 설정(2026-10-20~21): 본 실행 결과를 점검하던 중 수익률 입력의 구간이 비정상적으로 좁은 것을 발견하여 원인을 확인하고(A.3), 샘플링 제한(top-k)만 해제하여 수익률 조건 2개를 다시 예측하였다. 과제·난수 시드·배치·후처리·채점과 분석 코드는 본 실행과 같다. 본문의 모든 표와 그림은 해제 후 결과이며, 해제 전 결과는 A.3에 싣는다.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가설 번호: 실험 계획서의 H5(보정 후 복원)와 H6(RW 대비 분위수 손실)은 본문에서 연구 질문 순서에 맞추어 각각 H6과 H5로 부른다. 가설의 내용과 판정 기준은 같다.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keepNext/>
        <w:widowControl/>
        <w:spacing w:after="120" w:before="0" w:line="384"/>
        <w:ind w:firstLine="220"/>
        <w:jc w:val="both"/>
      </w:pPr>
      <w:r>
        <w:rPr>
          <w:rFonts w:ascii="바탕" w:cs="바탕" w:eastAsia="바탕" w:hAnsi="바탕"/>
          <w:sz w:val="22"/>
          <w:szCs w:val="22"/>
          <w:lang w:val="en-US" w:eastAsia="ko-KR"/>
        </w:rPr>
        <w:t xml:space="preserve">표 A-1은 모델별 추론 설정이다. 표에 적지 않은 설정은 각 라이브러리의 기본값을 그대로 썼다. 네 모델 모두 다음 날 하나(예측 길이 1)를 예측하며, 9개 분위수의 순서가 뒤바뀌면 오름차순으로 정렬하고, 가격 입력의 분위수는 ln(q /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)로 수익률 단위로 바꾸어 채점한다.</w:t>
      </w:r>
    </w:p>
    <w:p>
      <w:pPr>
        <w:pStyle w:val="TableCaption"/>
        <w:keepNext/>
        <w:spacing w:after="80" w:before="200" w:line="276"/>
        <w:jc w:val="center"/>
      </w:pPr>
      <w:r>
        <w:rPr>
          <w:rFonts w:ascii="바탕" w:cs="바탕" w:eastAsia="바탕" w:hAnsi="바탕"/>
          <w:sz w:val="19"/>
          <w:szCs w:val="19"/>
          <w:lang w:val="en-US" w:eastAsia="ko-KR"/>
        </w:rPr>
        <w:t xml:space="preserve">표 A-1. 모델별 추론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398"/>
        <w:gridCol w:w="3513"/>
      </w:tblGrid>
      <w:tr>
        <w:trPr>
          <w:cantSplit/>
          <w:tblHeader/>
        </w:trPr>
        <w:tc>
          <w:tcPr>
            <w:tcW w:type="dxa" w:w="20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3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분위수를 얻는 방식</w:t>
            </w:r>
          </w:p>
        </w:tc>
        <w:tc>
          <w:tcPr>
            <w:tcW w:type="dxa" w:w="35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명시한 설정</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값을 200번 뽑은 표본의 분위수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bfloat16, 표본 200개, temperature 1, top-p 1, top-k 4,096(어휘 전체, 기본값 50에서 변경)</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수준 0.1~0.9</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출력(평균과 함께)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최대 과거 길이 256, 입력 정규화 사용, 연속 분위수 헤드 사용</w:t>
            </w:r>
          </w:p>
        </w:tc>
      </w:tr>
      <w:tr>
        <w:trPr>
          <w:cantSplit/>
          <w:trHeight w:val="728" w:hRule="atLeast"/>
        </w:trPr>
        <w:tc>
          <w:tcPr>
            <w:tcW w:type="dxa" w:w="20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Moirai-2.0-R-small</w:t>
            </w:r>
          </w:p>
        </w:tc>
        <w:tc>
          <w:tcPr>
            <w:tcW w:type="dxa" w:w="23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 길이 = L(21 또는 252), 모든 과거 관측을 유효로 표시</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Chronos-T5의 샘플링 설정은 바로잡고 TimesFM-2.5의 출력 방식은 그대로 둔 기준은 다음과 같다. top-k 제한은 모델이 낸 다음 값의 분포를 확률 상위 50칸에서 잘라 내는 생성 설정이어서, 모델의 예측을 그대로 평가하려면 풀어야 하는 제약이다. 반면 TimesFM-2.5의 연속 분위수 헤드는 라이브러리가 제공하는 두 출력 방식 가운데 권장 방식을 고른 것이고, 끄더라도 과대가 일부만 줄어(A.4) 모델의 출력을 왜곡하는 설정으로 볼 근거가 없으므로 바꾸지 않았다.</w:t>
      </w:r>
    </w:p>
    <w:p>
      <w:pPr>
        <w:pStyle w:val="Heading3"/>
        <w:keepNext/>
        <w:spacing w:after="160" w:before="360"/>
      </w:pPr>
      <w:r>
        <w:rPr>
          <w:rFonts w:ascii="바탕" w:cs="바탕" w:eastAsia="바탕" w:hAnsi="바탕"/>
          <w:b/>
          <w:bCs/>
          <w:sz w:val="26"/>
          <w:szCs w:val="26"/>
          <w:lang w:val="en-US" w:eastAsia="ko-KR"/>
        </w:rPr>
        <w:t xml:space="preserve">A.3 Chronos-T5 샘플링 설정의 점검과 조치</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widowControl/>
        <w:spacing w:after="120" w:before="0" w:line="384"/>
        <w:ind w:firstLine="220"/>
        <w:jc w:val="both"/>
      </w:pPr>
      <w:r>
        <w:rPr>
          <w:rFonts w:ascii="바탕" w:cs="바탕" w:eastAsia="바탕" w:hAnsi="바탕"/>
          <w:sz w:val="22"/>
          <w:szCs w:val="22"/>
          <w:lang w:val="en-US" w:eastAsia="ko-KR"/>
        </w:rPr>
        <w:t xml:space="preserve">이 설명이 맞는지 본 실행 후 표 A-2의 점검으로 확인하였다. 모두 합성 데이터이고, 비교하는 설정 외의 조건은 같게 두었다.</w:t>
      </w:r>
    </w:p>
    <w:p>
      <w:pPr>
        <w:pStyle w:val="TableCaption"/>
        <w:keepNext/>
        <w:spacing w:after="80" w:before="200" w:line="276"/>
        <w:jc w:val="center"/>
      </w:pPr>
      <w:r>
        <w:rPr>
          <w:rFonts w:ascii="바탕" w:cs="바탕" w:eastAsia="바탕" w:hAnsi="바탕"/>
          <w:sz w:val="19"/>
          <w:szCs w:val="19"/>
          <w:lang w:val="en-US" w:eastAsia="ko-KR"/>
        </w:rPr>
        <w:t xml:space="preserve">표 A-2. Chronos-T5 샘플링 설정 점검(합성 데이터, 80% 구간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313"/>
        <w:gridCol w:w="1450"/>
        <w:gridCol w:w="2098"/>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점검 항목</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입력과 과거 길이</w:t>
            </w:r>
          </w:p>
        </w:tc>
        <w:tc>
          <w:tcPr>
            <w:tcW w:type="dxa" w:w="1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예측 수</w:t>
            </w:r>
          </w:p>
        </w:tc>
        <w:tc>
          <w:tcPr>
            <w:tcW w:type="dxa" w:w="20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결과(%)</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수익률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 → 해제 78.7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값의 크기</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위 입력을 100배로 키움,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가격,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75.34 → 해제 75.35</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조건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13.5 → 해제 78.6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과거 길이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14.2 → 해제 78.3</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평균이 0이 아닌 계열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N(100, 10²),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73.8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난수 시드</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 / 6,000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점검 78.7, 재실행 78.6(시드 다름)</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수</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2,000</w:t>
            </w:r>
          </w:p>
        </w:tc>
        <w:tc>
          <w:tcPr>
            <w:tcW w:type="dxa" w:w="20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78.60, 1,000개 78.85</w:t>
            </w:r>
          </w:p>
        </w:tc>
      </w:tr>
    </w:tbl>
    <w:p>
      <w:pPr>
        <w:spacing w:after="60"/>
      </w:pPr>
    </w:p>
    <w:p>
      <w:pPr>
        <w:spacing w:after="200" w:line="276"/>
        <w:jc w:val="both"/>
      </w:pPr>
      <w:r>
        <w:rPr>
          <w:rFonts w:ascii="바탕" w:cs="바탕" w:eastAsia="바탕" w:hAnsi="바탕"/>
          <w:sz w:val="17"/>
          <w:szCs w:val="17"/>
          <w:lang w:val="en-US" w:eastAsia="ko-KR"/>
        </w:rPr>
        <w:t xml:space="preserve">주: 기본 = 라이브러리 기본 설정(top-k = 50), 해제 = 어휘 전체에서 추출(top-k = 4,096). 예측 수 8,000은 계열 100개 × 80일, 2,400은 30개 × 80일, 2,000은 25개 × 80일.</w:t>
      </w: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붕괴는 값의 크기와 무관하였고, 평균이 0 근처인 입력에서만 나타났다. 원 논문(Ansari 외, 2024의 그림 12a)은 N(0,1) 계열에서 80% 구간이 맞는다고 보고하였으나, 과거 길이를 원 논문과 같은 512일로 늘려도 기본 설정에서는 무너졌으므로 그 차이는 과거 길이로 설명되지 않는다. 그 밖의 설정 차이는 확인하지 못하였다. 해제한 설정의 결과는 시드를 바꾸어도, 표본을 1,000개로 늘려도 거의 같았다. 표본 수에 따른 차이 0.25%p는 계열 단위 표준오차 0.35%p보다 작았고, 평균 구간 폭은 0.8% 넓어지는 데 그쳤다.</w:t>
      </w:r>
    </w:p>
    <w:p>
      <w:pPr>
        <w:keepNext/>
        <w:widowControl/>
        <w:spacing w:after="120" w:before="0" w:line="384"/>
        <w:ind w:firstLine="220"/>
        <w:jc w:val="both"/>
      </w:pPr>
      <w:r>
        <w:rPr>
          <w:rFonts w:ascii="바탕" w:cs="바탕" w:eastAsia="바탕" w:hAnsi="바탕"/>
          <w:sz w:val="22"/>
          <w:szCs w:val="22"/>
          <w:lang w:val="en-US" w:eastAsia="ko-KR"/>
        </w:rPr>
        <w:t xml:space="preserve">표 A-3은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조건(H5)은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A-3. Chronos-T5 수익률 조건의 샘플링 제한 해제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배율(합성, 에피소드)</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8.52~9.44 → 1.14~1.24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8.03~9.44 → 1.04~1.17</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2.23 → 1.12</w:t>
            </w:r>
          </w:p>
        </w:tc>
      </w:tr>
      <w:tr>
        <w:trPr>
          <w:cantSplit/>
          <w:trHeight w:val="512"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최대낙폭(원래 구간, %)</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−34.0 → −21.7</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−34.2 → −21.7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무너진 구간에도 사후보정은 작동하였다. 보정 후 커버리지는 합성 17개 시나리오에서 79.7~80.5%, 실제 10종목에서 80.3%·80.4%였고, VaR 10% 위반율은 42.4%·39.5%에서 9.9%·9.2%로, 변동성 목표의 실현변동/목표는 2.21배·2.23배에서 1.11배·1.14배로 돌아왔다(한 달·수익률, 1년·수익률 순). 다만 그만큼 구간을 8~9배로 넓혀야 했다.</w:t>
      </w:r>
    </w:p>
    <w:p>
      <w:pPr>
        <w:pStyle w:val="Heading3"/>
        <w:keepNext/>
        <w:spacing w:after="160" w:before="360"/>
      </w:pPr>
      <w:r>
        <w:rPr>
          <w:rFonts w:ascii="바탕" w:cs="바탕" w:eastAsia="바탕" w:hAnsi="바탕"/>
          <w:b/>
          <w:bCs/>
          <w:sz w:val="26"/>
          <w:szCs w:val="26"/>
          <w:lang w:val="en-US" w:eastAsia="ko-KR"/>
        </w:rPr>
        <w:t xml:space="preserve">A.4 그 밖의 추가 점검</w:t>
      </w:r>
    </w:p>
    <w:p>
      <w:pPr>
        <w:keepNext/>
        <w:widowControl/>
        <w:spacing w:after="120" w:before="0" w:line="384"/>
        <w:ind w:firstLine="220"/>
        <w:jc w:val="both"/>
      </w:pPr>
      <w:r>
        <w:rPr>
          <w:rFonts w:ascii="바탕" w:cs="바탕" w:eastAsia="바탕" w:hAnsi="바탕"/>
          <w:sz w:val="22"/>
          <w:szCs w:val="22"/>
          <w:lang w:val="en-US" w:eastAsia="ko-KR"/>
        </w:rPr>
        <w:t xml:space="preserve">결과의 해석을 확인하기 위해 다음을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보정의 갱신 속도 γ(실제 10종목, 19개 모델·조건, 에피소드 보정): γ = 0.005, 0.01, 0.02, 0.05(본문), 0.1에서 보정 후 커버리지는 각각 80.3~80.9%, 80.2~80.8%, 80.1~80.5%, 79.9~80.3%, 79.8~80.1%였고, 다섯 경우 모두 19개가 복원 판정 기준([77%, 83%], 월 블록 부트스트랩 90% 구간)을 만족하였다. 폭 배율은 0.84~1.19배(γ = 0.005)에서 0.90~1.27배(γ = 0.1)로 γ가 클수록 조금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Chronos-2의 90%·98% 구간(4.3.2절, 표 4-4): 본 실행과 같은 과제·환경(RTX 3080, 같은 패키지 버전)에서 분위수 수준만 0.01~0.99의 21개로 늘려 다시 예측하였다. 새 예측의 0.1·0.9 분위수는 본 실행과 같았고, 가격 입력에서 분위수 교차를 정렬하는 순서가 달라진 3~17건(전체의 0.02% 이하)만 차이가 났다. 80% 구간 커버리지 차이는 최대 0.01%p였다.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GARCH-t 대비 분위수 손실(실제 10종목, 5.2절): H5와 같은 방법으로 TSFM 1년 조건 8개를 GARCH-t 1년과 비교하였다. 8개 모두 손실이 유의하게 컸다(Holm 보정 후 p &lt; 0.001; 1년·수익률 0.4~1.5%, 1년·가격 2.2~5.1%). RW 1년도 GARCH-t보다 1.4% 컸다.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커버리지 변동의 분해(4.2절, 5.1절): 조건과 시나리오(또는 종목)의 주효과 제곱합 비율은 합성 90% 대 7%, 실제 92% 대 1%였다(TimesFM 1년·가격 제외 시 76% 대 18%, 83% 대 1%).</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다중 비교 보정의 범위(4.3절): 가설·비교마다 16개씩 하던 Holm 보정을 H1~H3b의 두 비교 전체 128개로 넓혀도, 2%p 이상의 실질 효과는 L5 − L1 기준(군집 2개, 꼬리 6개) 모두 유의하였고, L5 − L3 기준으로는 전환 빈도 3개 중 1개만 유의하지 않게 되었다(부록 B). 2%p 미만의 작은 효과는 일부 유의하지 않게 되어 L5 − L1 기준 유의한 조건이 군집 5개 → 2개, 꼬리 11개 → 8개, 전환 빈도 7개 → 1개로 줄었다. 특성의 효과가 작다는 결론은 바뀌지 않는다.</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Hypotheses and decision rules were specified before the experiments.</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consistently, the same features lowered the coverage of Chronos-2's 98% intervals. During the experiments we also found that the library's default sampling setting alone collapsed Chronos-T5 coverage on return inputs to 14%; reported results use the corrected setting. Real-stock coverage differed from feature-free synthetic coverage by 1.1 percentage points on average (at most 3.6) across all 19 model-settings. On real stocks, quantile loss was larger than that of a historical-volatility Gaussian benchmark in 12 of 16 settings, and every one-year setting had larger loss than GARCH-t.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track real-stock coverage closely enough to flag badly miscalibrated models and settings before deployment.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fb081c367c5cabe61b1320970c53b7db8baa7719.png"/><Relationship Id="rId11" Type="http://schemas.openxmlformats.org/officeDocument/2006/relationships/image" Target="media/a25ea6557cd3ad64bd55c541a85fd540fe00a86f.png"/><Relationship Id="rId12" Type="http://schemas.openxmlformats.org/officeDocument/2006/relationships/image" Target="media/11700e0fea0e041907da79588a68162d3af5254d.png"/><Relationship Id="rId13" Type="http://schemas.openxmlformats.org/officeDocument/2006/relationships/image" Target="media/aa0c63896577b77b36051fe9d07fb8c1d9ff6948.png"/><Relationship Id="rId14" Type="http://schemas.openxmlformats.org/officeDocument/2006/relationships/image" Target="media/453d39eb18454860c0c723cfea517f15f37b74fd.png"/><Relationship Id="rId15" Type="http://schemas.openxmlformats.org/officeDocument/2006/relationships/image" Target="media/793631e95d3f67cc61c9d6aaab04c607dba7ecdf.png"/><Relationship Id="rId16" Type="http://schemas.openxmlformats.org/officeDocument/2006/relationships/image" Target="media/d1c297ea5093ddf798901d6a3ff3a04c1aaa56c8.png"/><Relationship Id="rId17" Type="http://schemas.openxmlformats.org/officeDocument/2006/relationships/image" Target="media/6da5e7c74e619df21e687beeaf33af7502b7de3a.png"/><Relationship Id="rId18" Type="http://schemas.openxmlformats.org/officeDocument/2006/relationships/image" Target="media/63241a29ebed136b9362c962f248ce20e1eedd3a.png"/><Relationship Id="rId19" Type="http://schemas.openxmlformats.org/officeDocument/2006/relationships/image" Target="media/4feb04baedcdb989aa46955dfd6d828948545989.png"/><Relationship Id="rId20" Type="http://schemas.openxmlformats.org/officeDocument/2006/relationships/image" Target="media/f70ab439a52752c2b2d50ae5b40df4ec288193af.png"/><Relationship Id="rId21" Type="http://schemas.openxmlformats.org/officeDocument/2006/relationships/image" Target="media/8c495e4e4abe90d2b03085c3c5b7eaf9742b496a.png"/><Relationship Id="rId22" Type="http://schemas.openxmlformats.org/officeDocument/2006/relationships/image" Target="media/9b5352ec1aac24ca69fad46e2e8962f24cd9de82.png"/><Relationship Id="rId23" Type="http://schemas.openxmlformats.org/officeDocument/2006/relationships/image" Target="media/fbfb0a7932af37a8cba19c656a6acd6baedbfe97.png"/><Relationship Id="rId24" Type="http://schemas.openxmlformats.org/officeDocument/2006/relationships/image" Target="media/cae8c416b3a6d9d0361811a453d523bc957a9e38.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2026-10-22T07:25:14.200Z</dcterms:created>
  <dcterms:modified xsi:type="dcterms:W3CDTF">2026-10-22T07:25:14.201Z</dcterms:modified>
</cp:coreProperties>
</file>

<file path=docProps/custom.xml><?xml version="1.0" encoding="utf-8"?>
<Properties xmlns="http://schemas.openxmlformats.org/officeDocument/2006/custom-properties" xmlns:vt="http://schemas.openxmlformats.org/officeDocument/2006/docPropsVTypes"/>
</file>