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1 Report — Introduction to AI &amp; Paradigms</w:t>
      </w:r>
    </w:p>
    <w:p>
      <w:pPr>
        <w:jc w:val="center"/>
      </w:pPr>
      <w:r>
        <w:rPr>
          <w:i/>
        </w:rPr>
        <w:t>CAI601400 — Artificial Intelligence Lab | Rasikh Ali (42365)</w:t>
      </w:r>
    </w:p>
    <w:p>
      <w:pPr>
        <w:pStyle w:val="Heading1"/>
      </w:pPr>
      <w:r>
        <w:t>1. Problem, assumptions and approach</w:t>
      </w:r>
    </w:p>
    <w:p>
      <w:r>
        <w:t>The experiment compares an explicit scholarship-screening rule with a probability threshold, then extends the transparent rule with GPA and recommendation conditions. Review means “send to a human reviewer”; it is not an automated award decision. All scores, probabilities and thresholds are synthetic lab inputs, not evidence of model accuracy.</w:t>
      </w:r>
    </w:p>
    <w:p>
      <w:pPr>
        <w:pStyle w:val="Heading1"/>
      </w:pPr>
      <w:r>
        <w:t>2. Historical timeline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Year/period</w:t>
            </w:r>
          </w:p>
        </w:tc>
        <w:tc>
          <w:tcPr>
            <w:tcW w:type="dxa" w:w="2556"/>
            <w:shd w:fill="D9EAF7"/>
          </w:tcPr>
          <w:p>
            <w:r>
              <w:t>Milestone</w:t>
            </w:r>
          </w:p>
        </w:tc>
        <w:tc>
          <w:tcPr>
            <w:tcW w:type="dxa" w:w="2556"/>
            <w:shd w:fill="D9EAF7"/>
          </w:tcPr>
          <w:p>
            <w:r>
              <w:t>Significance</w:t>
            </w:r>
          </w:p>
        </w:tc>
        <w:tc>
          <w:tcPr>
            <w:tcW w:type="dxa" w:w="2556"/>
            <w:shd w:fill="D9EAF7"/>
          </w:tcPr>
          <w:p>
            <w:r>
              <w:t>Source</w:t>
            </w:r>
          </w:p>
        </w:tc>
      </w:tr>
      <w:tr>
        <w:tc>
          <w:tcPr>
            <w:tcW w:type="dxa" w:w="2556"/>
          </w:tcPr>
          <w:p>
            <w:r>
              <w:t>1950</w:t>
            </w:r>
          </w:p>
        </w:tc>
        <w:tc>
          <w:tcPr>
            <w:tcW w:type="dxa" w:w="2556"/>
          </w:tcPr>
          <w:p>
            <w:r>
              <w:t>Turing proposes the imitation game</w:t>
            </w:r>
          </w:p>
        </w:tc>
        <w:tc>
          <w:tcPr>
            <w:tcW w:type="dxa" w:w="2556"/>
          </w:tcPr>
          <w:p>
            <w:r>
              <w:t>Frames machine intelligence as observable conversational behavior while leaving open what the test cannot measure.</w:t>
            </w:r>
          </w:p>
        </w:tc>
        <w:tc>
          <w:tcPr>
            <w:tcW w:type="dxa" w:w="2556"/>
          </w:tcPr>
          <w:p>
            <w:r>
              <w:t>https://www.csee.umbc.edu/courses/471/papers/turing.pdf</w:t>
            </w:r>
          </w:p>
        </w:tc>
      </w:tr>
      <w:tr>
        <w:tc>
          <w:tcPr>
            <w:tcW w:type="dxa" w:w="2556"/>
          </w:tcPr>
          <w:p>
            <w:r>
              <w:t>1956</w:t>
            </w:r>
          </w:p>
        </w:tc>
        <w:tc>
          <w:tcPr>
            <w:tcW w:type="dxa" w:w="2556"/>
          </w:tcPr>
          <w:p>
            <w:r>
              <w:t>Dartmouth summer research project</w:t>
            </w:r>
          </w:p>
        </w:tc>
        <w:tc>
          <w:tcPr>
            <w:tcW w:type="dxa" w:w="2556"/>
          </w:tcPr>
          <w:p>
            <w:r>
              <w:t>The workshop helped establish AI as a named research field and emphasized symbolic reasoning.</w:t>
            </w:r>
          </w:p>
        </w:tc>
        <w:tc>
          <w:tcPr>
            <w:tcW w:type="dxa" w:w="2556"/>
          </w:tcPr>
          <w:p>
            <w:r>
              <w:t>http://www-formal.stanford.edu/jmc/history/dartmouth/dartmouth.html</w:t>
            </w:r>
          </w:p>
        </w:tc>
      </w:tr>
      <w:tr>
        <w:tc>
          <w:tcPr>
            <w:tcW w:type="dxa" w:w="2556"/>
          </w:tcPr>
          <w:p>
            <w:r>
              <w:t>1974–1980</w:t>
            </w:r>
          </w:p>
        </w:tc>
        <w:tc>
          <w:tcPr>
            <w:tcW w:type="dxa" w:w="2556"/>
          </w:tcPr>
          <w:p>
            <w:r>
              <w:t>First AI winter</w:t>
            </w:r>
          </w:p>
        </w:tc>
        <w:tc>
          <w:tcPr>
            <w:tcW w:type="dxa" w:w="2556"/>
          </w:tcPr>
          <w:p>
            <w:r>
              <w:t>Funding and confidence fell when early systems did not meet ambitious promises; it illustrates the danger of hype without evidence.</w:t>
            </w:r>
          </w:p>
        </w:tc>
        <w:tc>
          <w:tcPr>
            <w:tcW w:type="dxa" w:w="2556"/>
          </w:tcPr>
          <w:p>
            <w:r>
              <w:t>https://ai100.stanford.edu/2016-report/section-i-science-and-technology/ai-winter</w:t>
            </w:r>
          </w:p>
        </w:tc>
      </w:tr>
      <w:tr>
        <w:tc>
          <w:tcPr>
            <w:tcW w:type="dxa" w:w="2556"/>
          </w:tcPr>
          <w:p>
            <w:r>
              <w:t>1987–1993</w:t>
            </w:r>
          </w:p>
        </w:tc>
        <w:tc>
          <w:tcPr>
            <w:tcW w:type="dxa" w:w="2556"/>
          </w:tcPr>
          <w:p>
            <w:r>
              <w:t>Second AI winter</w:t>
            </w:r>
          </w:p>
        </w:tc>
        <w:tc>
          <w:tcPr>
            <w:tcW w:type="dxa" w:w="2556"/>
          </w:tcPr>
          <w:p>
            <w:r>
              <w:t>Expert-system limitations and commercial disappointment again reduced expectations and investment.</w:t>
            </w:r>
          </w:p>
        </w:tc>
        <w:tc>
          <w:tcPr>
            <w:tcW w:type="dxa" w:w="2556"/>
          </w:tcPr>
          <w:p>
            <w:r>
              <w:t>https://ai100.stanford.edu/2016-report/section-i-science-and-technology/ai-winter</w:t>
            </w:r>
          </w:p>
        </w:tc>
      </w:tr>
      <w:tr>
        <w:tc>
          <w:tcPr>
            <w:tcW w:type="dxa" w:w="2556"/>
          </w:tcPr>
          <w:p>
            <w:r>
              <w:t>2012</w:t>
            </w:r>
          </w:p>
        </w:tc>
        <w:tc>
          <w:tcPr>
            <w:tcW w:type="dxa" w:w="2556"/>
          </w:tcPr>
          <w:p>
            <w:r>
              <w:t>AlexNet/ImageNet result</w:t>
            </w:r>
          </w:p>
        </w:tc>
        <w:tc>
          <w:tcPr>
            <w:tcW w:type="dxa" w:w="2556"/>
          </w:tcPr>
          <w:p>
            <w:r>
              <w:t>A large dataset, GPUs and deep learning produced a major image-recognition improvement, showing the interaction of data, algorithms and compute.</w:t>
            </w:r>
          </w:p>
        </w:tc>
        <w:tc>
          <w:tcPr>
            <w:tcW w:type="dxa" w:w="2556"/>
          </w:tcPr>
          <w:p>
            <w:r>
              <w:t>https://papers.nips.cc/paper/4824-imagenet-classification-with-deep-convolutional-neural-networks</w:t>
            </w:r>
          </w:p>
        </w:tc>
      </w:tr>
    </w:tbl>
    <w:p>
      <w:pPr>
        <w:pStyle w:val="Heading1"/>
      </w:pPr>
      <w:r>
        <w:t>3. Original comparison</w:t>
      </w:r>
    </w:p>
    <w:p>
      <w:r>
        <w:t>The explicit rule returns Review only when the application is complete and score ≥ 70. The threshold rule returns Review when probability ≥ 0.70. The probability value is supplied as an input; this script does not train a classifier or establish accuracy.</w:t>
      </w:r>
    </w:p>
    <w:p>
      <w:r>
        <w:rPr>
          <w:rFonts w:ascii="Courier New" w:hAnsi="Courier New"/>
          <w:sz w:val="16"/>
        </w:rPr>
        <w:t>case | score | complete | probability | symbolic | threshold | disagreement</w:t>
        <w:br/>
        <w:t>complete_high | 82 | True | 0.81 | Review | Review | False</w:t>
        <w:br/>
        <w:t>complete_low | 68 | True | 0.74 | Hold | Review | True</w:t>
        <w:br/>
        <w:t>incomplete_high | 91 | False | 0.88 | Hold | Review | True</w:t>
        <w:br/>
        <w:t>boundary | 70 | True | 0.70 | Review | Review | False</w:t>
        <w:br/>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Case</w:t>
            </w:r>
          </w:p>
        </w:tc>
        <w:tc>
          <w:tcPr>
            <w:tcW w:type="dxa" w:w="3408"/>
            <w:shd w:fill="D9EAF7"/>
          </w:tcPr>
          <w:p>
            <w:r>
              <w:t>Expected interpretation</w:t>
            </w:r>
          </w:p>
        </w:tc>
        <w:tc>
          <w:tcPr>
            <w:tcW w:type="dxa" w:w="3408"/>
            <w:shd w:fill="D9EAF7"/>
          </w:tcPr>
          <w:p>
            <w:r>
              <w:t>Observed</w:t>
            </w:r>
          </w:p>
        </w:tc>
      </w:tr>
      <w:tr>
        <w:tc>
          <w:tcPr>
            <w:tcW w:type="dxa" w:w="3408"/>
          </w:tcPr>
          <w:p>
            <w:r>
              <w:t>complete_high</w:t>
            </w:r>
          </w:p>
        </w:tc>
        <w:tc>
          <w:tcPr>
            <w:tcW w:type="dxa" w:w="3408"/>
          </w:tcPr>
          <w:p>
            <w:r>
              <w:t>Both Review; no disagreement</w:t>
            </w:r>
          </w:p>
        </w:tc>
        <w:tc>
          <w:tcPr>
            <w:tcW w:type="dxa" w:w="3408"/>
          </w:tcPr>
          <w:p>
            <w:r>
              <w:t>Review / Review / False</w:t>
            </w:r>
          </w:p>
        </w:tc>
      </w:tr>
      <w:tr>
        <w:tc>
          <w:tcPr>
            <w:tcW w:type="dxa" w:w="3408"/>
          </w:tcPr>
          <w:p>
            <w:r>
              <w:t>complete_low</w:t>
            </w:r>
          </w:p>
        </w:tc>
        <w:tc>
          <w:tcPr>
            <w:tcW w:type="dxa" w:w="3408"/>
          </w:tcPr>
          <w:p>
            <w:r>
              <w:t>Rule Hold, threshold Review</w:t>
            </w:r>
          </w:p>
        </w:tc>
        <w:tc>
          <w:tcPr>
            <w:tcW w:type="dxa" w:w="3408"/>
          </w:tcPr>
          <w:p>
            <w:r>
              <w:t>Hold / Review / True</w:t>
            </w:r>
          </w:p>
        </w:tc>
      </w:tr>
      <w:tr>
        <w:tc>
          <w:tcPr>
            <w:tcW w:type="dxa" w:w="3408"/>
          </w:tcPr>
          <w:p>
            <w:r>
              <w:t>incomplete_high</w:t>
            </w:r>
          </w:p>
        </w:tc>
        <w:tc>
          <w:tcPr>
            <w:tcW w:type="dxa" w:w="3408"/>
          </w:tcPr>
          <w:p>
            <w:r>
              <w:t>Rule Hold because documents incomplete</w:t>
            </w:r>
          </w:p>
        </w:tc>
        <w:tc>
          <w:tcPr>
            <w:tcW w:type="dxa" w:w="3408"/>
          </w:tcPr>
          <w:p>
            <w:r>
              <w:t>Hold / Review / True</w:t>
            </w:r>
          </w:p>
        </w:tc>
      </w:tr>
      <w:tr>
        <w:tc>
          <w:tcPr>
            <w:tcW w:type="dxa" w:w="3408"/>
          </w:tcPr>
          <w:p>
            <w:r>
              <w:t>boundary</w:t>
            </w:r>
          </w:p>
        </w:tc>
        <w:tc>
          <w:tcPr>
            <w:tcW w:type="dxa" w:w="3408"/>
          </w:tcPr>
          <w:p>
            <w:r>
              <w:t>Both Review at inclusive boundary</w:t>
            </w:r>
          </w:p>
        </w:tc>
        <w:tc>
          <w:tcPr>
            <w:tcW w:type="dxa" w:w="3408"/>
          </w:tcPr>
          <w:p>
            <w:r>
              <w:t>Review / Review / False</w:t>
            </w:r>
          </w:p>
        </w:tc>
      </w:tr>
    </w:tbl>
    <w:p>
      <w:pPr>
        <w:pStyle w:val="Heading1"/>
      </w:pPr>
      <w:r>
        <w:t>4. Extended rule test</w:t>
      </w:r>
    </w:p>
    <w:p>
      <w:r>
        <w:t>Added transparent conditions: GPA must be at least 3.0 and a recommendation must be present. These are synthetic assumptions chosen because each is independently inspectable. The four core cases cover one pass, one failure for each added condition, and the score boundary (70 is accepted).</w:t>
      </w:r>
    </w:p>
    <w:p>
      <w:r>
        <w:rPr>
          <w:rFonts w:ascii="Courier New" w:hAnsi="Courier New"/>
          <w:sz w:val="16"/>
        </w:rPr>
        <w:t>name | input | expected | actual | pass | reason</w:t>
        <w:br/>
        <w:t>pass | score=82, complete=True, gpa=3.5, recommendation=True | Review | Review | True | all transparent conditions satisfied</w:t>
        <w:br/>
        <w:t>gpa_failure | score=82, complete=True, gpa=2.9, recommendation=True | Hold | Hold | True | GPA below synthetic threshold 3.0</w:t>
        <w:br/>
        <w:t>recommendation_failure | score=82, complete=True, gpa=3.5, recommendation=False | Hold | Hold | True | recommendation missing</w:t>
        <w:br/>
        <w:t>score_boundary | score=70, complete=True, gpa=3.0, recommendation=True | Review | Review | True | all transparent conditions satisfied</w:t>
        <w:br/>
      </w:r>
    </w:p>
    <w:p>
      <w:pPr>
        <w:pStyle w:val="Heading1"/>
      </w:pPr>
      <w:r>
        <w:t>5. Conversational test versus general intelligence</w:t>
      </w:r>
    </w:p>
    <w:p>
      <w:r>
        <w:t>A conversational test observes whether an evaluator is persuaded by linguistic interaction under the chosen questions. It does not establish reliable perception, grounded world knowledge, transparent decision logic, robustness to distribution shift, or safe action. In this scholarship case, an assistant could fluently say “the 0.88 probability means Review” while overlooking that documents_complete is False; fluent wording would not prove that the screening policy was followed. A stronger additional test is a held-out, auditable suite of complete/incomplete applications with known labels, adversarial missing fields, calibration checks and human review of disagreements.</w:t>
      </w:r>
    </w:p>
    <w:p>
      <w:pPr>
        <w:pStyle w:val="Heading1"/>
      </w:pPr>
      <w:r>
        <w:t>6. Failure/edge-case analysis</w:t>
      </w:r>
    </w:p>
    <w:p>
      <w:r>
        <w:t>The incomplete_high case has score 91 and probability 0.88 but missing documents. The threshold branch says Review while the symbolic policy says Hold. The likely cause is that the probability input does not encode the completeness policy. Improvement: enforce hard policy gates before any learned score, log the reason for every decision, validate the model on representative data and keep a human reviewer in the loop.</w:t>
      </w:r>
    </w:p>
    <w:p>
      <w:pPr>
        <w:pStyle w:val="Heading1"/>
      </w:pPr>
      <w:r>
        <w:t>7. Reflection and responsible practice</w:t>
      </w:r>
    </w:p>
    <w:p>
      <w:pPr>
        <w:pStyle w:val="ListBullet"/>
      </w:pPr>
      <w:r>
        <w:t>I learned that a behavior comparison is not an accuracy experiment without ground-truth outcomes.</w:t>
      </w:r>
    </w:p>
    <w:p>
      <w:pPr>
        <w:pStyle w:val="ListBullet"/>
      </w:pPr>
      <w:r>
        <w:t>I would apply explicit gates for non-negotiable requirements and reserve probabilistic scores for prioritization.</w:t>
      </w:r>
    </w:p>
    <w:p>
      <w:pPr>
        <w:pStyle w:val="ListBullet"/>
      </w:pPr>
      <w:r>
        <w:t>The surprising result was that a high probability can disagree with a transparent completeness rule.</w:t>
      </w:r>
    </w:p>
    <w:p>
      <w:pPr>
        <w:pStyle w:val="ListBullet"/>
      </w:pPr>
      <w:r>
        <w:t>Next time I would add a labeled validation set and measure false holds, false reviews and calibration.</w:t>
      </w:r>
    </w:p>
    <w:p>
      <w:pPr>
        <w:pStyle w:val="ListBullet"/>
      </w:pPr>
      <w:r>
        <w:t>Thresholds and synthetic inputs must be documented; scholarship decisions require fairness review, privacy protection and accountable human oversight.</w:t>
      </w:r>
    </w:p>
    <w:p>
      <w:pPr>
        <w:pStyle w:val="Heading1"/>
      </w:pPr>
      <w:r>
        <w:t>Sources</w:t>
      </w:r>
    </w:p>
    <w:p>
      <w:pPr>
        <w:pStyle w:val="ListNumber"/>
      </w:pPr>
      <w:r>
        <w:t>Manual-provided case and code: Combined_AI_Lab_Manual_Labs_1-4.pdf, Lab 1, Sections 1.4–1.7.</w:t>
      </w:r>
    </w:p>
    <w:p>
      <w:pPr>
        <w:pStyle w:val="ListNumber"/>
      </w:pPr>
      <w:r>
        <w:t>Turing, “Computing Machinery and Intelligence” (1950): https://doi.org/10.1093/mind/LIX.236.433</w:t>
      </w:r>
    </w:p>
    <w:p>
      <w:pPr>
        <w:pStyle w:val="ListNumber"/>
      </w:pPr>
      <w:r>
        <w:t>Stanford AI100, “AI Winter”: https://ai100.stanford.edu/2016-report/section-i-science-and-technology/ai-winter</w:t>
      </w:r>
    </w:p>
    <w:p>
      <w:pPr>
        <w:pStyle w:val="ListNumber"/>
      </w:pPr>
      <w:r>
        <w:t>Krizhevsky, Sutskever &amp; Hinton, “ImageNet Classification with Deep Convolutional Neural Networks” (2012): https://papers.nips.cc/paper/4824-imagenet-classification-with-deep-convolutional-neural-networks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