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2CFD" w14:textId="77777777" w:rsidR="00470B19" w:rsidRDefault="009E1518">
      <w:pPr>
        <w:pStyle w:val="Heading1"/>
      </w:pPr>
      <w:r>
        <w:t>PSX Risk Lakehouse — Phase 1 Project Proposal</w:t>
      </w:r>
    </w:p>
    <w:p w14:paraId="56052CFE" w14:textId="77777777" w:rsidR="00470B19" w:rsidRDefault="009E1518">
      <w:r>
        <w:t>Sep 26, 2026 · @Saqib Qazi</w:t>
      </w:r>
    </w:p>
    <w:p w14:paraId="56052CFF" w14:textId="77777777" w:rsidR="00470B19" w:rsidRDefault="009E1518">
      <w:pPr>
        <w:pStyle w:val="Heading2"/>
      </w:pPr>
      <w:r>
        <w:t>Project Overview</w:t>
      </w:r>
    </w:p>
    <w:p w14:paraId="56052D00" w14:textId="77777777" w:rsidR="00470B19" w:rsidRDefault="009E1518">
      <w:r>
        <w:t xml:space="preserve">We will build an automated Spark </w:t>
      </w:r>
      <w:proofErr w:type="spellStart"/>
      <w:r>
        <w:t>lakehouse</w:t>
      </w:r>
      <w:proofErr w:type="spellEnd"/>
      <w:r>
        <w:t xml:space="preserve"> pipeline that turns daily Pakistan Stock Exchange (PSX) trading data into volatility-based risk analytics, delivered through a Power BI dashboard.</w:t>
      </w:r>
    </w:p>
    <w:tbl>
      <w:tblPr>
        <w:tblStyle w:val="TableGrid"/>
        <w:tblW w:w="0" w:type="auto"/>
        <w:tblLayout w:type="fixed"/>
        <w:tblLook w:val="0420" w:firstRow="1" w:lastRow="0" w:firstColumn="0" w:lastColumn="0" w:noHBand="0" w:noVBand="1"/>
      </w:tblPr>
      <w:tblGrid>
        <w:gridCol w:w="4680"/>
        <w:gridCol w:w="4680"/>
      </w:tblGrid>
      <w:tr w:rsidR="00470B19" w14:paraId="56052D03" w14:textId="77777777">
        <w:trPr>
          <w:tblHeader/>
        </w:trPr>
        <w:tc>
          <w:tcPr>
            <w:tcW w:w="4680" w:type="dxa"/>
            <w:shd w:val="clear" w:color="auto" w:fill="F2F2F2"/>
          </w:tcPr>
          <w:p w14:paraId="56052D01" w14:textId="77777777" w:rsidR="00470B19" w:rsidRDefault="009E1518">
            <w:r>
              <w:t>Item</w:t>
            </w:r>
          </w:p>
        </w:tc>
        <w:tc>
          <w:tcPr>
            <w:tcW w:w="4680" w:type="dxa"/>
            <w:shd w:val="clear" w:color="auto" w:fill="F2F2F2"/>
          </w:tcPr>
          <w:p w14:paraId="56052D02" w14:textId="77777777" w:rsidR="00470B19" w:rsidRDefault="009E1518">
            <w:r>
              <w:t>Detail</w:t>
            </w:r>
          </w:p>
        </w:tc>
      </w:tr>
      <w:tr w:rsidR="00470B19" w14:paraId="56052D06" w14:textId="77777777">
        <w:tc>
          <w:tcPr>
            <w:tcW w:w="4680" w:type="dxa"/>
          </w:tcPr>
          <w:p w14:paraId="56052D04" w14:textId="77777777" w:rsidR="00470B19" w:rsidRDefault="009E1518">
            <w:r>
              <w:t>Course</w:t>
            </w:r>
          </w:p>
        </w:tc>
        <w:tc>
          <w:tcPr>
            <w:tcW w:w="4680" w:type="dxa"/>
          </w:tcPr>
          <w:p w14:paraId="56052D05" w14:textId="77777777" w:rsidR="00470B19" w:rsidRDefault="009E1518">
            <w:r>
              <w:t>Data Visualization and Analysis, FAST-NUCES Lahore</w:t>
            </w:r>
          </w:p>
        </w:tc>
      </w:tr>
      <w:tr w:rsidR="00470B19" w14:paraId="56052D0A" w14:textId="77777777">
        <w:tc>
          <w:tcPr>
            <w:tcW w:w="4680" w:type="dxa"/>
          </w:tcPr>
          <w:p w14:paraId="56052D07" w14:textId="77777777" w:rsidR="00470B19" w:rsidRDefault="009E1518">
            <w:r>
              <w:t>Team</w:t>
            </w:r>
          </w:p>
        </w:tc>
        <w:tc>
          <w:tcPr>
            <w:tcW w:w="4680" w:type="dxa"/>
          </w:tcPr>
          <w:p w14:paraId="56052D08" w14:textId="77777777" w:rsidR="00470B19" w:rsidRDefault="009E1518">
            <w:r>
              <w:t>Saqib Qazi 24L-2506</w:t>
            </w:r>
          </w:p>
          <w:p w14:paraId="56052D09" w14:textId="77777777" w:rsidR="00470B19" w:rsidRDefault="009E1518">
            <w:r>
              <w:t>Hassan Shakil Pasha 24L-2521</w:t>
            </w:r>
          </w:p>
        </w:tc>
      </w:tr>
      <w:tr w:rsidR="00470B19" w14:paraId="56052D0D" w14:textId="77777777">
        <w:tc>
          <w:tcPr>
            <w:tcW w:w="4680" w:type="dxa"/>
          </w:tcPr>
          <w:p w14:paraId="56052D0B" w14:textId="77777777" w:rsidR="00470B19" w:rsidRDefault="009E1518">
            <w:r>
              <w:t>Repository</w:t>
            </w:r>
          </w:p>
        </w:tc>
        <w:tc>
          <w:tcPr>
            <w:tcW w:w="4680" w:type="dxa"/>
          </w:tcPr>
          <w:p w14:paraId="56052D0C" w14:textId="77777777" w:rsidR="00470B19" w:rsidRDefault="009E1518">
            <w:hyperlink r:id="rId5" w:history="1">
              <w:r>
                <w:rPr>
                  <w:rStyle w:val="Hyperlink"/>
                </w:rPr>
                <w:t>github.com/saqibqazi5706/</w:t>
              </w:r>
              <w:proofErr w:type="spellStart"/>
              <w:r>
                <w:rPr>
                  <w:rStyle w:val="Hyperlink"/>
                </w:rPr>
                <w:t>psx</w:t>
              </w:r>
              <w:proofErr w:type="spellEnd"/>
              <w:r>
                <w:rPr>
                  <w:rStyle w:val="Hyperlink"/>
                </w:rPr>
                <w:t>-risk-</w:t>
              </w:r>
              <w:proofErr w:type="spellStart"/>
              <w:r>
                <w:rPr>
                  <w:rStyle w:val="Hyperlink"/>
                </w:rPr>
                <w:t>lakehouse</w:t>
              </w:r>
              <w:proofErr w:type="spellEnd"/>
            </w:hyperlink>
          </w:p>
        </w:tc>
      </w:tr>
      <w:tr w:rsidR="00470B19" w14:paraId="56052D10" w14:textId="77777777">
        <w:tc>
          <w:tcPr>
            <w:tcW w:w="4680" w:type="dxa"/>
          </w:tcPr>
          <w:p w14:paraId="56052D0E" w14:textId="77777777" w:rsidR="00470B19" w:rsidRDefault="009E1518">
            <w:r>
              <w:t>Platform</w:t>
            </w:r>
          </w:p>
        </w:tc>
        <w:tc>
          <w:tcPr>
            <w:tcW w:w="4680" w:type="dxa"/>
          </w:tcPr>
          <w:p w14:paraId="56052D0F" w14:textId="77777777" w:rsidR="00470B19" w:rsidRDefault="009E1518">
            <w:r>
              <w:t>Apache Spark on Databricks Free Edition, Delta Lake, Power BI</w:t>
            </w:r>
          </w:p>
        </w:tc>
      </w:tr>
    </w:tbl>
    <w:p w14:paraId="56052D11" w14:textId="77777777" w:rsidR="00470B19" w:rsidRDefault="009E1518">
      <w:r>
        <w:t>The pipeline ingests a historical baseline for all PSX-listed companies plus a daily incremental file, processes both through Bronze, Silver and Gold layers, and answers three questions: where market risk is concentrated, whether it is market-wide or company-specific, and how it reacts to State Bank of Pakistan (SBP) policy rate decisions.</w:t>
      </w:r>
    </w:p>
    <w:p w14:paraId="56052D12" w14:textId="77777777" w:rsidR="00470B19" w:rsidRDefault="009E1518">
      <w:pPr>
        <w:pStyle w:val="Heading2"/>
      </w:pPr>
      <w:r>
        <w:t>1. Domain &amp; Source Identification</w:t>
      </w:r>
    </w:p>
    <w:p w14:paraId="56052D13" w14:textId="77777777" w:rsidR="00470B19" w:rsidRDefault="009E1518">
      <w:pPr>
        <w:pStyle w:val="Heading3"/>
      </w:pPr>
      <w:r>
        <w:t>1.1 Project Concept</w:t>
      </w:r>
    </w:p>
    <w:p w14:paraId="56052D14" w14:textId="77777777" w:rsidR="00470B19" w:rsidRDefault="009E1518">
      <w:r>
        <w:t xml:space="preserve">Our domain is </w:t>
      </w:r>
      <w:r>
        <w:rPr>
          <w:b/>
        </w:rPr>
        <w:t>financial markets</w:t>
      </w:r>
      <w:r>
        <w:t>: equity risk analytics on the Pakistan Stock Exchange. The pipeline ingests daily end-of-day data (open, high, low, close, volume) for all listed companies, the KSE-100 benchmark index, company sector classifications, and SBP policy rate decisions.</w:t>
      </w:r>
    </w:p>
    <w:p w14:paraId="56052D15" w14:textId="77777777" w:rsidR="00470B19" w:rsidRDefault="009E1518">
      <w:r>
        <w:t xml:space="preserve">The focus is </w:t>
      </w:r>
      <w:r>
        <w:rPr>
          <w:b/>
        </w:rPr>
        <w:t>risk, not price direction</w:t>
      </w:r>
      <w:r>
        <w:t>. Daily returns are close to unpredictable, but volatility clusters: turbulent periods follow turbulent periods. Pakistan is a rich setting for this, with policy rates moving from 7% to a record 22% and back to 11.5% between 2020 and 2026, alongside a major rally and several market shocks.</w:t>
      </w:r>
    </w:p>
    <w:p w14:paraId="56052D16" w14:textId="77777777" w:rsidR="00470B19" w:rsidRDefault="009E1518">
      <w:pPr>
        <w:pStyle w:val="Heading3"/>
      </w:pPr>
      <w:r>
        <w:t>1.2 Data Sources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470B19" w14:paraId="56052D1C" w14:textId="77777777">
        <w:trPr>
          <w:tblHeader/>
        </w:trPr>
        <w:tc>
          <w:tcPr>
            <w:tcW w:w="1872" w:type="dxa"/>
            <w:shd w:val="clear" w:color="auto" w:fill="F2F2F2"/>
          </w:tcPr>
          <w:p w14:paraId="56052D17" w14:textId="77777777" w:rsidR="00470B19" w:rsidRDefault="009E1518">
            <w:r>
              <w:t>#</w:t>
            </w:r>
          </w:p>
        </w:tc>
        <w:tc>
          <w:tcPr>
            <w:tcW w:w="1872" w:type="dxa"/>
            <w:shd w:val="clear" w:color="auto" w:fill="F2F2F2"/>
          </w:tcPr>
          <w:p w14:paraId="56052D18" w14:textId="77777777" w:rsidR="00470B19" w:rsidRDefault="009E1518">
            <w:r>
              <w:t>Source</w:t>
            </w:r>
          </w:p>
        </w:tc>
        <w:tc>
          <w:tcPr>
            <w:tcW w:w="1872" w:type="dxa"/>
            <w:shd w:val="clear" w:color="auto" w:fill="F2F2F2"/>
          </w:tcPr>
          <w:p w14:paraId="56052D19" w14:textId="77777777" w:rsidR="00470B19" w:rsidRDefault="009E1518">
            <w:r>
              <w:t>Reference</w:t>
            </w:r>
          </w:p>
        </w:tc>
        <w:tc>
          <w:tcPr>
            <w:tcW w:w="1872" w:type="dxa"/>
            <w:shd w:val="clear" w:color="auto" w:fill="F2F2F2"/>
          </w:tcPr>
          <w:p w14:paraId="56052D1A" w14:textId="77777777" w:rsidR="00470B19" w:rsidRDefault="009E1518">
            <w:r>
              <w:t>Access method</w:t>
            </w:r>
          </w:p>
        </w:tc>
        <w:tc>
          <w:tcPr>
            <w:tcW w:w="1872" w:type="dxa"/>
            <w:shd w:val="clear" w:color="auto" w:fill="F2F2F2"/>
          </w:tcPr>
          <w:p w14:paraId="56052D1B" w14:textId="77777777" w:rsidR="00470B19" w:rsidRDefault="009E1518">
            <w:r>
              <w:t>Content</w:t>
            </w:r>
          </w:p>
        </w:tc>
      </w:tr>
      <w:tr w:rsidR="00470B19" w14:paraId="56052D22" w14:textId="77777777">
        <w:tc>
          <w:tcPr>
            <w:tcW w:w="1872" w:type="dxa"/>
          </w:tcPr>
          <w:p w14:paraId="56052D1D" w14:textId="77777777" w:rsidR="00470B19" w:rsidRDefault="009E1518">
            <w:r>
              <w:t>1</w:t>
            </w:r>
          </w:p>
        </w:tc>
        <w:tc>
          <w:tcPr>
            <w:tcW w:w="1872" w:type="dxa"/>
          </w:tcPr>
          <w:p w14:paraId="56052D1E" w14:textId="77777777" w:rsidR="00470B19" w:rsidRDefault="009E1518">
            <w:r>
              <w:t>PSX Data Portal, Historical Data</w:t>
            </w:r>
          </w:p>
        </w:tc>
        <w:tc>
          <w:tcPr>
            <w:tcW w:w="1872" w:type="dxa"/>
          </w:tcPr>
          <w:p w14:paraId="56052D1F" w14:textId="77777777" w:rsidR="00470B19" w:rsidRDefault="009E1518">
            <w:r>
              <w:rPr>
                <w:rStyle w:val="CodeChar"/>
              </w:rPr>
              <w:t>https://dps.psx.com.pk/historical</w:t>
            </w:r>
          </w:p>
        </w:tc>
        <w:tc>
          <w:tcPr>
            <w:tcW w:w="1872" w:type="dxa"/>
          </w:tcPr>
          <w:p w14:paraId="56052D20" w14:textId="77777777" w:rsidR="00470B19" w:rsidRDefault="009E1518">
            <w:r>
              <w:t xml:space="preserve">Open-source </w:t>
            </w:r>
            <w:proofErr w:type="spellStart"/>
            <w:r>
              <w:rPr>
                <w:rStyle w:val="CodeChar"/>
              </w:rPr>
              <w:t>psxdata</w:t>
            </w:r>
            <w:proofErr w:type="spellEnd"/>
            <w:r>
              <w:t xml:space="preserve"> Python library, v1.1.0 (</w:t>
            </w:r>
            <w:hyperlink r:id="rId6" w:history="1">
              <w:r>
                <w:rPr>
                  <w:rStyle w:val="Hyperlink"/>
                </w:rPr>
                <w:t>github.com/</w:t>
              </w:r>
              <w:proofErr w:type="spellStart"/>
              <w:r>
                <w:rPr>
                  <w:rStyle w:val="Hyperlink"/>
                </w:rPr>
                <w:t>mtau</w:t>
              </w:r>
              <w:r>
                <w:rPr>
                  <w:rStyle w:val="Hyperlink"/>
                </w:rPr>
                <w:lastRenderedPageBreak/>
                <w:t>ha</w:t>
              </w:r>
              <w:proofErr w:type="spellEnd"/>
              <w:r>
                <w:rPr>
                  <w:rStyle w:val="Hyperlink"/>
                </w:rPr>
                <w:t>/</w:t>
              </w:r>
              <w:proofErr w:type="spellStart"/>
              <w:r>
                <w:rPr>
                  <w:rStyle w:val="Hyperlink"/>
                </w:rPr>
                <w:t>psxdata</w:t>
              </w:r>
              <w:proofErr w:type="spellEnd"/>
            </w:hyperlink>
            <w:r>
              <w:t>)</w:t>
            </w:r>
          </w:p>
        </w:tc>
        <w:tc>
          <w:tcPr>
            <w:tcW w:w="1872" w:type="dxa"/>
          </w:tcPr>
          <w:p w14:paraId="56052D21" w14:textId="77777777" w:rsidR="00470B19" w:rsidRDefault="009E1518">
            <w:r>
              <w:lastRenderedPageBreak/>
              <w:t xml:space="preserve">Daily OHLCV history per listed company and for </w:t>
            </w:r>
            <w:r>
              <w:lastRenderedPageBreak/>
              <w:t>the KSE-100 index</w:t>
            </w:r>
          </w:p>
        </w:tc>
      </w:tr>
      <w:tr w:rsidR="00470B19" w14:paraId="56052D28" w14:textId="77777777">
        <w:tc>
          <w:tcPr>
            <w:tcW w:w="1872" w:type="dxa"/>
          </w:tcPr>
          <w:p w14:paraId="56052D23" w14:textId="77777777" w:rsidR="00470B19" w:rsidRDefault="009E1518">
            <w:r>
              <w:lastRenderedPageBreak/>
              <w:t>2</w:t>
            </w:r>
          </w:p>
        </w:tc>
        <w:tc>
          <w:tcPr>
            <w:tcW w:w="1872" w:type="dxa"/>
          </w:tcPr>
          <w:p w14:paraId="56052D24" w14:textId="77777777" w:rsidR="00470B19" w:rsidRDefault="009E1518">
            <w:r>
              <w:t>PSX Daily Downloads, Market Summary (Closing)</w:t>
            </w:r>
          </w:p>
        </w:tc>
        <w:tc>
          <w:tcPr>
            <w:tcW w:w="1872" w:type="dxa"/>
          </w:tcPr>
          <w:p w14:paraId="56052D25" w14:textId="77777777" w:rsidR="00470B19" w:rsidRDefault="009E1518">
            <w:r>
              <w:rPr>
                <w:rStyle w:val="CodeChar"/>
              </w:rPr>
              <w:t>https://dps.psx.com.pk/download/mkt_summary/{YYYY-MM-DD}.Z</w:t>
            </w:r>
          </w:p>
        </w:tc>
        <w:tc>
          <w:tcPr>
            <w:tcW w:w="1872" w:type="dxa"/>
          </w:tcPr>
          <w:p w14:paraId="56052D26" w14:textId="77777777" w:rsidR="00470B19" w:rsidRDefault="009E1518">
            <w:r>
              <w:t>Automated download, one file per trading date</w:t>
            </w:r>
          </w:p>
        </w:tc>
        <w:tc>
          <w:tcPr>
            <w:tcW w:w="1872" w:type="dxa"/>
          </w:tcPr>
          <w:p w14:paraId="56052D27" w14:textId="77777777" w:rsidR="00470B19" w:rsidRDefault="009E1518">
            <w:r>
              <w:t>End-of-day summary of all traded securities</w:t>
            </w:r>
          </w:p>
        </w:tc>
      </w:tr>
      <w:tr w:rsidR="00470B19" w14:paraId="56052D2E" w14:textId="77777777">
        <w:tc>
          <w:tcPr>
            <w:tcW w:w="1872" w:type="dxa"/>
          </w:tcPr>
          <w:p w14:paraId="56052D29" w14:textId="77777777" w:rsidR="00470B19" w:rsidRDefault="009E1518">
            <w:r>
              <w:t>3</w:t>
            </w:r>
          </w:p>
        </w:tc>
        <w:tc>
          <w:tcPr>
            <w:tcW w:w="1872" w:type="dxa"/>
          </w:tcPr>
          <w:p w14:paraId="56052D2A" w14:textId="77777777" w:rsidR="00470B19" w:rsidRDefault="009E1518">
            <w:r>
              <w:t>PSX symbol directory</w:t>
            </w:r>
          </w:p>
        </w:tc>
        <w:tc>
          <w:tcPr>
            <w:tcW w:w="1872" w:type="dxa"/>
          </w:tcPr>
          <w:p w14:paraId="56052D2B" w14:textId="77777777" w:rsidR="00470B19" w:rsidRDefault="009E1518">
            <w:r>
              <w:rPr>
                <w:rStyle w:val="CodeChar"/>
              </w:rPr>
              <w:t>https://dps.psx.com.pk/symbols</w:t>
            </w:r>
          </w:p>
        </w:tc>
        <w:tc>
          <w:tcPr>
            <w:tcW w:w="1872" w:type="dxa"/>
          </w:tcPr>
          <w:p w14:paraId="56052D2C" w14:textId="77777777" w:rsidR="00470B19" w:rsidRDefault="009E1518">
            <w:r>
              <w:t xml:space="preserve">JSON endpoint via </w:t>
            </w:r>
            <w:proofErr w:type="spellStart"/>
            <w:r>
              <w:rPr>
                <w:rStyle w:val="CodeChar"/>
              </w:rPr>
              <w:t>psxdata.symbols</w:t>
            </w:r>
            <w:proofErr w:type="spellEnd"/>
            <w:r>
              <w:rPr>
                <w:rStyle w:val="CodeChar"/>
              </w:rPr>
              <w:t>()</w:t>
            </w:r>
            <w:r>
              <w:t>; the daily file's symbol, sector and name fields serve as a fallback</w:t>
            </w:r>
          </w:p>
        </w:tc>
        <w:tc>
          <w:tcPr>
            <w:tcW w:w="1872" w:type="dxa"/>
          </w:tcPr>
          <w:p w14:paraId="56052D2D" w14:textId="77777777" w:rsidR="00470B19" w:rsidRDefault="009E1518">
            <w:r>
              <w:t>Listed securities with company names, sectors and instrument type</w:t>
            </w:r>
          </w:p>
        </w:tc>
      </w:tr>
      <w:tr w:rsidR="00470B19" w14:paraId="56052D34" w14:textId="77777777">
        <w:tc>
          <w:tcPr>
            <w:tcW w:w="1872" w:type="dxa"/>
          </w:tcPr>
          <w:p w14:paraId="56052D2F" w14:textId="77777777" w:rsidR="00470B19" w:rsidRDefault="009E1518">
            <w:r>
              <w:t>4</w:t>
            </w:r>
          </w:p>
        </w:tc>
        <w:tc>
          <w:tcPr>
            <w:tcW w:w="1872" w:type="dxa"/>
          </w:tcPr>
          <w:p w14:paraId="56052D30" w14:textId="77777777" w:rsidR="00470B19" w:rsidRDefault="009E1518">
            <w:r>
              <w:t>SBP Structure of Interest Rates</w:t>
            </w:r>
          </w:p>
        </w:tc>
        <w:tc>
          <w:tcPr>
            <w:tcW w:w="1872" w:type="dxa"/>
          </w:tcPr>
          <w:p w14:paraId="56052D31" w14:textId="77777777" w:rsidR="00470B19" w:rsidRDefault="009E1518">
            <w:r>
              <w:rPr>
                <w:rStyle w:val="CodeChar"/>
              </w:rPr>
              <w:t>https://www.sbp.org.pk/assets/document/sir.pdf</w:t>
            </w:r>
          </w:p>
        </w:tc>
        <w:tc>
          <w:tcPr>
            <w:tcW w:w="1872" w:type="dxa"/>
          </w:tcPr>
          <w:p w14:paraId="56052D32" w14:textId="77777777" w:rsidR="00470B19" w:rsidRDefault="009E1518">
            <w:r>
              <w:t>PDF, downloaded after each Monetary Policy Committee meeting and saved as a dated copy</w:t>
            </w:r>
          </w:p>
        </w:tc>
        <w:tc>
          <w:tcPr>
            <w:tcW w:w="1872" w:type="dxa"/>
          </w:tcPr>
          <w:p w14:paraId="56052D33" w14:textId="77777777" w:rsidR="00470B19" w:rsidRDefault="009E1518">
            <w:r>
              <w:t>Policy rate decisions and effective dates</w:t>
            </w:r>
          </w:p>
        </w:tc>
      </w:tr>
    </w:tbl>
    <w:p w14:paraId="56052D35" w14:textId="77777777" w:rsidR="00470B19" w:rsidRDefault="009E1518">
      <w:pPr>
        <w:pStyle w:val="Heading3"/>
      </w:pPr>
      <w:r>
        <w:t>1.3 Ingestion Pattern</w:t>
      </w:r>
    </w:p>
    <w:p w14:paraId="56052D36" w14:textId="77777777" w:rsidR="00470B19" w:rsidRDefault="009E1518">
      <w:r>
        <w:rPr>
          <w:b/>
        </w:rPr>
        <w:t>Full load.</w:t>
      </w:r>
      <w:r>
        <w:t xml:space="preserve"> The symbol list (Source 3) is filtered to ordinary equities, excluding ETFs and debt instruments. For each company and the KSE-100, the full daily history from 1 January 2020 is requested from Source 1, one request at a time with pauses, caching disabled. Each result is written to Bronze on arrival, so an interrupted run resumes where it stopped. We validated this on five large-cap companies and the KSE-100: about 1,614 trading days each for January 2020 to July 2026.</w:t>
      </w:r>
    </w:p>
    <w:p w14:paraId="56052D37" w14:textId="77777777" w:rsidR="00470B19" w:rsidRDefault="009E1518">
      <w:r>
        <w:rPr>
          <w:b/>
        </w:rPr>
        <w:t>Incremental load.</w:t>
      </w:r>
      <w:r>
        <w:t xml:space="preserve"> The pipeline tracks the latest trading date in Bronze. After each market close it downloads the Market Summary for every trading date since then, using Source 2's date-based link, so missed runs catch up automatically. The KSE-100 is not in this file, so its latest value comes from Source 1 in the same run.</w:t>
      </w:r>
    </w:p>
    <w:p w14:paraId="56052D38" w14:textId="77777777" w:rsidR="00470B19" w:rsidRDefault="009E1518">
      <w:r>
        <w:rPr>
          <w:b/>
        </w:rPr>
        <w:t>Source consistency.</w:t>
      </w:r>
      <w:r>
        <w:t xml:space="preserve"> Both sources carry the same underlying data in different shapes. For HBL on 25 September 2026 they report identical values (close 307.54 PKR, volume 965,624 shares). Silver merges them into one record per company per day and compares any overlap.</w:t>
      </w:r>
    </w:p>
    <w:p w14:paraId="56052D39" w14:textId="77777777" w:rsidR="00470B19" w:rsidRDefault="009E1518">
      <w:r>
        <w:rPr>
          <w:b/>
        </w:rPr>
        <w:t>New, updated and deleted records:</w:t>
      </w:r>
    </w:p>
    <w:p w14:paraId="56052D3A" w14:textId="77777777" w:rsidR="00470B19" w:rsidRDefault="009E1518">
      <w:pPr>
        <w:pStyle w:val="ListParagraph"/>
        <w:numPr>
          <w:ilvl w:val="0"/>
          <w:numId w:val="2"/>
        </w:numPr>
      </w:pPr>
      <w:r>
        <w:rPr>
          <w:b/>
        </w:rPr>
        <w:t>New:</w:t>
      </w:r>
      <w:r>
        <w:t xml:space="preserve"> each trading day adds one record per security that traded.</w:t>
      </w:r>
    </w:p>
    <w:p w14:paraId="56052D3B" w14:textId="77777777" w:rsidR="00470B19" w:rsidRDefault="009E1518">
      <w:pPr>
        <w:pStyle w:val="ListParagraph"/>
        <w:numPr>
          <w:ilvl w:val="0"/>
          <w:numId w:val="2"/>
        </w:numPr>
      </w:pPr>
      <w:r>
        <w:rPr>
          <w:b/>
        </w:rPr>
        <w:t>Updated:</w:t>
      </w:r>
      <w:r>
        <w:t xml:space="preserve"> corporate actions restate history. Lucky Cement (LUCK) had a 5:1 adjustment on 28 April 2025, which appeared as a drop from 1,751.45 to 358.88 PKR (-80%) around a trading suspension. Silver detects such moves, estimates the ratio, and restates history; Bronze keeps the original values.</w:t>
      </w:r>
    </w:p>
    <w:p w14:paraId="56052D3C" w14:textId="77777777" w:rsidR="00470B19" w:rsidRDefault="009E1518">
      <w:pPr>
        <w:pStyle w:val="ListParagraph"/>
        <w:numPr>
          <w:ilvl w:val="0"/>
          <w:numId w:val="2"/>
        </w:numPr>
      </w:pPr>
      <w:r>
        <w:rPr>
          <w:b/>
        </w:rPr>
        <w:lastRenderedPageBreak/>
        <w:t>Deleted:</w:t>
      </w:r>
      <w:r>
        <w:t xml:space="preserve"> the daily file lists only securities that traded, so absence does not mean delisting. Delistings are detected against the symbol list and marked inactive with their last trading date.</w:t>
      </w:r>
    </w:p>
    <w:p w14:paraId="56052D3D" w14:textId="77777777" w:rsidR="00470B19" w:rsidRDefault="009E1518">
      <w:r>
        <w:rPr>
          <w:b/>
        </w:rPr>
        <w:t>Reference data.</w:t>
      </w:r>
      <w:r>
        <w:t xml:space="preserve"> The symbol list is refreshed periodically. SBP rates change only at scheduled Monetary Policy Committee meetings (about eight a year) and are updated after each one.</w:t>
      </w:r>
    </w:p>
    <w:p w14:paraId="56052D3E" w14:textId="77777777" w:rsidR="00470B19" w:rsidRDefault="009E1518">
      <w:pPr>
        <w:pStyle w:val="Heading2"/>
      </w:pPr>
      <w:r>
        <w:t>2. Data Samples &amp; Volume</w:t>
      </w:r>
    </w:p>
    <w:p w14:paraId="56052D3F" w14:textId="77777777" w:rsidR="00470B19" w:rsidRDefault="009E1518">
      <w:r>
        <w:t>The full load is about 42–47 MB and each trading day adds about 24 KB compressed (76 KB uncompressed), both measured from real sample files.</w:t>
      </w:r>
    </w:p>
    <w:p w14:paraId="56052D40" w14:textId="77777777" w:rsidR="00470B19" w:rsidRDefault="009E1518">
      <w:pPr>
        <w:pStyle w:val="Heading3"/>
      </w:pPr>
      <w:r>
        <w:t>2.1 Sample Files</w:t>
      </w:r>
    </w:p>
    <w:p w14:paraId="56052D41" w14:textId="77777777" w:rsidR="00470B19" w:rsidRDefault="009E1518">
      <w:r>
        <w:t xml:space="preserve">All samples are in the repository under </w:t>
      </w:r>
      <w:r>
        <w:rPr>
          <w:rStyle w:val="CodeChar"/>
        </w:rPr>
        <w:t>samples/</w:t>
      </w:r>
      <w:r>
        <w:t>.</w:t>
      </w:r>
    </w:p>
    <w:tbl>
      <w:tblPr>
        <w:tblStyle w:val="TableGrid"/>
        <w:tblW w:w="0" w:type="auto"/>
        <w:tblLayout w:type="fixed"/>
        <w:tblLook w:val="0420" w:firstRow="1" w:lastRow="0" w:firstColumn="0" w:lastColumn="0" w:noHBand="0" w:noVBand="1"/>
      </w:tblPr>
      <w:tblGrid>
        <w:gridCol w:w="2340"/>
        <w:gridCol w:w="2340"/>
        <w:gridCol w:w="2340"/>
        <w:gridCol w:w="2340"/>
      </w:tblGrid>
      <w:tr w:rsidR="00470B19" w14:paraId="56052D46" w14:textId="77777777">
        <w:trPr>
          <w:tblHeader/>
        </w:trPr>
        <w:tc>
          <w:tcPr>
            <w:tcW w:w="2340" w:type="dxa"/>
            <w:shd w:val="clear" w:color="auto" w:fill="F2F2F2"/>
          </w:tcPr>
          <w:p w14:paraId="56052D42" w14:textId="77777777" w:rsidR="00470B19" w:rsidRDefault="009E1518">
            <w:r>
              <w:t>Load type</w:t>
            </w:r>
          </w:p>
        </w:tc>
        <w:tc>
          <w:tcPr>
            <w:tcW w:w="2340" w:type="dxa"/>
            <w:shd w:val="clear" w:color="auto" w:fill="F2F2F2"/>
          </w:tcPr>
          <w:p w14:paraId="56052D43" w14:textId="77777777" w:rsidR="00470B19" w:rsidRDefault="009E1518">
            <w:r>
              <w:t>File(s)</w:t>
            </w:r>
          </w:p>
        </w:tc>
        <w:tc>
          <w:tcPr>
            <w:tcW w:w="2340" w:type="dxa"/>
            <w:shd w:val="clear" w:color="auto" w:fill="F2F2F2"/>
          </w:tcPr>
          <w:p w14:paraId="56052D44" w14:textId="77777777" w:rsidR="00470B19" w:rsidRDefault="009E1518">
            <w:r>
              <w:t>Content</w:t>
            </w:r>
          </w:p>
        </w:tc>
        <w:tc>
          <w:tcPr>
            <w:tcW w:w="2340" w:type="dxa"/>
            <w:shd w:val="clear" w:color="auto" w:fill="F2F2F2"/>
          </w:tcPr>
          <w:p w14:paraId="56052D45" w14:textId="77777777" w:rsidR="00470B19" w:rsidRDefault="009E1518">
            <w:r>
              <w:t>Size</w:t>
            </w:r>
          </w:p>
        </w:tc>
      </w:tr>
      <w:tr w:rsidR="00470B19" w14:paraId="56052D4B" w14:textId="77777777">
        <w:tc>
          <w:tcPr>
            <w:tcW w:w="2340" w:type="dxa"/>
          </w:tcPr>
          <w:p w14:paraId="56052D47" w14:textId="77777777" w:rsidR="00470B19" w:rsidRDefault="009E1518">
            <w:r>
              <w:t>Full load</w:t>
            </w:r>
          </w:p>
        </w:tc>
        <w:tc>
          <w:tcPr>
            <w:tcW w:w="2340" w:type="dxa"/>
          </w:tcPr>
          <w:p w14:paraId="56052D48" w14:textId="77777777" w:rsidR="00470B19" w:rsidRDefault="009E1518">
            <w:proofErr w:type="spellStart"/>
            <w:r>
              <w:rPr>
                <w:rStyle w:val="CodeChar"/>
              </w:rPr>
              <w:t>full_load</w:t>
            </w:r>
            <w:proofErr w:type="spellEnd"/>
            <w:r>
              <w:rPr>
                <w:rStyle w:val="CodeChar"/>
              </w:rPr>
              <w:t>/{OGDC, MEBL, FFC, LUCK, HBL}.csv</w:t>
            </w:r>
          </w:p>
        </w:tc>
        <w:tc>
          <w:tcPr>
            <w:tcW w:w="2340" w:type="dxa"/>
          </w:tcPr>
          <w:p w14:paraId="56052D49" w14:textId="77777777" w:rsidR="00470B19" w:rsidRDefault="009E1518">
            <w:r>
              <w:t>Daily OHLCV, 1 Jan 2020 – 8 Jul 2026, five large-caps across energy, banking, fertilizer and cement</w:t>
            </w:r>
          </w:p>
        </w:tc>
        <w:tc>
          <w:tcPr>
            <w:tcW w:w="2340" w:type="dxa"/>
          </w:tcPr>
          <w:p w14:paraId="56052D4A" w14:textId="77777777" w:rsidR="00470B19" w:rsidRDefault="009E1518">
            <w:r>
              <w:t>81.9–82.9 KB each; 1,609–1,614 rows</w:t>
            </w:r>
          </w:p>
        </w:tc>
      </w:tr>
      <w:tr w:rsidR="00470B19" w14:paraId="56052D50" w14:textId="77777777">
        <w:tc>
          <w:tcPr>
            <w:tcW w:w="2340" w:type="dxa"/>
          </w:tcPr>
          <w:p w14:paraId="56052D4C" w14:textId="77777777" w:rsidR="00470B19" w:rsidRDefault="009E1518">
            <w:r>
              <w:t>Full load</w:t>
            </w:r>
          </w:p>
        </w:tc>
        <w:tc>
          <w:tcPr>
            <w:tcW w:w="2340" w:type="dxa"/>
          </w:tcPr>
          <w:p w14:paraId="56052D4D" w14:textId="77777777" w:rsidR="00470B19" w:rsidRDefault="009E1518">
            <w:proofErr w:type="spellStart"/>
            <w:r>
              <w:rPr>
                <w:rStyle w:val="CodeChar"/>
              </w:rPr>
              <w:t>full_load</w:t>
            </w:r>
            <w:proofErr w:type="spellEnd"/>
            <w:r>
              <w:rPr>
                <w:rStyle w:val="CodeChar"/>
              </w:rPr>
              <w:t>/KSE100.csv</w:t>
            </w:r>
          </w:p>
        </w:tc>
        <w:tc>
          <w:tcPr>
            <w:tcW w:w="2340" w:type="dxa"/>
          </w:tcPr>
          <w:p w14:paraId="56052D4E" w14:textId="77777777" w:rsidR="00470B19" w:rsidRDefault="009E1518">
            <w:r>
              <w:t>KSE-100 index, same period</w:t>
            </w:r>
          </w:p>
        </w:tc>
        <w:tc>
          <w:tcPr>
            <w:tcW w:w="2340" w:type="dxa"/>
          </w:tcPr>
          <w:p w14:paraId="56052D4F" w14:textId="77777777" w:rsidR="00470B19" w:rsidRDefault="009E1518">
            <w:r>
              <w:t>104.0 KB; 1,614 rows</w:t>
            </w:r>
          </w:p>
        </w:tc>
      </w:tr>
      <w:tr w:rsidR="00470B19" w14:paraId="56052D55" w14:textId="77777777">
        <w:tc>
          <w:tcPr>
            <w:tcW w:w="2340" w:type="dxa"/>
          </w:tcPr>
          <w:p w14:paraId="56052D51" w14:textId="77777777" w:rsidR="00470B19" w:rsidRDefault="009E1518">
            <w:r>
              <w:t>Incremental</w:t>
            </w:r>
          </w:p>
        </w:tc>
        <w:tc>
          <w:tcPr>
            <w:tcW w:w="2340" w:type="dxa"/>
          </w:tcPr>
          <w:p w14:paraId="56052D52" w14:textId="77777777" w:rsidR="00470B19" w:rsidRDefault="009E1518">
            <w:r>
              <w:rPr>
                <w:rStyle w:val="CodeChar"/>
              </w:rPr>
              <w:t>incremental/mkt_summary_2026-09-25.Z</w:t>
            </w:r>
          </w:p>
        </w:tc>
        <w:tc>
          <w:tcPr>
            <w:tcW w:w="2340" w:type="dxa"/>
          </w:tcPr>
          <w:p w14:paraId="56052D53" w14:textId="77777777" w:rsidR="00470B19" w:rsidRDefault="009E1518">
            <w:r>
              <w:t>Market Summary (Closing), 25 Sep 2026, all traded securities</w:t>
            </w:r>
          </w:p>
        </w:tc>
        <w:tc>
          <w:tcPr>
            <w:tcW w:w="2340" w:type="dxa"/>
          </w:tcPr>
          <w:p w14:paraId="56052D54" w14:textId="77777777" w:rsidR="00470B19" w:rsidRDefault="009E1518">
            <w:r>
              <w:t>24.4 KB compressed (76 KB raw); 1,068 rows</w:t>
            </w:r>
          </w:p>
        </w:tc>
      </w:tr>
    </w:tbl>
    <w:p w14:paraId="56052D56" w14:textId="77777777" w:rsidR="00470B19" w:rsidRDefault="009E1518">
      <w:r>
        <w:rPr>
          <w:b/>
        </w:rPr>
        <w:t>Notes on the samples:</w:t>
      </w:r>
    </w:p>
    <w:p w14:paraId="56052D57" w14:textId="77777777" w:rsidR="00470B19" w:rsidRDefault="009E1518">
      <w:pPr>
        <w:pStyle w:val="ListParagraph"/>
        <w:numPr>
          <w:ilvl w:val="0"/>
          <w:numId w:val="3"/>
        </w:numPr>
      </w:pPr>
      <w:r>
        <w:t>The full-load files were collected during exploration in July 2026. They were sorted oldest-first before saving, and one duplicated KSE-100 record (22 Jan 2024) was removed. In production, Bronze stores data exactly as received and these steps move to Silver.</w:t>
      </w:r>
    </w:p>
    <w:p w14:paraId="56052D58" w14:textId="77777777" w:rsidR="00470B19" w:rsidRDefault="009E1518">
      <w:pPr>
        <w:pStyle w:val="ListParagraph"/>
        <w:numPr>
          <w:ilvl w:val="0"/>
          <w:numId w:val="3"/>
        </w:numPr>
      </w:pPr>
      <w:r>
        <w:t>LUCK is intentionally unadjusted: it contains the 28 April 2025 corporate action and has 1,609 rows because of the surrounding suspension.</w:t>
      </w:r>
    </w:p>
    <w:p w14:paraId="56052D59" w14:textId="77777777" w:rsidR="00470B19" w:rsidRDefault="009E1518">
      <w:pPr>
        <w:pStyle w:val="ListParagraph"/>
        <w:numPr>
          <w:ilvl w:val="0"/>
          <w:numId w:val="3"/>
        </w:numPr>
      </w:pPr>
      <w:r>
        <w:t xml:space="preserve">The incremental file is a ZIP archive despite its </w:t>
      </w:r>
      <w:r>
        <w:rPr>
          <w:rStyle w:val="CodeChar"/>
        </w:rPr>
        <w:t>.Z</w:t>
      </w:r>
      <w:r>
        <w:t xml:space="preserve"> extension, holding a pipe-delimited text file with no header. It has 511 ordinary securities and 557 futures contracts; futures are filtered out in Silver.</w:t>
      </w:r>
    </w:p>
    <w:p w14:paraId="56052D5A" w14:textId="77777777" w:rsidR="00470B19" w:rsidRDefault="009E1518">
      <w:pPr>
        <w:pStyle w:val="ListParagraph"/>
        <w:numPr>
          <w:ilvl w:val="0"/>
          <w:numId w:val="3"/>
        </w:numPr>
      </w:pPr>
      <w:r>
        <w:t>The samples leave a gap between 8 July and 25 September 2026. In production the incremental process fills such gaps by downloading every missing trading date.</w:t>
      </w:r>
    </w:p>
    <w:p w14:paraId="56052D5B" w14:textId="77777777" w:rsidR="00470B19" w:rsidRDefault="009E1518">
      <w:pPr>
        <w:pStyle w:val="Heading3"/>
      </w:pPr>
      <w:r>
        <w:t>2.2 Volume Estimation</w:t>
      </w:r>
    </w:p>
    <w:p w14:paraId="56052D5C" w14:textId="77777777" w:rsidR="00470B19" w:rsidRDefault="009E1518">
      <w:r>
        <w:rPr>
          <w:b/>
        </w:rPr>
        <w:t>Full load:</w:t>
      </w:r>
    </w:p>
    <w:tbl>
      <w:tblPr>
        <w:tblStyle w:val="TableGrid"/>
        <w:tblW w:w="0" w:type="auto"/>
        <w:tblLayout w:type="fixed"/>
        <w:tblLook w:val="0420" w:firstRow="1" w:lastRow="0" w:firstColumn="0" w:lastColumn="0" w:noHBand="0" w:noVBand="1"/>
      </w:tblPr>
      <w:tblGrid>
        <w:gridCol w:w="3120"/>
        <w:gridCol w:w="3120"/>
        <w:gridCol w:w="3120"/>
      </w:tblGrid>
      <w:tr w:rsidR="00470B19" w14:paraId="56052D60" w14:textId="77777777">
        <w:trPr>
          <w:tblHeader/>
        </w:trPr>
        <w:tc>
          <w:tcPr>
            <w:tcW w:w="3120" w:type="dxa"/>
            <w:shd w:val="clear" w:color="auto" w:fill="F2F2F2"/>
          </w:tcPr>
          <w:p w14:paraId="56052D5D" w14:textId="77777777" w:rsidR="00470B19" w:rsidRDefault="009E1518">
            <w:r>
              <w:t>Component</w:t>
            </w:r>
          </w:p>
        </w:tc>
        <w:tc>
          <w:tcPr>
            <w:tcW w:w="3120" w:type="dxa"/>
            <w:shd w:val="clear" w:color="auto" w:fill="F2F2F2"/>
          </w:tcPr>
          <w:p w14:paraId="56052D5E" w14:textId="77777777" w:rsidR="00470B19" w:rsidRDefault="009E1518">
            <w:r>
              <w:t>Basis</w:t>
            </w:r>
          </w:p>
        </w:tc>
        <w:tc>
          <w:tcPr>
            <w:tcW w:w="3120" w:type="dxa"/>
            <w:shd w:val="clear" w:color="auto" w:fill="F2F2F2"/>
          </w:tcPr>
          <w:p w14:paraId="56052D5F" w14:textId="77777777" w:rsidR="00470B19" w:rsidRDefault="009E1518">
            <w:r>
              <w:t>Estimated size</w:t>
            </w:r>
          </w:p>
        </w:tc>
      </w:tr>
      <w:tr w:rsidR="00470B19" w14:paraId="56052D64" w14:textId="77777777">
        <w:tc>
          <w:tcPr>
            <w:tcW w:w="3120" w:type="dxa"/>
          </w:tcPr>
          <w:p w14:paraId="56052D61" w14:textId="77777777" w:rsidR="00470B19" w:rsidRDefault="009E1518">
            <w:r>
              <w:t>Company price histories</w:t>
            </w:r>
          </w:p>
        </w:tc>
        <w:tc>
          <w:tcPr>
            <w:tcW w:w="3120" w:type="dxa"/>
          </w:tcPr>
          <w:p w14:paraId="56052D62" w14:textId="77777777" w:rsidR="00470B19" w:rsidRDefault="009E1518">
            <w:r>
              <w:t xml:space="preserve">~500–560 companies × ~82 KB </w:t>
            </w:r>
            <w:r>
              <w:lastRenderedPageBreak/>
              <w:t>(measured average for 1,614 days)</w:t>
            </w:r>
          </w:p>
        </w:tc>
        <w:tc>
          <w:tcPr>
            <w:tcW w:w="3120" w:type="dxa"/>
          </w:tcPr>
          <w:p w14:paraId="56052D63" w14:textId="77777777" w:rsidR="00470B19" w:rsidRDefault="009E1518">
            <w:r>
              <w:lastRenderedPageBreak/>
              <w:t xml:space="preserve">~41–46 MB (~0.8–0.9 million </w:t>
            </w:r>
            <w:r>
              <w:lastRenderedPageBreak/>
              <w:t>rows)</w:t>
            </w:r>
          </w:p>
        </w:tc>
      </w:tr>
      <w:tr w:rsidR="00470B19" w14:paraId="56052D68" w14:textId="77777777">
        <w:tc>
          <w:tcPr>
            <w:tcW w:w="3120" w:type="dxa"/>
          </w:tcPr>
          <w:p w14:paraId="56052D65" w14:textId="77777777" w:rsidR="00470B19" w:rsidRDefault="009E1518">
            <w:r>
              <w:lastRenderedPageBreak/>
              <w:t>KSE-100 index</w:t>
            </w:r>
          </w:p>
        </w:tc>
        <w:tc>
          <w:tcPr>
            <w:tcW w:w="3120" w:type="dxa"/>
          </w:tcPr>
          <w:p w14:paraId="56052D66" w14:textId="77777777" w:rsidR="00470B19" w:rsidRDefault="009E1518">
            <w:r>
              <w:t>Measured</w:t>
            </w:r>
          </w:p>
        </w:tc>
        <w:tc>
          <w:tcPr>
            <w:tcW w:w="3120" w:type="dxa"/>
          </w:tcPr>
          <w:p w14:paraId="56052D67" w14:textId="77777777" w:rsidR="00470B19" w:rsidRDefault="009E1518">
            <w:r>
              <w:t>~0.1 MB</w:t>
            </w:r>
          </w:p>
        </w:tc>
      </w:tr>
      <w:tr w:rsidR="00470B19" w14:paraId="56052D6C" w14:textId="77777777">
        <w:tc>
          <w:tcPr>
            <w:tcW w:w="3120" w:type="dxa"/>
          </w:tcPr>
          <w:p w14:paraId="56052D69" w14:textId="77777777" w:rsidR="00470B19" w:rsidRDefault="009E1518">
            <w:r>
              <w:t>Symbol and sector reference</w:t>
            </w:r>
          </w:p>
        </w:tc>
        <w:tc>
          <w:tcPr>
            <w:tcW w:w="3120" w:type="dxa"/>
          </w:tcPr>
          <w:p w14:paraId="56052D6A" w14:textId="77777777" w:rsidR="00470B19" w:rsidRDefault="009E1518">
            <w:r>
              <w:t>~1,000 securities</w:t>
            </w:r>
          </w:p>
        </w:tc>
        <w:tc>
          <w:tcPr>
            <w:tcW w:w="3120" w:type="dxa"/>
          </w:tcPr>
          <w:p w14:paraId="56052D6B" w14:textId="77777777" w:rsidR="00470B19" w:rsidRDefault="009E1518">
            <w:r>
              <w:t>&lt; 0.2 MB</w:t>
            </w:r>
          </w:p>
        </w:tc>
      </w:tr>
      <w:tr w:rsidR="00470B19" w14:paraId="56052D70" w14:textId="77777777">
        <w:tc>
          <w:tcPr>
            <w:tcW w:w="3120" w:type="dxa"/>
          </w:tcPr>
          <w:p w14:paraId="56052D6D" w14:textId="77777777" w:rsidR="00470B19" w:rsidRDefault="009E1518">
            <w:r>
              <w:t>SBP publication</w:t>
            </w:r>
          </w:p>
        </w:tc>
        <w:tc>
          <w:tcPr>
            <w:tcW w:w="3120" w:type="dxa"/>
          </w:tcPr>
          <w:p w14:paraId="56052D6E" w14:textId="77777777" w:rsidR="00470B19" w:rsidRDefault="009E1518">
            <w:r>
              <w:t>Measured PDF</w:t>
            </w:r>
          </w:p>
        </w:tc>
        <w:tc>
          <w:tcPr>
            <w:tcW w:w="3120" w:type="dxa"/>
          </w:tcPr>
          <w:p w14:paraId="56052D6F" w14:textId="77777777" w:rsidR="00470B19" w:rsidRDefault="009E1518">
            <w:r>
              <w:t>~0.7 MB</w:t>
            </w:r>
          </w:p>
        </w:tc>
      </w:tr>
      <w:tr w:rsidR="00470B19" w14:paraId="56052D74" w14:textId="77777777">
        <w:tc>
          <w:tcPr>
            <w:tcW w:w="3120" w:type="dxa"/>
          </w:tcPr>
          <w:p w14:paraId="56052D71" w14:textId="77777777" w:rsidR="00470B19" w:rsidRDefault="009E1518">
            <w:r>
              <w:rPr>
                <w:b/>
              </w:rPr>
              <w:t>Total</w:t>
            </w:r>
          </w:p>
        </w:tc>
        <w:tc>
          <w:tcPr>
            <w:tcW w:w="3120" w:type="dxa"/>
          </w:tcPr>
          <w:p w14:paraId="56052D72" w14:textId="77777777" w:rsidR="00470B19" w:rsidRDefault="00470B19"/>
        </w:tc>
        <w:tc>
          <w:tcPr>
            <w:tcW w:w="3120" w:type="dxa"/>
          </w:tcPr>
          <w:p w14:paraId="56052D73" w14:textId="77777777" w:rsidR="00470B19" w:rsidRDefault="009E1518">
            <w:r>
              <w:rPr>
                <w:b/>
              </w:rPr>
              <w:t>~42–47 MB</w:t>
            </w:r>
          </w:p>
        </w:tc>
      </w:tr>
    </w:tbl>
    <w:p w14:paraId="56052D75" w14:textId="77777777" w:rsidR="00470B19" w:rsidRDefault="009E1518">
      <w:r>
        <w:t>This is an upper bound: companies listed after January 2020 have shorter histories.</w:t>
      </w:r>
    </w:p>
    <w:p w14:paraId="56052D76" w14:textId="77777777" w:rsidR="00470B19" w:rsidRDefault="009E1518">
      <w:r>
        <w:rPr>
          <w:b/>
        </w:rPr>
        <w:t>Incremental loads:</w:t>
      </w:r>
    </w:p>
    <w:tbl>
      <w:tblPr>
        <w:tblStyle w:val="TableGrid"/>
        <w:tblW w:w="0" w:type="auto"/>
        <w:tblLayout w:type="fixed"/>
        <w:tblLook w:val="0420" w:firstRow="1" w:lastRow="0" w:firstColumn="0" w:lastColumn="0" w:noHBand="0" w:noVBand="1"/>
      </w:tblPr>
      <w:tblGrid>
        <w:gridCol w:w="2340"/>
        <w:gridCol w:w="2340"/>
        <w:gridCol w:w="2340"/>
        <w:gridCol w:w="2340"/>
      </w:tblGrid>
      <w:tr w:rsidR="00470B19" w14:paraId="56052D7B" w14:textId="77777777">
        <w:trPr>
          <w:tblHeader/>
        </w:trPr>
        <w:tc>
          <w:tcPr>
            <w:tcW w:w="2340" w:type="dxa"/>
            <w:shd w:val="clear" w:color="auto" w:fill="F2F2F2"/>
          </w:tcPr>
          <w:p w14:paraId="56052D77" w14:textId="77777777" w:rsidR="00470B19" w:rsidRDefault="009E1518">
            <w:r>
              <w:t>Frequency</w:t>
            </w:r>
          </w:p>
        </w:tc>
        <w:tc>
          <w:tcPr>
            <w:tcW w:w="2340" w:type="dxa"/>
            <w:shd w:val="clear" w:color="auto" w:fill="F2F2F2"/>
          </w:tcPr>
          <w:p w14:paraId="56052D78" w14:textId="77777777" w:rsidR="00470B19" w:rsidRDefault="009E1518">
            <w:r>
              <w:t>Records</w:t>
            </w:r>
          </w:p>
        </w:tc>
        <w:tc>
          <w:tcPr>
            <w:tcW w:w="2340" w:type="dxa"/>
            <w:shd w:val="clear" w:color="auto" w:fill="F2F2F2"/>
          </w:tcPr>
          <w:p w14:paraId="56052D79" w14:textId="77777777" w:rsidR="00470B19" w:rsidRDefault="009E1518">
            <w:r>
              <w:t>Compressed</w:t>
            </w:r>
          </w:p>
        </w:tc>
        <w:tc>
          <w:tcPr>
            <w:tcW w:w="2340" w:type="dxa"/>
            <w:shd w:val="clear" w:color="auto" w:fill="F2F2F2"/>
          </w:tcPr>
          <w:p w14:paraId="56052D7A" w14:textId="77777777" w:rsidR="00470B19" w:rsidRDefault="009E1518">
            <w:r>
              <w:t>Uncompressed</w:t>
            </w:r>
          </w:p>
        </w:tc>
      </w:tr>
      <w:tr w:rsidR="00470B19" w14:paraId="56052D80" w14:textId="77777777">
        <w:tc>
          <w:tcPr>
            <w:tcW w:w="2340" w:type="dxa"/>
          </w:tcPr>
          <w:p w14:paraId="56052D7C" w14:textId="77777777" w:rsidR="00470B19" w:rsidRDefault="009E1518">
            <w:r>
              <w:t>Daily</w:t>
            </w:r>
          </w:p>
        </w:tc>
        <w:tc>
          <w:tcPr>
            <w:tcW w:w="2340" w:type="dxa"/>
          </w:tcPr>
          <w:p w14:paraId="56052D7D" w14:textId="77777777" w:rsidR="00470B19" w:rsidRDefault="009E1518">
            <w:r>
              <w:t>~1,070 (~510 companies plus futures)</w:t>
            </w:r>
          </w:p>
        </w:tc>
        <w:tc>
          <w:tcPr>
            <w:tcW w:w="2340" w:type="dxa"/>
          </w:tcPr>
          <w:p w14:paraId="56052D7E" w14:textId="77777777" w:rsidR="00470B19" w:rsidRDefault="009E1518">
            <w:r>
              <w:t>~24 KB</w:t>
            </w:r>
          </w:p>
        </w:tc>
        <w:tc>
          <w:tcPr>
            <w:tcW w:w="2340" w:type="dxa"/>
          </w:tcPr>
          <w:p w14:paraId="56052D7F" w14:textId="77777777" w:rsidR="00470B19" w:rsidRDefault="009E1518">
            <w:r>
              <w:t>~76 KB</w:t>
            </w:r>
          </w:p>
        </w:tc>
      </w:tr>
      <w:tr w:rsidR="00470B19" w14:paraId="56052D85" w14:textId="77777777">
        <w:tc>
          <w:tcPr>
            <w:tcW w:w="2340" w:type="dxa"/>
          </w:tcPr>
          <w:p w14:paraId="56052D81" w14:textId="77777777" w:rsidR="00470B19" w:rsidRDefault="009E1518">
            <w:r>
              <w:t>Weekly (5 trading days)</w:t>
            </w:r>
          </w:p>
        </w:tc>
        <w:tc>
          <w:tcPr>
            <w:tcW w:w="2340" w:type="dxa"/>
          </w:tcPr>
          <w:p w14:paraId="56052D82" w14:textId="77777777" w:rsidR="00470B19" w:rsidRDefault="009E1518">
            <w:r>
              <w:t>~5,300</w:t>
            </w:r>
          </w:p>
        </w:tc>
        <w:tc>
          <w:tcPr>
            <w:tcW w:w="2340" w:type="dxa"/>
          </w:tcPr>
          <w:p w14:paraId="56052D83" w14:textId="77777777" w:rsidR="00470B19" w:rsidRDefault="009E1518">
            <w:r>
              <w:t>~120 KB</w:t>
            </w:r>
          </w:p>
        </w:tc>
        <w:tc>
          <w:tcPr>
            <w:tcW w:w="2340" w:type="dxa"/>
          </w:tcPr>
          <w:p w14:paraId="56052D84" w14:textId="77777777" w:rsidR="00470B19" w:rsidRDefault="009E1518">
            <w:r>
              <w:t>~380 KB</w:t>
            </w:r>
          </w:p>
        </w:tc>
      </w:tr>
      <w:tr w:rsidR="00470B19" w14:paraId="56052D8A" w14:textId="77777777">
        <w:tc>
          <w:tcPr>
            <w:tcW w:w="2340" w:type="dxa"/>
          </w:tcPr>
          <w:p w14:paraId="56052D86" w14:textId="77777777" w:rsidR="00470B19" w:rsidRDefault="009E1518">
            <w:r>
              <w:t>Yearly (~245 trading days)</w:t>
            </w:r>
          </w:p>
        </w:tc>
        <w:tc>
          <w:tcPr>
            <w:tcW w:w="2340" w:type="dxa"/>
          </w:tcPr>
          <w:p w14:paraId="56052D87" w14:textId="77777777" w:rsidR="00470B19" w:rsidRDefault="009E1518">
            <w:r>
              <w:t>~260,000</w:t>
            </w:r>
          </w:p>
        </w:tc>
        <w:tc>
          <w:tcPr>
            <w:tcW w:w="2340" w:type="dxa"/>
          </w:tcPr>
          <w:p w14:paraId="56052D88" w14:textId="77777777" w:rsidR="00470B19" w:rsidRDefault="009E1518">
            <w:r>
              <w:t>~6 MB</w:t>
            </w:r>
          </w:p>
        </w:tc>
        <w:tc>
          <w:tcPr>
            <w:tcW w:w="2340" w:type="dxa"/>
          </w:tcPr>
          <w:p w14:paraId="56052D89" w14:textId="77777777" w:rsidR="00470B19" w:rsidRDefault="009E1518">
            <w:r>
              <w:t>~19 MB</w:t>
            </w:r>
          </w:p>
        </w:tc>
      </w:tr>
    </w:tbl>
    <w:p w14:paraId="56052D8B" w14:textId="77777777" w:rsidR="00470B19" w:rsidRDefault="009E1518">
      <w:r>
        <w:t>SBP adds one ~0.7 MB PDF after each of about eight rate meetings a year.</w:t>
      </w:r>
    </w:p>
    <w:p w14:paraId="56052D8C" w14:textId="77777777" w:rsidR="00470B19" w:rsidRDefault="009E1518">
      <w:r>
        <w:rPr>
          <w:b/>
        </w:rPr>
        <w:t>Frequency.</w:t>
      </w:r>
      <w:r>
        <w:t xml:space="preserve"> The incremental load runs once per trading day, after PSX publishes the Market Summary in the evening (Pakistan time).</w:t>
      </w:r>
    </w:p>
    <w:p w14:paraId="56052D8D" w14:textId="77777777" w:rsidR="00470B19" w:rsidRDefault="009E1518">
      <w:r>
        <w:rPr>
          <w:b/>
        </w:rPr>
        <w:t>Scalability option.</w:t>
      </w:r>
      <w:r>
        <w:t xml:space="preserve"> Market Summary files go back to at least 2015. Backfilling them all would give ~2,900 files, ~70 MB compressed and ~220 MB uncompressed (~3 million rows), from one consistent source. This is an optional extension, done slowly over several days.</w:t>
      </w:r>
    </w:p>
    <w:p w14:paraId="56052D8E" w14:textId="77777777" w:rsidR="00470B19" w:rsidRDefault="009E1518">
      <w:r>
        <w:rPr>
          <w:b/>
        </w:rPr>
        <w:t>Fit for Spark and the free tier.</w:t>
      </w:r>
      <w:r>
        <w:t xml:space="preserve"> ~45 MB initially plus ~19 MB a year is modest, but large enough that partitioning, incremental processing and Delta Lake matter, while staying well within free-tier limits.</w:t>
      </w:r>
    </w:p>
    <w:p w14:paraId="56052D8F" w14:textId="77777777" w:rsidR="00470B19" w:rsidRDefault="009E1518">
      <w:pPr>
        <w:pStyle w:val="Heading3"/>
      </w:pPr>
      <w:r>
        <w:t>2.3 Data Access Finding</w:t>
      </w:r>
    </w:p>
    <w:p w14:paraId="56052D90" w14:textId="77777777" w:rsidR="00470B19" w:rsidRDefault="009E1518">
      <w:r>
        <w:t>While preparing samples, PSX began refusing automated requests (HTTP 403, Forbidden) to both the historical and symbol endpoints, while the same pages still loaded in a browser. PSX actively protects its portal, so the pipeline:</w:t>
      </w:r>
    </w:p>
    <w:p w14:paraId="56052D91" w14:textId="77777777" w:rsidR="00470B19" w:rsidRDefault="009E1518">
      <w:pPr>
        <w:pStyle w:val="ListParagraph"/>
        <w:numPr>
          <w:ilvl w:val="0"/>
          <w:numId w:val="4"/>
        </w:numPr>
      </w:pPr>
      <w:r>
        <w:t>makes as few requests as possible (one daily file per trading day) instead of repeatedly scraping per-company histories</w:t>
      </w:r>
    </w:p>
    <w:p w14:paraId="56052D92" w14:textId="77777777" w:rsidR="00470B19" w:rsidRDefault="009E1518">
      <w:pPr>
        <w:pStyle w:val="ListParagraph"/>
        <w:numPr>
          <w:ilvl w:val="0"/>
          <w:numId w:val="4"/>
        </w:numPr>
      </w:pPr>
      <w:r>
        <w:t>detects refusals and stops rather than retrying aggressively</w:t>
      </w:r>
    </w:p>
    <w:p w14:paraId="56052D93" w14:textId="77777777" w:rsidR="00470B19" w:rsidRDefault="009E1518">
      <w:pPr>
        <w:pStyle w:val="ListParagraph"/>
        <w:numPr>
          <w:ilvl w:val="0"/>
          <w:numId w:val="4"/>
        </w:numPr>
      </w:pPr>
      <w:r>
        <w:t>will operate under a permission request to PSX's market data team (Section 3.3)</w:t>
      </w:r>
    </w:p>
    <w:p w14:paraId="56052D94" w14:textId="77777777" w:rsidR="00470B19" w:rsidRDefault="009E1518">
      <w:pPr>
        <w:pStyle w:val="Heading2"/>
      </w:pPr>
      <w:r>
        <w:lastRenderedPageBreak/>
        <w:t>3. Security &amp; Compliance</w:t>
      </w:r>
    </w:p>
    <w:p w14:paraId="56052D95" w14:textId="77777777" w:rsidR="00470B19" w:rsidRDefault="009E1518">
      <w:r>
        <w:t>The market data contains no personal information; the only PII found is a staff contact block in the SBP PDF, which never leaves Bronze. The larger compliance issue is data licensing.</w:t>
      </w:r>
    </w:p>
    <w:p w14:paraId="56052D96" w14:textId="77777777" w:rsidR="00470B19" w:rsidRDefault="009E1518">
      <w:pPr>
        <w:pStyle w:val="Heading3"/>
      </w:pPr>
      <w:r>
        <w:t>3.1 PII Assessment</w:t>
      </w:r>
    </w:p>
    <w:tbl>
      <w:tblPr>
        <w:tblStyle w:val="TableGrid"/>
        <w:tblW w:w="0" w:type="auto"/>
        <w:tblLayout w:type="fixed"/>
        <w:tblLook w:val="0420" w:firstRow="1" w:lastRow="0" w:firstColumn="0" w:lastColumn="0" w:noHBand="0" w:noVBand="1"/>
      </w:tblPr>
      <w:tblGrid>
        <w:gridCol w:w="2340"/>
        <w:gridCol w:w="2340"/>
        <w:gridCol w:w="2340"/>
        <w:gridCol w:w="2340"/>
      </w:tblGrid>
      <w:tr w:rsidR="00470B19" w14:paraId="56052D9B" w14:textId="77777777">
        <w:trPr>
          <w:tblHeader/>
        </w:trPr>
        <w:tc>
          <w:tcPr>
            <w:tcW w:w="2340" w:type="dxa"/>
            <w:shd w:val="clear" w:color="auto" w:fill="F2F2F2"/>
          </w:tcPr>
          <w:p w14:paraId="56052D97" w14:textId="77777777" w:rsidR="00470B19" w:rsidRDefault="009E1518">
            <w:r>
              <w:t>Source</w:t>
            </w:r>
          </w:p>
        </w:tc>
        <w:tc>
          <w:tcPr>
            <w:tcW w:w="2340" w:type="dxa"/>
            <w:shd w:val="clear" w:color="auto" w:fill="F2F2F2"/>
          </w:tcPr>
          <w:p w14:paraId="56052D98" w14:textId="77777777" w:rsidR="00470B19" w:rsidRDefault="009E1518">
            <w:r>
              <w:t>Fields</w:t>
            </w:r>
          </w:p>
        </w:tc>
        <w:tc>
          <w:tcPr>
            <w:tcW w:w="2340" w:type="dxa"/>
            <w:shd w:val="clear" w:color="auto" w:fill="F2F2F2"/>
          </w:tcPr>
          <w:p w14:paraId="56052D99" w14:textId="77777777" w:rsidR="00470B19" w:rsidRDefault="009E1518">
            <w:r>
              <w:t>PII?</w:t>
            </w:r>
          </w:p>
        </w:tc>
        <w:tc>
          <w:tcPr>
            <w:tcW w:w="2340" w:type="dxa"/>
            <w:shd w:val="clear" w:color="auto" w:fill="F2F2F2"/>
          </w:tcPr>
          <w:p w14:paraId="56052D9A" w14:textId="77777777" w:rsidR="00470B19" w:rsidRDefault="009E1518">
            <w:r>
              <w:t>Reasoning</w:t>
            </w:r>
          </w:p>
        </w:tc>
      </w:tr>
      <w:tr w:rsidR="00470B19" w14:paraId="56052DA0" w14:textId="77777777">
        <w:tc>
          <w:tcPr>
            <w:tcW w:w="2340" w:type="dxa"/>
          </w:tcPr>
          <w:p w14:paraId="56052D9C" w14:textId="77777777" w:rsidR="00470B19" w:rsidRDefault="009E1518">
            <w:r>
              <w:t>PSX historical (full load)</w:t>
            </w:r>
          </w:p>
        </w:tc>
        <w:tc>
          <w:tcPr>
            <w:tcW w:w="2340" w:type="dxa"/>
          </w:tcPr>
          <w:p w14:paraId="56052D9D" w14:textId="77777777" w:rsidR="00470B19" w:rsidRDefault="009E1518">
            <w:r>
              <w:t xml:space="preserve">date, open, high, low, close, volume, </w:t>
            </w:r>
            <w:proofErr w:type="spellStart"/>
            <w:r>
              <w:t>is_anomaly</w:t>
            </w:r>
            <w:proofErr w:type="spellEnd"/>
          </w:p>
        </w:tc>
        <w:tc>
          <w:tcPr>
            <w:tcW w:w="2340" w:type="dxa"/>
          </w:tcPr>
          <w:p w14:paraId="56052D9E" w14:textId="77777777" w:rsidR="00470B19" w:rsidRDefault="009E1518">
            <w:r>
              <w:t>No</w:t>
            </w:r>
          </w:p>
        </w:tc>
        <w:tc>
          <w:tcPr>
            <w:tcW w:w="2340" w:type="dxa"/>
          </w:tcPr>
          <w:p w14:paraId="56052D9F" w14:textId="77777777" w:rsidR="00470B19" w:rsidRDefault="009E1518">
            <w:r>
              <w:t>Company-level prices and volumes; no investors, accounts, brokers or trades identified</w:t>
            </w:r>
          </w:p>
        </w:tc>
      </w:tr>
      <w:tr w:rsidR="00470B19" w14:paraId="56052DA5" w14:textId="77777777">
        <w:tc>
          <w:tcPr>
            <w:tcW w:w="2340" w:type="dxa"/>
          </w:tcPr>
          <w:p w14:paraId="56052DA1" w14:textId="77777777" w:rsidR="00470B19" w:rsidRDefault="009E1518">
            <w:r>
              <w:t>PSX Market Summary (incremental)</w:t>
            </w:r>
          </w:p>
        </w:tc>
        <w:tc>
          <w:tcPr>
            <w:tcW w:w="2340" w:type="dxa"/>
          </w:tcPr>
          <w:p w14:paraId="56052DA2" w14:textId="77777777" w:rsidR="00470B19" w:rsidRDefault="009E1518">
            <w:r>
              <w:t>date, symbol, sector code, company name, OHLC, volume, previous close</w:t>
            </w:r>
          </w:p>
        </w:tc>
        <w:tc>
          <w:tcPr>
            <w:tcW w:w="2340" w:type="dxa"/>
          </w:tcPr>
          <w:p w14:paraId="56052DA3" w14:textId="77777777" w:rsidR="00470B19" w:rsidRDefault="009E1518">
            <w:r>
              <w:t>No</w:t>
            </w:r>
          </w:p>
        </w:tc>
        <w:tc>
          <w:tcPr>
            <w:tcW w:w="2340" w:type="dxa"/>
          </w:tcPr>
          <w:p w14:paraId="56052DA4" w14:textId="77777777" w:rsidR="00470B19" w:rsidRDefault="009E1518">
            <w:r>
              <w:t>Same aggregated data; company names identify legal entities, not people</w:t>
            </w:r>
          </w:p>
        </w:tc>
      </w:tr>
      <w:tr w:rsidR="00470B19" w14:paraId="56052DAA" w14:textId="77777777">
        <w:tc>
          <w:tcPr>
            <w:tcW w:w="2340" w:type="dxa"/>
          </w:tcPr>
          <w:p w14:paraId="56052DA6" w14:textId="77777777" w:rsidR="00470B19" w:rsidRDefault="009E1518">
            <w:r>
              <w:t>PSX symbol directory</w:t>
            </w:r>
          </w:p>
        </w:tc>
        <w:tc>
          <w:tcPr>
            <w:tcW w:w="2340" w:type="dxa"/>
          </w:tcPr>
          <w:p w14:paraId="56052DA7" w14:textId="77777777" w:rsidR="00470B19" w:rsidRDefault="009E1518">
            <w:r>
              <w:t>symbol, company name, sector, instrument flags</w:t>
            </w:r>
          </w:p>
        </w:tc>
        <w:tc>
          <w:tcPr>
            <w:tcW w:w="2340" w:type="dxa"/>
          </w:tcPr>
          <w:p w14:paraId="56052DA8" w14:textId="77777777" w:rsidR="00470B19" w:rsidRDefault="009E1518">
            <w:r>
              <w:t>No</w:t>
            </w:r>
          </w:p>
        </w:tc>
        <w:tc>
          <w:tcPr>
            <w:tcW w:w="2340" w:type="dxa"/>
          </w:tcPr>
          <w:p w14:paraId="56052DA9" w14:textId="77777777" w:rsidR="00470B19" w:rsidRDefault="009E1518">
            <w:r>
              <w:t>Public listing information about companies</w:t>
            </w:r>
          </w:p>
        </w:tc>
      </w:tr>
      <w:tr w:rsidR="00470B19" w14:paraId="56052DAF" w14:textId="77777777">
        <w:tc>
          <w:tcPr>
            <w:tcW w:w="2340" w:type="dxa"/>
          </w:tcPr>
          <w:p w14:paraId="56052DAB" w14:textId="77777777" w:rsidR="00470B19" w:rsidRDefault="009E1518">
            <w:r>
              <w:t>SBP Structure of Interest Rates</w:t>
            </w:r>
          </w:p>
        </w:tc>
        <w:tc>
          <w:tcPr>
            <w:tcW w:w="2340" w:type="dxa"/>
          </w:tcPr>
          <w:p w14:paraId="56052DAC" w14:textId="77777777" w:rsidR="00470B19" w:rsidRDefault="009E1518">
            <w:r>
              <w:t>Rate table, plus a contact block at the end</w:t>
            </w:r>
          </w:p>
        </w:tc>
        <w:tc>
          <w:tcPr>
            <w:tcW w:w="2340" w:type="dxa"/>
          </w:tcPr>
          <w:p w14:paraId="56052DAD" w14:textId="77777777" w:rsidR="00470B19" w:rsidRDefault="009E1518">
            <w:r>
              <w:t>Yes, limited</w:t>
            </w:r>
          </w:p>
        </w:tc>
        <w:tc>
          <w:tcPr>
            <w:tcW w:w="2340" w:type="dxa"/>
          </w:tcPr>
          <w:p w14:paraId="56052DAE" w14:textId="77777777" w:rsidR="00470B19" w:rsidRDefault="009E1518">
            <w:r>
              <w:t>Names an SBP staff member with job title, office phone and email</w:t>
            </w:r>
          </w:p>
        </w:tc>
      </w:tr>
    </w:tbl>
    <w:p w14:paraId="56052DB0" w14:textId="77777777" w:rsidR="00470B19" w:rsidRDefault="009E1518">
      <w:r>
        <w:t>The price and volume figures describe publicly traded companies as a whole. They are not personal financial details.</w:t>
      </w:r>
    </w:p>
    <w:p w14:paraId="56052DB1" w14:textId="77777777" w:rsidR="00470B19" w:rsidRDefault="009E1518">
      <w:pPr>
        <w:pStyle w:val="Heading3"/>
      </w:pPr>
      <w:r>
        <w:t>3.2 Handling Strategy</w:t>
      </w:r>
    </w:p>
    <w:p w14:paraId="56052DB2" w14:textId="77777777" w:rsidR="00470B19" w:rsidRDefault="009E1518">
      <w:pPr>
        <w:pStyle w:val="ListParagraph"/>
        <w:numPr>
          <w:ilvl w:val="0"/>
          <w:numId w:val="5"/>
        </w:numPr>
      </w:pPr>
      <w:r>
        <w:rPr>
          <w:b/>
        </w:rPr>
        <w:t>Market data (Sources 1–3):</w:t>
      </w:r>
      <w:r>
        <w:t xml:space="preserve"> no masking or hashing needed. As a safeguard, Silver keeps a fixed list of allowed columns; any unexpected new field is dropped and logged rather than carried forward.</w:t>
      </w:r>
    </w:p>
    <w:p w14:paraId="56052DB3" w14:textId="77777777" w:rsidR="00470B19" w:rsidRDefault="009E1518">
      <w:pPr>
        <w:pStyle w:val="ListParagraph"/>
        <w:numPr>
          <w:ilvl w:val="0"/>
          <w:numId w:val="5"/>
        </w:numPr>
      </w:pPr>
      <w:r>
        <w:rPr>
          <w:b/>
        </w:rPr>
        <w:t>SBP publication (Source 4):</w:t>
      </w:r>
      <w:r>
        <w:t xml:space="preserve"> Bronze keeps the original public PDF. Silver extracts only the rate table (effective dates and rates); the contact block is never parsed, so it never reaches Silver, Gold or the dashboard, and is not reproduced in our documentation.</w:t>
      </w:r>
    </w:p>
    <w:p w14:paraId="56052DB4" w14:textId="77777777" w:rsidR="00470B19" w:rsidRDefault="009E1518">
      <w:pPr>
        <w:pStyle w:val="Heading3"/>
      </w:pPr>
      <w:r>
        <w:t>3.3 Data Licensing and Terms of Use</w:t>
      </w:r>
    </w:p>
    <w:p w14:paraId="56052DB5" w14:textId="77777777" w:rsidR="00470B19" w:rsidRDefault="009E1518">
      <w:r>
        <w:t xml:space="preserve">PSX's terms of use restrict automated retrieval and prohibit redistribution or commercial use of its data without a </w:t>
      </w:r>
      <w:proofErr w:type="spellStart"/>
      <w:r>
        <w:t>licence</w:t>
      </w:r>
      <w:proofErr w:type="spellEnd"/>
      <w:r>
        <w:t>. PSX enforced this during development by refusing our automated requests (HTTP 403). Our measures:</w:t>
      </w:r>
    </w:p>
    <w:p w14:paraId="56052DB6" w14:textId="77777777" w:rsidR="00470B19" w:rsidRDefault="009E1518">
      <w:pPr>
        <w:pStyle w:val="ListParagraph"/>
        <w:numPr>
          <w:ilvl w:val="0"/>
          <w:numId w:val="6"/>
        </w:numPr>
      </w:pPr>
      <w:r>
        <w:rPr>
          <w:b/>
        </w:rPr>
        <w:t>Academic, non-commercial use only.</w:t>
      </w:r>
    </w:p>
    <w:p w14:paraId="56052DB7" w14:textId="52DE9168" w:rsidR="00470B19" w:rsidRDefault="00AB414A" w:rsidP="00AB414A">
      <w:pPr>
        <w:pStyle w:val="ListParagraph"/>
        <w:numPr>
          <w:ilvl w:val="0"/>
          <w:numId w:val="6"/>
        </w:numPr>
      </w:pPr>
      <w:r w:rsidRPr="00AB414A">
        <w:rPr>
          <w:b/>
          <w:bCs/>
        </w:rPr>
        <w:t>Limited redistribution.</w:t>
      </w:r>
      <w:r w:rsidRPr="00AB414A">
        <w:t xml:space="preserve"> The repository is public so the pipeline code can be reviewed, but it holds only small sample files (under 0.6 MB in total). Full datasets are excluded via .</w:t>
      </w:r>
      <w:proofErr w:type="spellStart"/>
      <w:r w:rsidRPr="00AB414A">
        <w:t>gitignore</w:t>
      </w:r>
      <w:proofErr w:type="spellEnd"/>
      <w:r w:rsidRPr="00AB414A">
        <w:t xml:space="preserve"> </w:t>
      </w:r>
      <w:r w:rsidRPr="00AB414A">
        <w:lastRenderedPageBreak/>
        <w:t>and never published. The README states that the data belongs to PSX and is used for academic purposes only. The dashboard shows derived analytics, not raw price files.</w:t>
      </w:r>
    </w:p>
    <w:p w14:paraId="56052DB8" w14:textId="77777777" w:rsidR="00470B19" w:rsidRDefault="009E1518">
      <w:pPr>
        <w:pStyle w:val="ListParagraph"/>
        <w:numPr>
          <w:ilvl w:val="0"/>
          <w:numId w:val="6"/>
        </w:numPr>
      </w:pPr>
      <w:r>
        <w:rPr>
          <w:b/>
        </w:rPr>
        <w:t>Minimal access.</w:t>
      </w:r>
      <w:r>
        <w:t xml:space="preserve"> One daily file per trading day, sequential requests with pauses, no aggressive retries; a refusal stops the run instead of working around the block.</w:t>
      </w:r>
    </w:p>
    <w:p w14:paraId="56052DB9" w14:textId="77777777" w:rsidR="00470B19" w:rsidRDefault="009E1518">
      <w:pPr>
        <w:pStyle w:val="ListParagraph"/>
        <w:numPr>
          <w:ilvl w:val="0"/>
          <w:numId w:val="6"/>
        </w:numPr>
      </w:pPr>
      <w:r>
        <w:rPr>
          <w:b/>
        </w:rPr>
        <w:t>Permission request.</w:t>
      </w:r>
      <w:r>
        <w:t xml:space="preserve"> We will contact PSX's market data team (</w:t>
      </w:r>
      <w:r>
        <w:rPr>
          <w:rStyle w:val="CodeChar"/>
        </w:rPr>
        <w:t>marketdatarequest@psx.com.pk</w:t>
      </w:r>
      <w:r>
        <w:t>) to request permission for academic use.</w:t>
      </w:r>
    </w:p>
    <w:p w14:paraId="56052DBA" w14:textId="77777777" w:rsidR="00470B19" w:rsidRDefault="009E1518">
      <w:pPr>
        <w:pStyle w:val="Heading3"/>
      </w:pPr>
      <w:r>
        <w:t>3.4 Credential Security</w:t>
      </w:r>
    </w:p>
    <w:p w14:paraId="56052DBB" w14:textId="77777777" w:rsidR="00470B19" w:rsidRDefault="009E1518">
      <w:r>
        <w:t xml:space="preserve">Access credentials (e.g. Databricks tokens) are never written into notebooks or committed. They live in Databricks secrets or local environment files, which </w:t>
      </w:r>
      <w:r>
        <w:rPr>
          <w:rStyle w:val="CodeChar"/>
        </w:rPr>
        <w:t>.</w:t>
      </w:r>
      <w:proofErr w:type="spellStart"/>
      <w:r>
        <w:rPr>
          <w:rStyle w:val="CodeChar"/>
        </w:rPr>
        <w:t>gitignore</w:t>
      </w:r>
      <w:proofErr w:type="spellEnd"/>
      <w:r>
        <w:t xml:space="preserve"> already excludes (</w:t>
      </w:r>
      <w:r>
        <w:rPr>
          <w:rStyle w:val="CodeChar"/>
        </w:rPr>
        <w:t>.env</w:t>
      </w:r>
      <w:r>
        <w:t xml:space="preserve">, </w:t>
      </w:r>
      <w:r>
        <w:rPr>
          <w:rStyle w:val="CodeChar"/>
        </w:rPr>
        <w:t>.</w:t>
      </w:r>
      <w:proofErr w:type="spellStart"/>
      <w:r>
        <w:rPr>
          <w:rStyle w:val="CodeChar"/>
        </w:rPr>
        <w:t>databrickscfg</w:t>
      </w:r>
      <w:proofErr w:type="spellEnd"/>
      <w:r>
        <w:t xml:space="preserve">, </w:t>
      </w:r>
      <w:r>
        <w:rPr>
          <w:rStyle w:val="CodeChar"/>
        </w:rPr>
        <w:t>secrets/</w:t>
      </w:r>
      <w:r>
        <w:t>).</w:t>
      </w:r>
    </w:p>
    <w:p w14:paraId="56052DBC" w14:textId="77777777" w:rsidR="00470B19" w:rsidRDefault="009E1518">
      <w:pPr>
        <w:pStyle w:val="Heading2"/>
      </w:pPr>
      <w:r>
        <w:t>4. High-Level Medallion Data Modeling</w:t>
      </w:r>
    </w:p>
    <w:p w14:paraId="56052DBD" w14:textId="77777777" w:rsidR="00470B19" w:rsidRDefault="009E1518">
      <w:r>
        <w:t>Bronze stores data exactly as received, Silver turns two differently shaped sources into one trustworthy company-day table, and Gold is a star schema of risk metrics for Power BI. Each Silver step answers a problem found in our real data.</w:t>
      </w:r>
    </w:p>
    <w:p w14:paraId="56052DBE" w14:textId="77777777" w:rsidR="00470B19" w:rsidRDefault="009E1518">
      <w:pPr>
        <w:pStyle w:val="Heading3"/>
      </w:pPr>
      <w:r>
        <w:t>4.1 Bronze Layer</w:t>
      </w:r>
    </w:p>
    <w:p w14:paraId="56052DBF" w14:textId="77777777" w:rsidR="00470B19" w:rsidRDefault="009E1518">
      <w:r>
        <w:t xml:space="preserve">Downloaded files are first saved unchanged to a Databricks Volume by source and date (e.g. </w:t>
      </w:r>
      <w:r>
        <w:rPr>
          <w:rStyle w:val="CodeChar"/>
        </w:rPr>
        <w:t>landing/</w:t>
      </w:r>
      <w:proofErr w:type="spellStart"/>
      <w:r>
        <w:rPr>
          <w:rStyle w:val="CodeChar"/>
        </w:rPr>
        <w:t>mkt_summary</w:t>
      </w:r>
      <w:proofErr w:type="spellEnd"/>
      <w:r>
        <w:rPr>
          <w:rStyle w:val="CodeChar"/>
        </w:rPr>
        <w:t>/2026/2026-09-25.Z</w:t>
      </w:r>
      <w:r>
        <w:t>), then loaded into append-only Delta tables:</w:t>
      </w:r>
    </w:p>
    <w:tbl>
      <w:tblPr>
        <w:tblStyle w:val="TableGrid"/>
        <w:tblW w:w="0" w:type="auto"/>
        <w:tblLayout w:type="fixed"/>
        <w:tblLook w:val="0420" w:firstRow="1" w:lastRow="0" w:firstColumn="0" w:lastColumn="0" w:noHBand="0" w:noVBand="1"/>
      </w:tblPr>
      <w:tblGrid>
        <w:gridCol w:w="3120"/>
        <w:gridCol w:w="3120"/>
        <w:gridCol w:w="3120"/>
      </w:tblGrid>
      <w:tr w:rsidR="00470B19" w14:paraId="56052DC3" w14:textId="77777777">
        <w:trPr>
          <w:tblHeader/>
        </w:trPr>
        <w:tc>
          <w:tcPr>
            <w:tcW w:w="3120" w:type="dxa"/>
            <w:shd w:val="clear" w:color="auto" w:fill="F2F2F2"/>
          </w:tcPr>
          <w:p w14:paraId="56052DC0" w14:textId="77777777" w:rsidR="00470B19" w:rsidRDefault="009E1518">
            <w:r>
              <w:t>Table</w:t>
            </w:r>
          </w:p>
        </w:tc>
        <w:tc>
          <w:tcPr>
            <w:tcW w:w="3120" w:type="dxa"/>
            <w:shd w:val="clear" w:color="auto" w:fill="F2F2F2"/>
          </w:tcPr>
          <w:p w14:paraId="56052DC1" w14:textId="77777777" w:rsidR="00470B19" w:rsidRDefault="009E1518">
            <w:r>
              <w:t>Content</w:t>
            </w:r>
          </w:p>
        </w:tc>
        <w:tc>
          <w:tcPr>
            <w:tcW w:w="3120" w:type="dxa"/>
            <w:shd w:val="clear" w:color="auto" w:fill="F2F2F2"/>
          </w:tcPr>
          <w:p w14:paraId="56052DC2" w14:textId="77777777" w:rsidR="00470B19" w:rsidRDefault="009E1518">
            <w:r>
              <w:t>Partitioned by</w:t>
            </w:r>
          </w:p>
        </w:tc>
      </w:tr>
      <w:tr w:rsidR="00470B19" w14:paraId="56052DC7" w14:textId="77777777">
        <w:tc>
          <w:tcPr>
            <w:tcW w:w="3120" w:type="dxa"/>
          </w:tcPr>
          <w:p w14:paraId="56052DC4" w14:textId="77777777" w:rsidR="00470B19" w:rsidRDefault="009E1518">
            <w:proofErr w:type="spellStart"/>
            <w:r>
              <w:rPr>
                <w:rStyle w:val="CodeChar"/>
              </w:rPr>
              <w:t>bronze_psx_historical</w:t>
            </w:r>
            <w:proofErr w:type="spellEnd"/>
          </w:p>
        </w:tc>
        <w:tc>
          <w:tcPr>
            <w:tcW w:w="3120" w:type="dxa"/>
          </w:tcPr>
          <w:p w14:paraId="56052DC5" w14:textId="77777777" w:rsidR="00470B19" w:rsidRDefault="009E1518">
            <w:r>
              <w:t>Per-company history records as returned</w:t>
            </w:r>
          </w:p>
        </w:tc>
        <w:tc>
          <w:tcPr>
            <w:tcW w:w="3120" w:type="dxa"/>
          </w:tcPr>
          <w:p w14:paraId="56052DC6" w14:textId="77777777" w:rsidR="00470B19" w:rsidRDefault="009E1518">
            <w:r>
              <w:t>ingest date</w:t>
            </w:r>
          </w:p>
        </w:tc>
      </w:tr>
      <w:tr w:rsidR="00470B19" w14:paraId="56052DCB" w14:textId="77777777">
        <w:tc>
          <w:tcPr>
            <w:tcW w:w="3120" w:type="dxa"/>
          </w:tcPr>
          <w:p w14:paraId="56052DC8" w14:textId="77777777" w:rsidR="00470B19" w:rsidRDefault="009E1518">
            <w:proofErr w:type="spellStart"/>
            <w:r>
              <w:rPr>
                <w:rStyle w:val="CodeChar"/>
              </w:rPr>
              <w:t>bronze_mkt_summary</w:t>
            </w:r>
            <w:proofErr w:type="spellEnd"/>
          </w:p>
        </w:tc>
        <w:tc>
          <w:tcPr>
            <w:tcW w:w="3120" w:type="dxa"/>
          </w:tcPr>
          <w:p w14:paraId="56052DC9" w14:textId="77777777" w:rsidR="00470B19" w:rsidRDefault="009E1518">
            <w:r>
              <w:t>Each line of each daily file, unparsed</w:t>
            </w:r>
          </w:p>
        </w:tc>
        <w:tc>
          <w:tcPr>
            <w:tcW w:w="3120" w:type="dxa"/>
          </w:tcPr>
          <w:p w14:paraId="56052DCA" w14:textId="77777777" w:rsidR="00470B19" w:rsidRDefault="009E1518">
            <w:r>
              <w:t>trade date</w:t>
            </w:r>
          </w:p>
        </w:tc>
      </w:tr>
      <w:tr w:rsidR="00470B19" w14:paraId="56052DCF" w14:textId="77777777">
        <w:tc>
          <w:tcPr>
            <w:tcW w:w="3120" w:type="dxa"/>
          </w:tcPr>
          <w:p w14:paraId="56052DCC" w14:textId="77777777" w:rsidR="00470B19" w:rsidRDefault="009E1518">
            <w:proofErr w:type="spellStart"/>
            <w:r>
              <w:rPr>
                <w:rStyle w:val="CodeChar"/>
              </w:rPr>
              <w:t>bronze_symbols</w:t>
            </w:r>
            <w:proofErr w:type="spellEnd"/>
          </w:p>
        </w:tc>
        <w:tc>
          <w:tcPr>
            <w:tcW w:w="3120" w:type="dxa"/>
          </w:tcPr>
          <w:p w14:paraId="56052DCD" w14:textId="77777777" w:rsidR="00470B19" w:rsidRDefault="009E1518">
            <w:r>
              <w:t>Snapshots of the security and sector list</w:t>
            </w:r>
          </w:p>
        </w:tc>
        <w:tc>
          <w:tcPr>
            <w:tcW w:w="3120" w:type="dxa"/>
          </w:tcPr>
          <w:p w14:paraId="56052DCE" w14:textId="77777777" w:rsidR="00470B19" w:rsidRDefault="009E1518">
            <w:r>
              <w:t>snapshot date</w:t>
            </w:r>
          </w:p>
        </w:tc>
      </w:tr>
      <w:tr w:rsidR="00470B19" w14:paraId="56052DD3" w14:textId="77777777">
        <w:tc>
          <w:tcPr>
            <w:tcW w:w="3120" w:type="dxa"/>
          </w:tcPr>
          <w:p w14:paraId="56052DD0" w14:textId="77777777" w:rsidR="00470B19" w:rsidRDefault="009E1518">
            <w:proofErr w:type="spellStart"/>
            <w:r>
              <w:rPr>
                <w:rStyle w:val="CodeChar"/>
              </w:rPr>
              <w:t>bronze_sbp_rates</w:t>
            </w:r>
            <w:proofErr w:type="spellEnd"/>
          </w:p>
        </w:tc>
        <w:tc>
          <w:tcPr>
            <w:tcW w:w="3120" w:type="dxa"/>
          </w:tcPr>
          <w:p w14:paraId="56052DD1" w14:textId="77777777" w:rsidR="00470B19" w:rsidRDefault="009E1518">
            <w:r>
              <w:t>Dated copies of each SBP publication</w:t>
            </w:r>
          </w:p>
        </w:tc>
        <w:tc>
          <w:tcPr>
            <w:tcW w:w="3120" w:type="dxa"/>
          </w:tcPr>
          <w:p w14:paraId="56052DD2" w14:textId="77777777" w:rsidR="00470B19" w:rsidRDefault="009E1518">
            <w:r>
              <w:t>download date</w:t>
            </w:r>
          </w:p>
        </w:tc>
      </w:tr>
    </w:tbl>
    <w:p w14:paraId="56052DD4" w14:textId="77777777" w:rsidR="00470B19" w:rsidRDefault="009E1518">
      <w:r>
        <w:t xml:space="preserve">Every record carries </w:t>
      </w:r>
      <w:r>
        <w:rPr>
          <w:rStyle w:val="CodeChar"/>
        </w:rPr>
        <w:t>_</w:t>
      </w:r>
      <w:proofErr w:type="spellStart"/>
      <w:r>
        <w:rPr>
          <w:rStyle w:val="CodeChar"/>
        </w:rPr>
        <w:t>ingest_ts</w:t>
      </w:r>
      <w:proofErr w:type="spellEnd"/>
      <w:r>
        <w:t xml:space="preserve">, </w:t>
      </w:r>
      <w:r>
        <w:rPr>
          <w:rStyle w:val="CodeChar"/>
        </w:rPr>
        <w:t>_</w:t>
      </w:r>
      <w:proofErr w:type="spellStart"/>
      <w:r>
        <w:rPr>
          <w:rStyle w:val="CodeChar"/>
        </w:rPr>
        <w:t>batch_id</w:t>
      </w:r>
      <w:proofErr w:type="spellEnd"/>
      <w:r>
        <w:t xml:space="preserve">, </w:t>
      </w:r>
      <w:r>
        <w:rPr>
          <w:rStyle w:val="CodeChar"/>
        </w:rPr>
        <w:t>_source</w:t>
      </w:r>
      <w:r>
        <w:t xml:space="preserve"> and </w:t>
      </w:r>
      <w:r>
        <w:rPr>
          <w:rStyle w:val="CodeChar"/>
        </w:rPr>
        <w:t>_</w:t>
      </w:r>
      <w:proofErr w:type="spellStart"/>
      <w:r>
        <w:rPr>
          <w:rStyle w:val="CodeChar"/>
        </w:rPr>
        <w:t>source_file</w:t>
      </w:r>
      <w:proofErr w:type="spellEnd"/>
      <w:r>
        <w:t>, so any row traces back to its origin.</w:t>
      </w:r>
    </w:p>
    <w:p w14:paraId="56052DD5" w14:textId="77777777" w:rsidR="00470B19" w:rsidRDefault="009E1518">
      <w:r>
        <w:rPr>
          <w:b/>
        </w:rPr>
        <w:t>Ingestion safeguards:</w:t>
      </w:r>
    </w:p>
    <w:p w14:paraId="56052DD6" w14:textId="77777777" w:rsidR="00470B19" w:rsidRDefault="009E1518">
      <w:pPr>
        <w:pStyle w:val="ListParagraph"/>
        <w:numPr>
          <w:ilvl w:val="0"/>
          <w:numId w:val="7"/>
        </w:numPr>
      </w:pPr>
      <w:r>
        <w:t xml:space="preserve">Downloads are checked by content, not extension: PSX's </w:t>
      </w:r>
      <w:r>
        <w:rPr>
          <w:rStyle w:val="CodeChar"/>
        </w:rPr>
        <w:t>.Z</w:t>
      </w:r>
      <w:r>
        <w:t xml:space="preserve"> files are ZIP archives, and missing files return web error pages.</w:t>
      </w:r>
    </w:p>
    <w:p w14:paraId="56052DD7" w14:textId="77777777" w:rsidR="00470B19" w:rsidRDefault="009E1518">
      <w:pPr>
        <w:pStyle w:val="ListParagraph"/>
        <w:numPr>
          <w:ilvl w:val="0"/>
          <w:numId w:val="7"/>
        </w:numPr>
      </w:pPr>
      <w:r>
        <w:t>Caching is disabled. A cached partial trading day was once served as final (HBL, 25 Sep 2026, about a quarter of the real volume).</w:t>
      </w:r>
    </w:p>
    <w:p w14:paraId="56052DD8" w14:textId="77777777" w:rsidR="00470B19" w:rsidRDefault="009E1518">
      <w:pPr>
        <w:pStyle w:val="ListParagraph"/>
        <w:numPr>
          <w:ilvl w:val="0"/>
          <w:numId w:val="7"/>
        </w:numPr>
      </w:pPr>
      <w:r>
        <w:t>An HTTP 403 stops the run and is logged, with no aggressive retry.</w:t>
      </w:r>
    </w:p>
    <w:p w14:paraId="56052DD9" w14:textId="77777777" w:rsidR="00470B19" w:rsidRDefault="009E1518">
      <w:pPr>
        <w:pStyle w:val="Heading3"/>
      </w:pPr>
      <w:r>
        <w:lastRenderedPageBreak/>
        <w:t>4.2 Bronze to Silver: Cleaning Steps</w:t>
      </w:r>
    </w:p>
    <w:tbl>
      <w:tblPr>
        <w:tblStyle w:val="TableGrid"/>
        <w:tblW w:w="0" w:type="auto"/>
        <w:tblLayout w:type="fixed"/>
        <w:tblLook w:val="0420" w:firstRow="1" w:lastRow="0" w:firstColumn="0" w:lastColumn="0" w:noHBand="0" w:noVBand="1"/>
      </w:tblPr>
      <w:tblGrid>
        <w:gridCol w:w="2340"/>
        <w:gridCol w:w="2340"/>
        <w:gridCol w:w="2340"/>
        <w:gridCol w:w="2340"/>
      </w:tblGrid>
      <w:tr w:rsidR="00470B19" w14:paraId="56052DDE" w14:textId="77777777">
        <w:trPr>
          <w:tblHeader/>
        </w:trPr>
        <w:tc>
          <w:tcPr>
            <w:tcW w:w="2340" w:type="dxa"/>
            <w:shd w:val="clear" w:color="auto" w:fill="F2F2F2"/>
          </w:tcPr>
          <w:p w14:paraId="56052DDA" w14:textId="77777777" w:rsidR="00470B19" w:rsidRDefault="009E1518">
            <w:r>
              <w:t>#</w:t>
            </w:r>
          </w:p>
        </w:tc>
        <w:tc>
          <w:tcPr>
            <w:tcW w:w="2340" w:type="dxa"/>
            <w:shd w:val="clear" w:color="auto" w:fill="F2F2F2"/>
          </w:tcPr>
          <w:p w14:paraId="56052DDB" w14:textId="77777777" w:rsidR="00470B19" w:rsidRDefault="009E1518">
            <w:r>
              <w:t>Step</w:t>
            </w:r>
          </w:p>
        </w:tc>
        <w:tc>
          <w:tcPr>
            <w:tcW w:w="2340" w:type="dxa"/>
            <w:shd w:val="clear" w:color="auto" w:fill="F2F2F2"/>
          </w:tcPr>
          <w:p w14:paraId="56052DDC" w14:textId="77777777" w:rsidR="00470B19" w:rsidRDefault="009E1518">
            <w:r>
              <w:t>What it does</w:t>
            </w:r>
          </w:p>
        </w:tc>
        <w:tc>
          <w:tcPr>
            <w:tcW w:w="2340" w:type="dxa"/>
            <w:shd w:val="clear" w:color="auto" w:fill="F2F2F2"/>
          </w:tcPr>
          <w:p w14:paraId="56052DDD" w14:textId="77777777" w:rsidR="00470B19" w:rsidRDefault="009E1518">
            <w:r>
              <w:t>Evidence from our data</w:t>
            </w:r>
          </w:p>
        </w:tc>
      </w:tr>
      <w:tr w:rsidR="00470B19" w14:paraId="56052DE3" w14:textId="77777777">
        <w:tc>
          <w:tcPr>
            <w:tcW w:w="2340" w:type="dxa"/>
          </w:tcPr>
          <w:p w14:paraId="56052DDF" w14:textId="77777777" w:rsidR="00470B19" w:rsidRDefault="009E1518">
            <w:r>
              <w:t>1</w:t>
            </w:r>
          </w:p>
        </w:tc>
        <w:tc>
          <w:tcPr>
            <w:tcW w:w="2340" w:type="dxa"/>
          </w:tcPr>
          <w:p w14:paraId="56052DE0" w14:textId="77777777" w:rsidR="00470B19" w:rsidRDefault="009E1518">
            <w:r>
              <w:t>Parse</w:t>
            </w:r>
          </w:p>
        </w:tc>
        <w:tc>
          <w:tcPr>
            <w:tcW w:w="2340" w:type="dxa"/>
          </w:tcPr>
          <w:p w14:paraId="56052DE1" w14:textId="77777777" w:rsidR="00470B19" w:rsidRDefault="009E1518">
            <w:r>
              <w:t>Split daily lines on the pipe character, drop three empty trailing columns, name columns</w:t>
            </w:r>
          </w:p>
        </w:tc>
        <w:tc>
          <w:tcPr>
            <w:tcW w:w="2340" w:type="dxa"/>
          </w:tcPr>
          <w:p w14:paraId="56052DE2" w14:textId="77777777" w:rsidR="00470B19" w:rsidRDefault="009E1518">
            <w:r>
              <w:t>No header row; ten meaningful columns</w:t>
            </w:r>
          </w:p>
        </w:tc>
      </w:tr>
      <w:tr w:rsidR="00470B19" w14:paraId="56052DE8" w14:textId="77777777">
        <w:tc>
          <w:tcPr>
            <w:tcW w:w="2340" w:type="dxa"/>
          </w:tcPr>
          <w:p w14:paraId="56052DE4" w14:textId="77777777" w:rsidR="00470B19" w:rsidRDefault="009E1518">
            <w:r>
              <w:t>2</w:t>
            </w:r>
          </w:p>
        </w:tc>
        <w:tc>
          <w:tcPr>
            <w:tcW w:w="2340" w:type="dxa"/>
          </w:tcPr>
          <w:p w14:paraId="56052DE5" w14:textId="77777777" w:rsidR="00470B19" w:rsidRDefault="009E1518">
            <w:r>
              <w:t>Cast types</w:t>
            </w:r>
          </w:p>
        </w:tc>
        <w:tc>
          <w:tcPr>
            <w:tcW w:w="2340" w:type="dxa"/>
          </w:tcPr>
          <w:p w14:paraId="56052DE6" w14:textId="77777777" w:rsidR="00470B19" w:rsidRDefault="009E1518">
            <w:r>
              <w:rPr>
                <w:rStyle w:val="CodeChar"/>
              </w:rPr>
              <w:t>25SEP2026</w:t>
            </w:r>
            <w:r>
              <w:t xml:space="preserve"> to date; prices to decimal; volume to integer</w:t>
            </w:r>
          </w:p>
        </w:tc>
        <w:tc>
          <w:tcPr>
            <w:tcW w:w="2340" w:type="dxa"/>
          </w:tcPr>
          <w:p w14:paraId="56052DE7" w14:textId="77777777" w:rsidR="00470B19" w:rsidRDefault="009E1518">
            <w:r>
              <w:t>Everything arrives as text</w:t>
            </w:r>
          </w:p>
        </w:tc>
      </w:tr>
      <w:tr w:rsidR="00470B19" w14:paraId="56052DED" w14:textId="77777777">
        <w:tc>
          <w:tcPr>
            <w:tcW w:w="2340" w:type="dxa"/>
          </w:tcPr>
          <w:p w14:paraId="56052DE9" w14:textId="77777777" w:rsidR="00470B19" w:rsidRDefault="009E1518">
            <w:r>
              <w:t>3</w:t>
            </w:r>
          </w:p>
        </w:tc>
        <w:tc>
          <w:tcPr>
            <w:tcW w:w="2340" w:type="dxa"/>
          </w:tcPr>
          <w:p w14:paraId="56052DEA" w14:textId="77777777" w:rsidR="00470B19" w:rsidRDefault="009E1518">
            <w:r>
              <w:t>Filter to equities</w:t>
            </w:r>
          </w:p>
        </w:tc>
        <w:tc>
          <w:tcPr>
            <w:tcW w:w="2340" w:type="dxa"/>
          </w:tcPr>
          <w:p w14:paraId="56052DEB" w14:textId="77777777" w:rsidR="00470B19" w:rsidRDefault="009E1518">
            <w:r>
              <w:t xml:space="preserve">Drop futures (symbols with </w:t>
            </w:r>
            <w:r>
              <w:rPr>
                <w:rStyle w:val="CodeChar"/>
              </w:rPr>
              <w:t>-</w:t>
            </w:r>
            <w:r>
              <w:t>, sector codes 40/41), ETFs and debt</w:t>
            </w:r>
          </w:p>
        </w:tc>
        <w:tc>
          <w:tcPr>
            <w:tcW w:w="2340" w:type="dxa"/>
          </w:tcPr>
          <w:p w14:paraId="56052DEC" w14:textId="77777777" w:rsidR="00470B19" w:rsidRDefault="009E1518">
            <w:r>
              <w:t>557 of 1,068 rows on 25 Sep were futures</w:t>
            </w:r>
          </w:p>
        </w:tc>
      </w:tr>
      <w:tr w:rsidR="00470B19" w14:paraId="56052DF2" w14:textId="77777777">
        <w:tc>
          <w:tcPr>
            <w:tcW w:w="2340" w:type="dxa"/>
          </w:tcPr>
          <w:p w14:paraId="56052DEE" w14:textId="77777777" w:rsidR="00470B19" w:rsidRDefault="009E1518">
            <w:r>
              <w:t>4</w:t>
            </w:r>
          </w:p>
        </w:tc>
        <w:tc>
          <w:tcPr>
            <w:tcW w:w="2340" w:type="dxa"/>
          </w:tcPr>
          <w:p w14:paraId="56052DEF" w14:textId="77777777" w:rsidR="00470B19" w:rsidRDefault="009E1518">
            <w:r>
              <w:t>Conform and merge</w:t>
            </w:r>
          </w:p>
        </w:tc>
        <w:tc>
          <w:tcPr>
            <w:tcW w:w="2340" w:type="dxa"/>
          </w:tcPr>
          <w:p w14:paraId="56052DF0" w14:textId="77777777" w:rsidR="00470B19" w:rsidRDefault="009E1518">
            <w:r>
              <w:t>Map both sources to one schema and combine</w:t>
            </w:r>
          </w:p>
        </w:tc>
        <w:tc>
          <w:tcPr>
            <w:tcW w:w="2340" w:type="dxa"/>
          </w:tcPr>
          <w:p w14:paraId="56052DF1" w14:textId="77777777" w:rsidR="00470B19" w:rsidRDefault="009E1518">
            <w:r>
              <w:t>Per-company history vs per-day snapshots</w:t>
            </w:r>
          </w:p>
        </w:tc>
      </w:tr>
      <w:tr w:rsidR="00470B19" w14:paraId="56052DF7" w14:textId="77777777">
        <w:tc>
          <w:tcPr>
            <w:tcW w:w="2340" w:type="dxa"/>
          </w:tcPr>
          <w:p w14:paraId="56052DF3" w14:textId="77777777" w:rsidR="00470B19" w:rsidRDefault="009E1518">
            <w:r>
              <w:t>5</w:t>
            </w:r>
          </w:p>
        </w:tc>
        <w:tc>
          <w:tcPr>
            <w:tcW w:w="2340" w:type="dxa"/>
          </w:tcPr>
          <w:p w14:paraId="56052DF4" w14:textId="77777777" w:rsidR="00470B19" w:rsidRDefault="009E1518">
            <w:r>
              <w:t>Deduplicate</w:t>
            </w:r>
          </w:p>
        </w:tc>
        <w:tc>
          <w:tcPr>
            <w:tcW w:w="2340" w:type="dxa"/>
          </w:tcPr>
          <w:p w14:paraId="56052DF5" w14:textId="77777777" w:rsidR="00470B19" w:rsidRDefault="009E1518">
            <w:r>
              <w:t>One row per (symbol, date); the official daily file wins on overlap</w:t>
            </w:r>
          </w:p>
        </w:tc>
        <w:tc>
          <w:tcPr>
            <w:tcW w:w="2340" w:type="dxa"/>
          </w:tcPr>
          <w:p w14:paraId="56052DF6" w14:textId="77777777" w:rsidR="00470B19" w:rsidRDefault="009E1518">
            <w:r>
              <w:t>KSE-100 repeated 22 Jan 2024</w:t>
            </w:r>
          </w:p>
        </w:tc>
      </w:tr>
      <w:tr w:rsidR="00470B19" w14:paraId="56052DFC" w14:textId="77777777">
        <w:tc>
          <w:tcPr>
            <w:tcW w:w="2340" w:type="dxa"/>
          </w:tcPr>
          <w:p w14:paraId="56052DF8" w14:textId="77777777" w:rsidR="00470B19" w:rsidRDefault="009E1518">
            <w:r>
              <w:t>6</w:t>
            </w:r>
          </w:p>
        </w:tc>
        <w:tc>
          <w:tcPr>
            <w:tcW w:w="2340" w:type="dxa"/>
          </w:tcPr>
          <w:p w14:paraId="56052DF9" w14:textId="77777777" w:rsidR="00470B19" w:rsidRDefault="009E1518">
            <w:r>
              <w:t>Reconcile</w:t>
            </w:r>
          </w:p>
        </w:tc>
        <w:tc>
          <w:tcPr>
            <w:tcW w:w="2340" w:type="dxa"/>
          </w:tcPr>
          <w:p w14:paraId="56052DFA" w14:textId="77777777" w:rsidR="00470B19" w:rsidRDefault="009E1518">
            <w:r>
              <w:t>Compare overlapping records; log disagreements</w:t>
            </w:r>
          </w:p>
        </w:tc>
        <w:tc>
          <w:tcPr>
            <w:tcW w:w="2340" w:type="dxa"/>
          </w:tcPr>
          <w:p w14:paraId="56052DFB" w14:textId="77777777" w:rsidR="00470B19" w:rsidRDefault="009E1518">
            <w:r>
              <w:t>Cached HBL record differed until fixed</w:t>
            </w:r>
          </w:p>
        </w:tc>
      </w:tr>
      <w:tr w:rsidR="00470B19" w14:paraId="56052E01" w14:textId="77777777">
        <w:tc>
          <w:tcPr>
            <w:tcW w:w="2340" w:type="dxa"/>
          </w:tcPr>
          <w:p w14:paraId="56052DFD" w14:textId="77777777" w:rsidR="00470B19" w:rsidRDefault="009E1518">
            <w:r>
              <w:t>7</w:t>
            </w:r>
          </w:p>
        </w:tc>
        <w:tc>
          <w:tcPr>
            <w:tcW w:w="2340" w:type="dxa"/>
          </w:tcPr>
          <w:p w14:paraId="56052DFE" w14:textId="77777777" w:rsidR="00470B19" w:rsidRDefault="009E1518">
            <w:r>
              <w:t>Validate and flag</w:t>
            </w:r>
          </w:p>
        </w:tc>
        <w:tc>
          <w:tcPr>
            <w:tcW w:w="2340" w:type="dxa"/>
          </w:tcPr>
          <w:p w14:paraId="56052DFF" w14:textId="77777777" w:rsidR="00470B19" w:rsidRDefault="009E1518">
            <w:r>
              <w:t>Flag closes outside the day's range, carried-forward closes, missing or non-positive prices; flagged rows kept</w:t>
            </w:r>
          </w:p>
        </w:tc>
        <w:tc>
          <w:tcPr>
            <w:tcW w:w="2340" w:type="dxa"/>
          </w:tcPr>
          <w:p w14:paraId="56052E00" w14:textId="77777777" w:rsidR="00470B19" w:rsidRDefault="009E1518">
            <w:r>
              <w:t>23 thinly traded securities on 25 Sep</w:t>
            </w:r>
          </w:p>
        </w:tc>
      </w:tr>
      <w:tr w:rsidR="00470B19" w14:paraId="56052E06" w14:textId="77777777">
        <w:tc>
          <w:tcPr>
            <w:tcW w:w="2340" w:type="dxa"/>
          </w:tcPr>
          <w:p w14:paraId="56052E02" w14:textId="77777777" w:rsidR="00470B19" w:rsidRDefault="009E1518">
            <w:r>
              <w:t>8</w:t>
            </w:r>
          </w:p>
        </w:tc>
        <w:tc>
          <w:tcPr>
            <w:tcW w:w="2340" w:type="dxa"/>
          </w:tcPr>
          <w:p w14:paraId="56052E03" w14:textId="77777777" w:rsidR="00470B19" w:rsidRDefault="009E1518">
            <w:r>
              <w:t>Detect corporate actions</w:t>
            </w:r>
          </w:p>
        </w:tc>
        <w:tc>
          <w:tcPr>
            <w:tcW w:w="2340" w:type="dxa"/>
          </w:tcPr>
          <w:p w14:paraId="56052E04" w14:textId="77777777" w:rsidR="00470B19" w:rsidRDefault="009E1518">
            <w:r>
              <w:t>Flag moves far beyond PSX's daily limit (normal days stay within about ±10%), estimate the ratio</w:t>
            </w:r>
          </w:p>
        </w:tc>
        <w:tc>
          <w:tcPr>
            <w:tcW w:w="2340" w:type="dxa"/>
          </w:tcPr>
          <w:p w14:paraId="56052E05" w14:textId="77777777" w:rsidR="00470B19" w:rsidRDefault="009E1518">
            <w:r>
              <w:t>LUCK: 1,751.45 to 358.88 PKR on 28 Apr 2025</w:t>
            </w:r>
          </w:p>
        </w:tc>
      </w:tr>
      <w:tr w:rsidR="00470B19" w14:paraId="56052E0B" w14:textId="77777777">
        <w:tc>
          <w:tcPr>
            <w:tcW w:w="2340" w:type="dxa"/>
          </w:tcPr>
          <w:p w14:paraId="56052E07" w14:textId="77777777" w:rsidR="00470B19" w:rsidRDefault="009E1518">
            <w:r>
              <w:t>9</w:t>
            </w:r>
          </w:p>
        </w:tc>
        <w:tc>
          <w:tcPr>
            <w:tcW w:w="2340" w:type="dxa"/>
          </w:tcPr>
          <w:p w14:paraId="56052E08" w14:textId="77777777" w:rsidR="00470B19" w:rsidRDefault="009E1518">
            <w:r>
              <w:t>Adjust prices</w:t>
            </w:r>
          </w:p>
        </w:tc>
        <w:tc>
          <w:tcPr>
            <w:tcW w:w="2340" w:type="dxa"/>
          </w:tcPr>
          <w:p w14:paraId="56052E09" w14:textId="77777777" w:rsidR="00470B19" w:rsidRDefault="009E1518">
            <w:r>
              <w:t>Adjusted prices and volumes before each action; originals kept</w:t>
            </w:r>
          </w:p>
        </w:tc>
        <w:tc>
          <w:tcPr>
            <w:tcW w:w="2340" w:type="dxa"/>
          </w:tcPr>
          <w:p w14:paraId="56052E0A" w14:textId="77777777" w:rsidR="00470B19" w:rsidRDefault="009E1518">
            <w:r>
              <w:t>LUCK daily return volatility fell from 4.5% to 2.1%</w:t>
            </w:r>
          </w:p>
        </w:tc>
      </w:tr>
      <w:tr w:rsidR="00470B19" w14:paraId="56052E10" w14:textId="77777777">
        <w:tc>
          <w:tcPr>
            <w:tcW w:w="2340" w:type="dxa"/>
          </w:tcPr>
          <w:p w14:paraId="56052E0C" w14:textId="77777777" w:rsidR="00470B19" w:rsidRDefault="009E1518">
            <w:r>
              <w:t>10</w:t>
            </w:r>
          </w:p>
        </w:tc>
        <w:tc>
          <w:tcPr>
            <w:tcW w:w="2340" w:type="dxa"/>
          </w:tcPr>
          <w:p w14:paraId="56052E0D" w14:textId="77777777" w:rsidR="00470B19" w:rsidRDefault="009E1518">
            <w:r>
              <w:t>Compute returns</w:t>
            </w:r>
          </w:p>
        </w:tc>
        <w:tc>
          <w:tcPr>
            <w:tcW w:w="2340" w:type="dxa"/>
          </w:tcPr>
          <w:p w14:paraId="56052E0E" w14:textId="77777777" w:rsidR="00470B19" w:rsidRDefault="009E1518">
            <w:r>
              <w:t xml:space="preserve">Daily log returns on adjusted closes, sorted </w:t>
            </w:r>
            <w:r>
              <w:lastRenderedPageBreak/>
              <w:t>oldest-first</w:t>
            </w:r>
          </w:p>
        </w:tc>
        <w:tc>
          <w:tcPr>
            <w:tcW w:w="2340" w:type="dxa"/>
          </w:tcPr>
          <w:p w14:paraId="56052E0F" w14:textId="77777777" w:rsidR="00470B19" w:rsidRDefault="009E1518">
            <w:r>
              <w:lastRenderedPageBreak/>
              <w:t>Raw data arrives newest-first</w:t>
            </w:r>
          </w:p>
        </w:tc>
      </w:tr>
      <w:tr w:rsidR="00470B19" w14:paraId="56052E15" w14:textId="77777777">
        <w:tc>
          <w:tcPr>
            <w:tcW w:w="2340" w:type="dxa"/>
          </w:tcPr>
          <w:p w14:paraId="56052E11" w14:textId="77777777" w:rsidR="00470B19" w:rsidRDefault="009E1518">
            <w:r>
              <w:t>11</w:t>
            </w:r>
          </w:p>
        </w:tc>
        <w:tc>
          <w:tcPr>
            <w:tcW w:w="2340" w:type="dxa"/>
          </w:tcPr>
          <w:p w14:paraId="56052E12" w14:textId="77777777" w:rsidR="00470B19" w:rsidRDefault="009E1518">
            <w:r>
              <w:t>Track trading gaps</w:t>
            </w:r>
          </w:p>
        </w:tc>
        <w:tc>
          <w:tcPr>
            <w:tcW w:w="2340" w:type="dxa"/>
          </w:tcPr>
          <w:p w14:paraId="56052E13" w14:textId="77777777" w:rsidR="00470B19" w:rsidRDefault="009E1518">
            <w:r>
              <w:t>Days since each company's previous trade</w:t>
            </w:r>
          </w:p>
        </w:tc>
        <w:tc>
          <w:tcPr>
            <w:tcW w:w="2340" w:type="dxa"/>
          </w:tcPr>
          <w:p w14:paraId="56052E14" w14:textId="77777777" w:rsidR="00470B19" w:rsidRDefault="009E1518">
            <w:r>
              <w:t>Multi-day LUCK suspension</w:t>
            </w:r>
          </w:p>
        </w:tc>
      </w:tr>
    </w:tbl>
    <w:p w14:paraId="56052E16" w14:textId="77777777" w:rsidR="00470B19" w:rsidRDefault="009E1518">
      <w:r>
        <w:t>Incremental runs merge on (symbol, trade date), so reruns never duplicate. A newly detected corporate action triggers recalculation of that company's full history.</w:t>
      </w:r>
    </w:p>
    <w:p w14:paraId="56052E17" w14:textId="77777777" w:rsidR="00470B19" w:rsidRDefault="009E1518">
      <w:pPr>
        <w:pStyle w:val="Heading3"/>
      </w:pPr>
      <w:r>
        <w:t>4.3 Silver Data Model</w:t>
      </w:r>
    </w:p>
    <w:tbl>
      <w:tblPr>
        <w:tblStyle w:val="TableGrid"/>
        <w:tblW w:w="0" w:type="auto"/>
        <w:tblLayout w:type="fixed"/>
        <w:tblLook w:val="0420" w:firstRow="1" w:lastRow="0" w:firstColumn="0" w:lastColumn="0" w:noHBand="0" w:noVBand="1"/>
      </w:tblPr>
      <w:tblGrid>
        <w:gridCol w:w="3120"/>
        <w:gridCol w:w="3120"/>
        <w:gridCol w:w="3120"/>
      </w:tblGrid>
      <w:tr w:rsidR="00470B19" w14:paraId="56052E1B" w14:textId="77777777">
        <w:trPr>
          <w:tblHeader/>
        </w:trPr>
        <w:tc>
          <w:tcPr>
            <w:tcW w:w="3120" w:type="dxa"/>
            <w:shd w:val="clear" w:color="auto" w:fill="F2F2F2"/>
          </w:tcPr>
          <w:p w14:paraId="56052E18" w14:textId="77777777" w:rsidR="00470B19" w:rsidRDefault="009E1518">
            <w:r>
              <w:t>Table</w:t>
            </w:r>
          </w:p>
        </w:tc>
        <w:tc>
          <w:tcPr>
            <w:tcW w:w="3120" w:type="dxa"/>
            <w:shd w:val="clear" w:color="auto" w:fill="F2F2F2"/>
          </w:tcPr>
          <w:p w14:paraId="56052E19" w14:textId="77777777" w:rsidR="00470B19" w:rsidRDefault="009E1518">
            <w:r>
              <w:t>One row per</w:t>
            </w:r>
          </w:p>
        </w:tc>
        <w:tc>
          <w:tcPr>
            <w:tcW w:w="3120" w:type="dxa"/>
            <w:shd w:val="clear" w:color="auto" w:fill="F2F2F2"/>
          </w:tcPr>
          <w:p w14:paraId="56052E1A" w14:textId="77777777" w:rsidR="00470B19" w:rsidRDefault="009E1518">
            <w:r>
              <w:t>Key columns</w:t>
            </w:r>
          </w:p>
        </w:tc>
      </w:tr>
      <w:tr w:rsidR="00470B19" w14:paraId="56052E1F" w14:textId="77777777">
        <w:tc>
          <w:tcPr>
            <w:tcW w:w="3120" w:type="dxa"/>
          </w:tcPr>
          <w:p w14:paraId="56052E1C" w14:textId="77777777" w:rsidR="00470B19" w:rsidRDefault="009E1518">
            <w:proofErr w:type="spellStart"/>
            <w:r>
              <w:rPr>
                <w:rStyle w:val="CodeChar"/>
              </w:rPr>
              <w:t>silver_daily_prices</w:t>
            </w:r>
            <w:proofErr w:type="spellEnd"/>
          </w:p>
        </w:tc>
        <w:tc>
          <w:tcPr>
            <w:tcW w:w="3120" w:type="dxa"/>
          </w:tcPr>
          <w:p w14:paraId="56052E1D" w14:textId="77777777" w:rsidR="00470B19" w:rsidRDefault="009E1518">
            <w:r>
              <w:t>company × trading day</w:t>
            </w:r>
          </w:p>
        </w:tc>
        <w:tc>
          <w:tcPr>
            <w:tcW w:w="3120" w:type="dxa"/>
          </w:tcPr>
          <w:p w14:paraId="56052E1E" w14:textId="77777777" w:rsidR="00470B19" w:rsidRDefault="009E1518">
            <w:r>
              <w:t xml:space="preserve">symbol, </w:t>
            </w:r>
            <w:proofErr w:type="spellStart"/>
            <w:r>
              <w:t>trade_date</w:t>
            </w:r>
            <w:proofErr w:type="spellEnd"/>
            <w:r>
              <w:t>, original and adjusted OHLC, volume, adjusted volume, previous close, log return, days since last trade, source, quality flags</w:t>
            </w:r>
          </w:p>
        </w:tc>
      </w:tr>
      <w:tr w:rsidR="00470B19" w14:paraId="56052E23" w14:textId="77777777">
        <w:tc>
          <w:tcPr>
            <w:tcW w:w="3120" w:type="dxa"/>
          </w:tcPr>
          <w:p w14:paraId="56052E20" w14:textId="77777777" w:rsidR="00470B19" w:rsidRDefault="009E1518">
            <w:proofErr w:type="spellStart"/>
            <w:r>
              <w:rPr>
                <w:rStyle w:val="CodeChar"/>
              </w:rPr>
              <w:t>silver_index_daily</w:t>
            </w:r>
            <w:proofErr w:type="spellEnd"/>
          </w:p>
        </w:tc>
        <w:tc>
          <w:tcPr>
            <w:tcW w:w="3120" w:type="dxa"/>
          </w:tcPr>
          <w:p w14:paraId="56052E21" w14:textId="77777777" w:rsidR="00470B19" w:rsidRDefault="009E1518">
            <w:r>
              <w:t>index × trading day</w:t>
            </w:r>
          </w:p>
        </w:tc>
        <w:tc>
          <w:tcPr>
            <w:tcW w:w="3120" w:type="dxa"/>
          </w:tcPr>
          <w:p w14:paraId="56052E22" w14:textId="77777777" w:rsidR="00470B19" w:rsidRDefault="009E1518">
            <w:r>
              <w:t xml:space="preserve">index name, </w:t>
            </w:r>
            <w:proofErr w:type="spellStart"/>
            <w:r>
              <w:t>trade_date</w:t>
            </w:r>
            <w:proofErr w:type="spellEnd"/>
            <w:r>
              <w:t>, OHLC, volume, log return</w:t>
            </w:r>
          </w:p>
        </w:tc>
      </w:tr>
      <w:tr w:rsidR="00470B19" w14:paraId="56052E27" w14:textId="77777777">
        <w:tc>
          <w:tcPr>
            <w:tcW w:w="3120" w:type="dxa"/>
          </w:tcPr>
          <w:p w14:paraId="56052E24" w14:textId="77777777" w:rsidR="00470B19" w:rsidRDefault="009E1518">
            <w:proofErr w:type="spellStart"/>
            <w:r>
              <w:rPr>
                <w:rStyle w:val="CodeChar"/>
              </w:rPr>
              <w:t>silver_securities</w:t>
            </w:r>
            <w:proofErr w:type="spellEnd"/>
          </w:p>
        </w:tc>
        <w:tc>
          <w:tcPr>
            <w:tcW w:w="3120" w:type="dxa"/>
          </w:tcPr>
          <w:p w14:paraId="56052E25" w14:textId="77777777" w:rsidR="00470B19" w:rsidRDefault="009E1518">
            <w:r>
              <w:t>security</w:t>
            </w:r>
          </w:p>
        </w:tc>
        <w:tc>
          <w:tcPr>
            <w:tcW w:w="3120" w:type="dxa"/>
          </w:tcPr>
          <w:p w14:paraId="56052E26" w14:textId="77777777" w:rsidR="00470B19" w:rsidRDefault="009E1518">
            <w:r>
              <w:t>symbol, name, sector code and name, instrument type, status, first and last trading date</w:t>
            </w:r>
          </w:p>
        </w:tc>
      </w:tr>
      <w:tr w:rsidR="00470B19" w14:paraId="56052E2B" w14:textId="77777777">
        <w:tc>
          <w:tcPr>
            <w:tcW w:w="3120" w:type="dxa"/>
          </w:tcPr>
          <w:p w14:paraId="56052E28" w14:textId="77777777" w:rsidR="00470B19" w:rsidRDefault="009E1518">
            <w:proofErr w:type="spellStart"/>
            <w:r>
              <w:rPr>
                <w:rStyle w:val="CodeChar"/>
              </w:rPr>
              <w:t>silver_corporate_actions</w:t>
            </w:r>
            <w:proofErr w:type="spellEnd"/>
          </w:p>
        </w:tc>
        <w:tc>
          <w:tcPr>
            <w:tcW w:w="3120" w:type="dxa"/>
          </w:tcPr>
          <w:p w14:paraId="56052E29" w14:textId="77777777" w:rsidR="00470B19" w:rsidRDefault="009E1518">
            <w:r>
              <w:t>corporate action</w:t>
            </w:r>
          </w:p>
        </w:tc>
        <w:tc>
          <w:tcPr>
            <w:tcW w:w="3120" w:type="dxa"/>
          </w:tcPr>
          <w:p w14:paraId="56052E2A" w14:textId="77777777" w:rsidR="00470B19" w:rsidRDefault="009E1518">
            <w:r>
              <w:t>symbol, effective date, ratio, detection method and date</w:t>
            </w:r>
          </w:p>
        </w:tc>
      </w:tr>
      <w:tr w:rsidR="00470B19" w14:paraId="56052E2F" w14:textId="77777777">
        <w:tc>
          <w:tcPr>
            <w:tcW w:w="3120" w:type="dxa"/>
          </w:tcPr>
          <w:p w14:paraId="56052E2C" w14:textId="77777777" w:rsidR="00470B19" w:rsidRDefault="009E1518">
            <w:proofErr w:type="spellStart"/>
            <w:r>
              <w:rPr>
                <w:rStyle w:val="CodeChar"/>
              </w:rPr>
              <w:t>silver_policy_rates</w:t>
            </w:r>
            <w:proofErr w:type="spellEnd"/>
          </w:p>
        </w:tc>
        <w:tc>
          <w:tcPr>
            <w:tcW w:w="3120" w:type="dxa"/>
          </w:tcPr>
          <w:p w14:paraId="56052E2D" w14:textId="77777777" w:rsidR="00470B19" w:rsidRDefault="009E1518">
            <w:r>
              <w:t>rate decision</w:t>
            </w:r>
          </w:p>
        </w:tc>
        <w:tc>
          <w:tcPr>
            <w:tcW w:w="3120" w:type="dxa"/>
          </w:tcPr>
          <w:p w14:paraId="56052E2E" w14:textId="77777777" w:rsidR="00470B19" w:rsidRDefault="009E1518">
            <w:r>
              <w:t>effective date, policy rate, corridor ceiling and floor, change in basis points</w:t>
            </w:r>
          </w:p>
        </w:tc>
      </w:tr>
      <w:tr w:rsidR="00470B19" w14:paraId="56052E33" w14:textId="77777777">
        <w:tc>
          <w:tcPr>
            <w:tcW w:w="3120" w:type="dxa"/>
          </w:tcPr>
          <w:p w14:paraId="56052E30" w14:textId="77777777" w:rsidR="00470B19" w:rsidRDefault="009E1518">
            <w:proofErr w:type="spellStart"/>
            <w:r>
              <w:rPr>
                <w:rStyle w:val="CodeChar"/>
              </w:rPr>
              <w:t>silver_dq_log</w:t>
            </w:r>
            <w:proofErr w:type="spellEnd"/>
          </w:p>
        </w:tc>
        <w:tc>
          <w:tcPr>
            <w:tcW w:w="3120" w:type="dxa"/>
          </w:tcPr>
          <w:p w14:paraId="56052E31" w14:textId="77777777" w:rsidR="00470B19" w:rsidRDefault="009E1518">
            <w:r>
              <w:t>data-quality issue</w:t>
            </w:r>
          </w:p>
        </w:tc>
        <w:tc>
          <w:tcPr>
            <w:tcW w:w="3120" w:type="dxa"/>
          </w:tcPr>
          <w:p w14:paraId="56052E32" w14:textId="77777777" w:rsidR="00470B19" w:rsidRDefault="009E1518">
            <w:r>
              <w:t>issue type, symbol, trade date, details, batch ID</w:t>
            </w:r>
          </w:p>
        </w:tc>
      </w:tr>
    </w:tbl>
    <w:p w14:paraId="56052E34" w14:textId="77777777" w:rsidR="00470B19" w:rsidRDefault="009E1518">
      <w:proofErr w:type="spellStart"/>
      <w:r>
        <w:rPr>
          <w:rStyle w:val="CodeChar"/>
        </w:rPr>
        <w:t>silver_daily_prices</w:t>
      </w:r>
      <w:proofErr w:type="spellEnd"/>
      <w:r>
        <w:t xml:space="preserve"> is partitioned by year. Companies leaving the security list are marked inactive, never deleted.</w:t>
      </w:r>
    </w:p>
    <w:p w14:paraId="56052E35" w14:textId="77777777" w:rsidR="00470B19" w:rsidRDefault="009E1518">
      <w:pPr>
        <w:pStyle w:val="Heading3"/>
      </w:pPr>
      <w:r>
        <w:t>4.4 Gold Layer</w:t>
      </w:r>
    </w:p>
    <w:p w14:paraId="56052E36" w14:textId="77777777" w:rsidR="00470B19" w:rsidRDefault="009E1518">
      <w:r>
        <w:t>A star schema: measurement tables linked to shared descriptive tables.</w:t>
      </w:r>
    </w:p>
    <w:tbl>
      <w:tblPr>
        <w:tblStyle w:val="TableGrid"/>
        <w:tblW w:w="0" w:type="auto"/>
        <w:tblLayout w:type="fixed"/>
        <w:tblLook w:val="0420" w:firstRow="1" w:lastRow="0" w:firstColumn="0" w:lastColumn="0" w:noHBand="0" w:noVBand="1"/>
      </w:tblPr>
      <w:tblGrid>
        <w:gridCol w:w="2340"/>
        <w:gridCol w:w="2340"/>
        <w:gridCol w:w="2340"/>
        <w:gridCol w:w="2340"/>
      </w:tblGrid>
      <w:tr w:rsidR="00470B19" w14:paraId="56052E3B" w14:textId="77777777">
        <w:trPr>
          <w:tblHeader/>
        </w:trPr>
        <w:tc>
          <w:tcPr>
            <w:tcW w:w="2340" w:type="dxa"/>
            <w:shd w:val="clear" w:color="auto" w:fill="F2F2F2"/>
          </w:tcPr>
          <w:p w14:paraId="56052E37" w14:textId="77777777" w:rsidR="00470B19" w:rsidRDefault="009E1518">
            <w:r>
              <w:t>Table</w:t>
            </w:r>
          </w:p>
        </w:tc>
        <w:tc>
          <w:tcPr>
            <w:tcW w:w="2340" w:type="dxa"/>
            <w:shd w:val="clear" w:color="auto" w:fill="F2F2F2"/>
          </w:tcPr>
          <w:p w14:paraId="56052E38" w14:textId="77777777" w:rsidR="00470B19" w:rsidRDefault="009E1518">
            <w:r>
              <w:t>Type</w:t>
            </w:r>
          </w:p>
        </w:tc>
        <w:tc>
          <w:tcPr>
            <w:tcW w:w="2340" w:type="dxa"/>
            <w:shd w:val="clear" w:color="auto" w:fill="F2F2F2"/>
          </w:tcPr>
          <w:p w14:paraId="56052E39" w14:textId="77777777" w:rsidR="00470B19" w:rsidRDefault="009E1518">
            <w:r>
              <w:t>One row per</w:t>
            </w:r>
          </w:p>
        </w:tc>
        <w:tc>
          <w:tcPr>
            <w:tcW w:w="2340" w:type="dxa"/>
            <w:shd w:val="clear" w:color="auto" w:fill="F2F2F2"/>
          </w:tcPr>
          <w:p w14:paraId="56052E3A" w14:textId="77777777" w:rsidR="00470B19" w:rsidRDefault="009E1518">
            <w:r>
              <w:t>Contents</w:t>
            </w:r>
          </w:p>
        </w:tc>
      </w:tr>
      <w:tr w:rsidR="00470B19" w14:paraId="56052E40" w14:textId="77777777">
        <w:tc>
          <w:tcPr>
            <w:tcW w:w="2340" w:type="dxa"/>
          </w:tcPr>
          <w:p w14:paraId="56052E3C" w14:textId="77777777" w:rsidR="00470B19" w:rsidRDefault="009E1518">
            <w:proofErr w:type="spellStart"/>
            <w:r>
              <w:rPr>
                <w:rStyle w:val="CodeChar"/>
              </w:rPr>
              <w:t>dim_date</w:t>
            </w:r>
            <w:proofErr w:type="spellEnd"/>
          </w:p>
        </w:tc>
        <w:tc>
          <w:tcPr>
            <w:tcW w:w="2340" w:type="dxa"/>
          </w:tcPr>
          <w:p w14:paraId="56052E3D" w14:textId="77777777" w:rsidR="00470B19" w:rsidRDefault="009E1518">
            <w:r>
              <w:t>Dimension</w:t>
            </w:r>
          </w:p>
        </w:tc>
        <w:tc>
          <w:tcPr>
            <w:tcW w:w="2340" w:type="dxa"/>
          </w:tcPr>
          <w:p w14:paraId="56052E3E" w14:textId="77777777" w:rsidR="00470B19" w:rsidRDefault="009E1518">
            <w:r>
              <w:t>trading day</w:t>
            </w:r>
          </w:p>
        </w:tc>
        <w:tc>
          <w:tcPr>
            <w:tcW w:w="2340" w:type="dxa"/>
          </w:tcPr>
          <w:p w14:paraId="56052E3F" w14:textId="77777777" w:rsidR="00470B19" w:rsidRDefault="009E1518">
            <w:r>
              <w:t xml:space="preserve">Week, month, quarter, calendar year, Pakistan fiscal year (Jul–Jun), </w:t>
            </w:r>
            <w:r>
              <w:lastRenderedPageBreak/>
              <w:t>rate-decision flag</w:t>
            </w:r>
          </w:p>
        </w:tc>
      </w:tr>
      <w:tr w:rsidR="00470B19" w14:paraId="56052E45" w14:textId="77777777">
        <w:tc>
          <w:tcPr>
            <w:tcW w:w="2340" w:type="dxa"/>
          </w:tcPr>
          <w:p w14:paraId="56052E41" w14:textId="77777777" w:rsidR="00470B19" w:rsidRDefault="009E1518">
            <w:proofErr w:type="spellStart"/>
            <w:r>
              <w:rPr>
                <w:rStyle w:val="CodeChar"/>
              </w:rPr>
              <w:lastRenderedPageBreak/>
              <w:t>dim_company</w:t>
            </w:r>
            <w:proofErr w:type="spellEnd"/>
          </w:p>
        </w:tc>
        <w:tc>
          <w:tcPr>
            <w:tcW w:w="2340" w:type="dxa"/>
          </w:tcPr>
          <w:p w14:paraId="56052E42" w14:textId="77777777" w:rsidR="00470B19" w:rsidRDefault="009E1518">
            <w:r>
              <w:t>Dimension</w:t>
            </w:r>
          </w:p>
        </w:tc>
        <w:tc>
          <w:tcPr>
            <w:tcW w:w="2340" w:type="dxa"/>
          </w:tcPr>
          <w:p w14:paraId="56052E43" w14:textId="77777777" w:rsidR="00470B19" w:rsidRDefault="009E1518">
            <w:r>
              <w:t>company</w:t>
            </w:r>
          </w:p>
        </w:tc>
        <w:tc>
          <w:tcPr>
            <w:tcW w:w="2340" w:type="dxa"/>
          </w:tcPr>
          <w:p w14:paraId="56052E44" w14:textId="77777777" w:rsidR="00470B19" w:rsidRDefault="009E1518">
            <w:r>
              <w:t>Symbol, name, sector, listing status</w:t>
            </w:r>
          </w:p>
        </w:tc>
      </w:tr>
      <w:tr w:rsidR="00470B19" w14:paraId="56052E4A" w14:textId="77777777">
        <w:tc>
          <w:tcPr>
            <w:tcW w:w="2340" w:type="dxa"/>
          </w:tcPr>
          <w:p w14:paraId="56052E46" w14:textId="77777777" w:rsidR="00470B19" w:rsidRDefault="009E1518">
            <w:proofErr w:type="spellStart"/>
            <w:r>
              <w:rPr>
                <w:rStyle w:val="CodeChar"/>
              </w:rPr>
              <w:t>dim_sector</w:t>
            </w:r>
            <w:proofErr w:type="spellEnd"/>
          </w:p>
        </w:tc>
        <w:tc>
          <w:tcPr>
            <w:tcW w:w="2340" w:type="dxa"/>
          </w:tcPr>
          <w:p w14:paraId="56052E47" w14:textId="77777777" w:rsidR="00470B19" w:rsidRDefault="009E1518">
            <w:r>
              <w:t>Dimension</w:t>
            </w:r>
          </w:p>
        </w:tc>
        <w:tc>
          <w:tcPr>
            <w:tcW w:w="2340" w:type="dxa"/>
          </w:tcPr>
          <w:p w14:paraId="56052E48" w14:textId="77777777" w:rsidR="00470B19" w:rsidRDefault="009E1518">
            <w:r>
              <w:t>sector</w:t>
            </w:r>
          </w:p>
        </w:tc>
        <w:tc>
          <w:tcPr>
            <w:tcW w:w="2340" w:type="dxa"/>
          </w:tcPr>
          <w:p w14:paraId="56052E49" w14:textId="77777777" w:rsidR="00470B19" w:rsidRDefault="009E1518">
            <w:r>
              <w:t>Sector code and name</w:t>
            </w:r>
          </w:p>
        </w:tc>
      </w:tr>
      <w:tr w:rsidR="00470B19" w14:paraId="56052E4F" w14:textId="77777777">
        <w:tc>
          <w:tcPr>
            <w:tcW w:w="2340" w:type="dxa"/>
          </w:tcPr>
          <w:p w14:paraId="56052E4B" w14:textId="77777777" w:rsidR="00470B19" w:rsidRDefault="009E1518">
            <w:proofErr w:type="spellStart"/>
            <w:r>
              <w:rPr>
                <w:rStyle w:val="CodeChar"/>
              </w:rPr>
              <w:t>fact_company_risk_daily</w:t>
            </w:r>
            <w:proofErr w:type="spellEnd"/>
          </w:p>
        </w:tc>
        <w:tc>
          <w:tcPr>
            <w:tcW w:w="2340" w:type="dxa"/>
          </w:tcPr>
          <w:p w14:paraId="56052E4C" w14:textId="77777777" w:rsidR="00470B19" w:rsidRDefault="009E1518">
            <w:r>
              <w:t>Fact</w:t>
            </w:r>
          </w:p>
        </w:tc>
        <w:tc>
          <w:tcPr>
            <w:tcW w:w="2340" w:type="dxa"/>
          </w:tcPr>
          <w:p w14:paraId="56052E4D" w14:textId="77777777" w:rsidR="00470B19" w:rsidRDefault="009E1518">
            <w:r>
              <w:t>company × day</w:t>
            </w:r>
          </w:p>
        </w:tc>
        <w:tc>
          <w:tcPr>
            <w:tcW w:w="2340" w:type="dxa"/>
          </w:tcPr>
          <w:p w14:paraId="56052E4E" w14:textId="77777777" w:rsidR="00470B19" w:rsidRDefault="009E1518">
            <w:r>
              <w:t>Adjusted close, return, 5/10/20-day annualized volatility, risk tier, 60-day beta vs KSE-100, volatility relative to index, unusual-volume indicator</w:t>
            </w:r>
          </w:p>
        </w:tc>
      </w:tr>
      <w:tr w:rsidR="00470B19" w14:paraId="56052E54" w14:textId="77777777">
        <w:tc>
          <w:tcPr>
            <w:tcW w:w="2340" w:type="dxa"/>
          </w:tcPr>
          <w:p w14:paraId="56052E50" w14:textId="77777777" w:rsidR="00470B19" w:rsidRDefault="009E1518">
            <w:proofErr w:type="spellStart"/>
            <w:r>
              <w:rPr>
                <w:rStyle w:val="CodeChar"/>
              </w:rPr>
              <w:t>fact_market_daily</w:t>
            </w:r>
            <w:proofErr w:type="spellEnd"/>
          </w:p>
        </w:tc>
        <w:tc>
          <w:tcPr>
            <w:tcW w:w="2340" w:type="dxa"/>
          </w:tcPr>
          <w:p w14:paraId="56052E51" w14:textId="77777777" w:rsidR="00470B19" w:rsidRDefault="009E1518">
            <w:r>
              <w:t>Fact</w:t>
            </w:r>
          </w:p>
        </w:tc>
        <w:tc>
          <w:tcPr>
            <w:tcW w:w="2340" w:type="dxa"/>
          </w:tcPr>
          <w:p w14:paraId="56052E52" w14:textId="77777777" w:rsidR="00470B19" w:rsidRDefault="009E1518">
            <w:r>
              <w:t>day</w:t>
            </w:r>
          </w:p>
        </w:tc>
        <w:tc>
          <w:tcPr>
            <w:tcW w:w="2340" w:type="dxa"/>
          </w:tcPr>
          <w:p w14:paraId="56052E53" w14:textId="77777777" w:rsidR="00470B19" w:rsidRDefault="009E1518">
            <w:r>
              <w:t>KSE-100 return and volatility, market regime, share of companies in high tier, policy rate in effect</w:t>
            </w:r>
          </w:p>
        </w:tc>
      </w:tr>
      <w:tr w:rsidR="00470B19" w14:paraId="56052E59" w14:textId="77777777">
        <w:tc>
          <w:tcPr>
            <w:tcW w:w="2340" w:type="dxa"/>
          </w:tcPr>
          <w:p w14:paraId="56052E55" w14:textId="77777777" w:rsidR="00470B19" w:rsidRDefault="009E1518">
            <w:proofErr w:type="spellStart"/>
            <w:r>
              <w:rPr>
                <w:rStyle w:val="CodeChar"/>
              </w:rPr>
              <w:t>agg_sector_monthly</w:t>
            </w:r>
            <w:proofErr w:type="spellEnd"/>
          </w:p>
        </w:tc>
        <w:tc>
          <w:tcPr>
            <w:tcW w:w="2340" w:type="dxa"/>
          </w:tcPr>
          <w:p w14:paraId="56052E56" w14:textId="77777777" w:rsidR="00470B19" w:rsidRDefault="009E1518">
            <w:r>
              <w:t>Aggregate</w:t>
            </w:r>
          </w:p>
        </w:tc>
        <w:tc>
          <w:tcPr>
            <w:tcW w:w="2340" w:type="dxa"/>
          </w:tcPr>
          <w:p w14:paraId="56052E57" w14:textId="77777777" w:rsidR="00470B19" w:rsidRDefault="009E1518">
            <w:r>
              <w:t>sector × month</w:t>
            </w:r>
          </w:p>
        </w:tc>
        <w:tc>
          <w:tcPr>
            <w:tcW w:w="2340" w:type="dxa"/>
          </w:tcPr>
          <w:p w14:paraId="56052E58" w14:textId="77777777" w:rsidR="00470B19" w:rsidRDefault="009E1518">
            <w:r>
              <w:t>Average volatility, share of high-risk company-days, median return, active companies</w:t>
            </w:r>
          </w:p>
        </w:tc>
      </w:tr>
      <w:tr w:rsidR="00470B19" w14:paraId="56052E5E" w14:textId="77777777">
        <w:tc>
          <w:tcPr>
            <w:tcW w:w="2340" w:type="dxa"/>
          </w:tcPr>
          <w:p w14:paraId="56052E5A" w14:textId="77777777" w:rsidR="00470B19" w:rsidRDefault="009E1518">
            <w:proofErr w:type="spellStart"/>
            <w:r>
              <w:rPr>
                <w:rStyle w:val="CodeChar"/>
              </w:rPr>
              <w:t>fact_rate_event_window</w:t>
            </w:r>
            <w:proofErr w:type="spellEnd"/>
          </w:p>
        </w:tc>
        <w:tc>
          <w:tcPr>
            <w:tcW w:w="2340" w:type="dxa"/>
          </w:tcPr>
          <w:p w14:paraId="56052E5B" w14:textId="77777777" w:rsidR="00470B19" w:rsidRDefault="009E1518">
            <w:r>
              <w:t>Fact</w:t>
            </w:r>
          </w:p>
        </w:tc>
        <w:tc>
          <w:tcPr>
            <w:tcW w:w="2340" w:type="dxa"/>
          </w:tcPr>
          <w:p w14:paraId="56052E5C" w14:textId="77777777" w:rsidR="00470B19" w:rsidRDefault="009E1518">
            <w:r>
              <w:t>decision × day offset (-10 to +10)</w:t>
            </w:r>
          </w:p>
        </w:tc>
        <w:tc>
          <w:tcPr>
            <w:tcW w:w="2340" w:type="dxa"/>
          </w:tcPr>
          <w:p w14:paraId="56052E5D" w14:textId="77777777" w:rsidR="00470B19" w:rsidRDefault="009E1518">
            <w:r>
              <w:t>Average market and sector volatility around each decision; size and direction of the change</w:t>
            </w:r>
          </w:p>
        </w:tc>
      </w:tr>
    </w:tbl>
    <w:p w14:paraId="56052E5F" w14:textId="77777777" w:rsidR="00470B19" w:rsidRDefault="009E1518">
      <w:r>
        <w:rPr>
          <w:b/>
        </w:rPr>
        <w:t>Modeling decisions:</w:t>
      </w:r>
    </w:p>
    <w:p w14:paraId="56052E60" w14:textId="77777777" w:rsidR="00470B19" w:rsidRDefault="009E1518">
      <w:pPr>
        <w:pStyle w:val="ListParagraph"/>
        <w:numPr>
          <w:ilvl w:val="0"/>
          <w:numId w:val="8"/>
        </w:numPr>
      </w:pPr>
      <w:r>
        <w:rPr>
          <w:b/>
        </w:rPr>
        <w:t>Risk tiers are per company</w:t>
      </w:r>
      <w:r>
        <w:t>, judged against each company's own trailing one-year history. A single market-wide threshold would permanently label steady companies low and volatile ones high; per-company tiers show when a company is unusually turbulent for itself, using only information available on that date.</w:t>
      </w:r>
    </w:p>
    <w:p w14:paraId="56052E61" w14:textId="77777777" w:rsidR="00470B19" w:rsidRDefault="009E1518">
      <w:pPr>
        <w:pStyle w:val="ListParagraph"/>
        <w:numPr>
          <w:ilvl w:val="0"/>
          <w:numId w:val="8"/>
        </w:numPr>
      </w:pPr>
      <w:r>
        <w:rPr>
          <w:b/>
        </w:rPr>
        <w:t>Beta and relative volatility</w:t>
      </w:r>
      <w:r>
        <w:t xml:space="preserve"> separate market-wide turbulence (everything moves together, e.g. March 2020) from company-specific turbulence (one company spikes while the index stays calm). Our exploration found clear examples of both.</w:t>
      </w:r>
    </w:p>
    <w:p w14:paraId="56052E62" w14:textId="77777777" w:rsidR="00470B19" w:rsidRDefault="009E1518">
      <w:pPr>
        <w:pStyle w:val="ListParagraph"/>
        <w:numPr>
          <w:ilvl w:val="0"/>
          <w:numId w:val="8"/>
        </w:numPr>
      </w:pPr>
      <w:r>
        <w:rPr>
          <w:b/>
        </w:rPr>
        <w:t>Rolling metrics use window functions</w:t>
      </w:r>
      <w:r>
        <w:t xml:space="preserve"> partitioned by company and ordered by date, which Spark runs in parallel. Incremental Gold updates recompute only recent dates, with a 60-trading-day lookback for the longest window.</w:t>
      </w:r>
    </w:p>
    <w:p w14:paraId="56052E63" w14:textId="77777777" w:rsidR="00470B19" w:rsidRDefault="009E1518">
      <w:pPr>
        <w:pStyle w:val="Heading2"/>
      </w:pPr>
      <w:r>
        <w:lastRenderedPageBreak/>
        <w:t>5. Business Intelligence &amp; Dashboards</w:t>
      </w:r>
    </w:p>
    <w:p w14:paraId="56052E64" w14:textId="77777777" w:rsidR="00470B19" w:rsidRDefault="009E1518">
      <w:r>
        <w:t>A four-page Power BI dashboard for investment analysts and risk managers shows where risk is concentrated, what kind of risk it is, and what triggers it.</w:t>
      </w:r>
    </w:p>
    <w:p w14:paraId="56052E65" w14:textId="77777777" w:rsidR="00470B19" w:rsidRDefault="009E1518">
      <w:pPr>
        <w:pStyle w:val="Heading3"/>
      </w:pPr>
      <w:r>
        <w:t>5.1 Business Questions</w:t>
      </w:r>
    </w:p>
    <w:p w14:paraId="56052E66" w14:textId="77777777" w:rsidR="00470B19" w:rsidRDefault="009E1518">
      <w:pPr>
        <w:pStyle w:val="ListParagraph"/>
        <w:numPr>
          <w:ilvl w:val="0"/>
          <w:numId w:val="9"/>
        </w:numPr>
      </w:pPr>
      <w:r>
        <w:rPr>
          <w:b/>
        </w:rPr>
        <w:t>Where is risk concentrated now?</w:t>
      </w:r>
      <w:r>
        <w:t xml:space="preserve"> Which sectors and companies are unusually volatile compared with their own history?</w:t>
      </w:r>
    </w:p>
    <w:p w14:paraId="56052E67" w14:textId="77777777" w:rsidR="00470B19" w:rsidRDefault="009E1518">
      <w:pPr>
        <w:pStyle w:val="ListParagraph"/>
        <w:numPr>
          <w:ilvl w:val="0"/>
          <w:numId w:val="9"/>
        </w:numPr>
      </w:pPr>
      <w:r>
        <w:rPr>
          <w:b/>
        </w:rPr>
        <w:t>Market-wide or company-specific?</w:t>
      </w:r>
      <w:r>
        <w:t xml:space="preserve"> When a company turns volatile, is the whole market moving or only that company?</w:t>
      </w:r>
    </w:p>
    <w:p w14:paraId="56052E68" w14:textId="77777777" w:rsidR="00470B19" w:rsidRDefault="009E1518">
      <w:pPr>
        <w:pStyle w:val="ListParagraph"/>
        <w:numPr>
          <w:ilvl w:val="0"/>
          <w:numId w:val="9"/>
        </w:numPr>
      </w:pPr>
      <w:r>
        <w:rPr>
          <w:b/>
        </w:rPr>
        <w:t>How does monetary policy move the market?</w:t>
      </w:r>
      <w:r>
        <w:t xml:space="preserve"> How does volatility behave around SBP rate decisions, and do sectors react differently to hikes and cuts?</w:t>
      </w:r>
    </w:p>
    <w:p w14:paraId="56052E69" w14:textId="77777777" w:rsidR="00470B19" w:rsidRDefault="009E1518">
      <w:pPr>
        <w:pStyle w:val="ListParagraph"/>
        <w:numPr>
          <w:ilvl w:val="0"/>
          <w:numId w:val="9"/>
        </w:numPr>
      </w:pPr>
      <w:r>
        <w:rPr>
          <w:b/>
        </w:rPr>
        <w:t>How has risk evolved?</w:t>
      </w:r>
      <w:r>
        <w:t xml:space="preserve"> How did patterns change across the 2020 COVID crash, the 2022–23 high-rate crisis and the 2026 shock?</w:t>
      </w:r>
    </w:p>
    <w:p w14:paraId="56052E6A" w14:textId="77777777" w:rsidR="00470B19" w:rsidRDefault="009E1518">
      <w:pPr>
        <w:pStyle w:val="Heading3"/>
      </w:pPr>
      <w:r>
        <w:t>5.2 Dashboard Pages</w:t>
      </w:r>
    </w:p>
    <w:tbl>
      <w:tblPr>
        <w:tblStyle w:val="TableGrid"/>
        <w:tblW w:w="0" w:type="auto"/>
        <w:tblLayout w:type="fixed"/>
        <w:tblLook w:val="0420" w:firstRow="1" w:lastRow="0" w:firstColumn="0" w:lastColumn="0" w:noHBand="0" w:noVBand="1"/>
      </w:tblPr>
      <w:tblGrid>
        <w:gridCol w:w="3120"/>
        <w:gridCol w:w="3120"/>
        <w:gridCol w:w="3120"/>
      </w:tblGrid>
      <w:tr w:rsidR="00470B19" w14:paraId="56052E6E" w14:textId="77777777">
        <w:trPr>
          <w:tblHeader/>
        </w:trPr>
        <w:tc>
          <w:tcPr>
            <w:tcW w:w="3120" w:type="dxa"/>
            <w:shd w:val="clear" w:color="auto" w:fill="F2F2F2"/>
          </w:tcPr>
          <w:p w14:paraId="56052E6B" w14:textId="77777777" w:rsidR="00470B19" w:rsidRDefault="009E1518">
            <w:r>
              <w:t>Page</w:t>
            </w:r>
          </w:p>
        </w:tc>
        <w:tc>
          <w:tcPr>
            <w:tcW w:w="3120" w:type="dxa"/>
            <w:shd w:val="clear" w:color="auto" w:fill="F2F2F2"/>
          </w:tcPr>
          <w:p w14:paraId="56052E6C" w14:textId="77777777" w:rsidR="00470B19" w:rsidRDefault="009E1518">
            <w:r>
              <w:t>Purpose</w:t>
            </w:r>
          </w:p>
        </w:tc>
        <w:tc>
          <w:tcPr>
            <w:tcW w:w="3120" w:type="dxa"/>
            <w:shd w:val="clear" w:color="auto" w:fill="F2F2F2"/>
          </w:tcPr>
          <w:p w14:paraId="56052E6D" w14:textId="77777777" w:rsidR="00470B19" w:rsidRDefault="009E1518">
            <w:r>
              <w:t>Main Gold tables</w:t>
            </w:r>
          </w:p>
        </w:tc>
      </w:tr>
      <w:tr w:rsidR="00470B19" w14:paraId="56052E72" w14:textId="77777777">
        <w:tc>
          <w:tcPr>
            <w:tcW w:w="3120" w:type="dxa"/>
          </w:tcPr>
          <w:p w14:paraId="56052E6F" w14:textId="77777777" w:rsidR="00470B19" w:rsidRDefault="009E1518">
            <w:r>
              <w:t>1. Market Risk Overview</w:t>
            </w:r>
          </w:p>
        </w:tc>
        <w:tc>
          <w:tcPr>
            <w:tcW w:w="3120" w:type="dxa"/>
          </w:tcPr>
          <w:p w14:paraId="56052E70" w14:textId="77777777" w:rsidR="00470B19" w:rsidRDefault="009E1518">
            <w:r>
              <w:t>Headline figures: KSE-100 20-day volatility, market regime, share of companies in high tier, current policy rate</w:t>
            </w:r>
          </w:p>
        </w:tc>
        <w:tc>
          <w:tcPr>
            <w:tcW w:w="3120" w:type="dxa"/>
          </w:tcPr>
          <w:p w14:paraId="56052E71" w14:textId="77777777" w:rsidR="00470B19" w:rsidRDefault="009E1518">
            <w:proofErr w:type="spellStart"/>
            <w:r>
              <w:rPr>
                <w:rStyle w:val="CodeChar"/>
              </w:rPr>
              <w:t>fact_market_daily</w:t>
            </w:r>
            <w:proofErr w:type="spellEnd"/>
            <w:r>
              <w:t xml:space="preserve">, </w:t>
            </w:r>
            <w:proofErr w:type="spellStart"/>
            <w:r>
              <w:rPr>
                <w:rStyle w:val="CodeChar"/>
              </w:rPr>
              <w:t>fact_company_risk_daily</w:t>
            </w:r>
            <w:proofErr w:type="spellEnd"/>
          </w:p>
        </w:tc>
      </w:tr>
      <w:tr w:rsidR="00470B19" w14:paraId="56052E76" w14:textId="77777777">
        <w:tc>
          <w:tcPr>
            <w:tcW w:w="3120" w:type="dxa"/>
          </w:tcPr>
          <w:p w14:paraId="56052E73" w14:textId="77777777" w:rsidR="00470B19" w:rsidRDefault="009E1518">
            <w:r>
              <w:t>2. Sector Risk</w:t>
            </w:r>
          </w:p>
        </w:tc>
        <w:tc>
          <w:tcPr>
            <w:tcW w:w="3120" w:type="dxa"/>
          </w:tcPr>
          <w:p w14:paraId="56052E74" w14:textId="77777777" w:rsidR="00470B19" w:rsidRDefault="009E1518">
            <w:r>
              <w:t>Where risk sits across sectors over time</w:t>
            </w:r>
          </w:p>
        </w:tc>
        <w:tc>
          <w:tcPr>
            <w:tcW w:w="3120" w:type="dxa"/>
          </w:tcPr>
          <w:p w14:paraId="56052E75" w14:textId="77777777" w:rsidR="00470B19" w:rsidRDefault="009E1518">
            <w:proofErr w:type="spellStart"/>
            <w:r>
              <w:rPr>
                <w:rStyle w:val="CodeChar"/>
              </w:rPr>
              <w:t>agg_sector_monthly</w:t>
            </w:r>
            <w:proofErr w:type="spellEnd"/>
            <w:r>
              <w:t xml:space="preserve">, </w:t>
            </w:r>
            <w:proofErr w:type="spellStart"/>
            <w:r>
              <w:rPr>
                <w:rStyle w:val="CodeChar"/>
              </w:rPr>
              <w:t>dim_sector</w:t>
            </w:r>
            <w:proofErr w:type="spellEnd"/>
          </w:p>
        </w:tc>
      </w:tr>
      <w:tr w:rsidR="00470B19" w14:paraId="56052E7A" w14:textId="77777777">
        <w:tc>
          <w:tcPr>
            <w:tcW w:w="3120" w:type="dxa"/>
          </w:tcPr>
          <w:p w14:paraId="56052E77" w14:textId="77777777" w:rsidR="00470B19" w:rsidRDefault="009E1518">
            <w:r>
              <w:t>3. Company Analysis</w:t>
            </w:r>
          </w:p>
        </w:tc>
        <w:tc>
          <w:tcPr>
            <w:tcW w:w="3120" w:type="dxa"/>
          </w:tcPr>
          <w:p w14:paraId="56052E78" w14:textId="77777777" w:rsidR="00470B19" w:rsidRDefault="009E1518">
            <w:r>
              <w:t>One company's risk profile against the market</w:t>
            </w:r>
          </w:p>
        </w:tc>
        <w:tc>
          <w:tcPr>
            <w:tcW w:w="3120" w:type="dxa"/>
          </w:tcPr>
          <w:p w14:paraId="56052E79" w14:textId="77777777" w:rsidR="00470B19" w:rsidRDefault="009E1518">
            <w:proofErr w:type="spellStart"/>
            <w:r>
              <w:rPr>
                <w:rStyle w:val="CodeChar"/>
              </w:rPr>
              <w:t>fact_company_risk_daily</w:t>
            </w:r>
            <w:proofErr w:type="spellEnd"/>
            <w:r>
              <w:t xml:space="preserve">, </w:t>
            </w:r>
            <w:proofErr w:type="spellStart"/>
            <w:r>
              <w:rPr>
                <w:rStyle w:val="CodeChar"/>
              </w:rPr>
              <w:t>dim_company</w:t>
            </w:r>
            <w:proofErr w:type="spellEnd"/>
          </w:p>
        </w:tc>
      </w:tr>
      <w:tr w:rsidR="00470B19" w14:paraId="56052E7E" w14:textId="77777777">
        <w:tc>
          <w:tcPr>
            <w:tcW w:w="3120" w:type="dxa"/>
          </w:tcPr>
          <w:p w14:paraId="56052E7B" w14:textId="77777777" w:rsidR="00470B19" w:rsidRDefault="009E1518">
            <w:r>
              <w:t>4. Monetary Policy Impact</w:t>
            </w:r>
          </w:p>
        </w:tc>
        <w:tc>
          <w:tcPr>
            <w:tcW w:w="3120" w:type="dxa"/>
          </w:tcPr>
          <w:p w14:paraId="56052E7C" w14:textId="77777777" w:rsidR="00470B19" w:rsidRDefault="009E1518">
            <w:r>
              <w:t xml:space="preserve">Market </w:t>
            </w:r>
            <w:proofErr w:type="spellStart"/>
            <w:r>
              <w:t>behaviour</w:t>
            </w:r>
            <w:proofErr w:type="spellEnd"/>
            <w:r>
              <w:t xml:space="preserve"> around SBP decisions</w:t>
            </w:r>
          </w:p>
        </w:tc>
        <w:tc>
          <w:tcPr>
            <w:tcW w:w="3120" w:type="dxa"/>
          </w:tcPr>
          <w:p w14:paraId="56052E7D" w14:textId="77777777" w:rsidR="00470B19" w:rsidRDefault="009E1518">
            <w:proofErr w:type="spellStart"/>
            <w:r>
              <w:rPr>
                <w:rStyle w:val="CodeChar"/>
              </w:rPr>
              <w:t>fact_rate_event_window</w:t>
            </w:r>
            <w:proofErr w:type="spellEnd"/>
            <w:r>
              <w:t xml:space="preserve">, </w:t>
            </w:r>
            <w:proofErr w:type="spellStart"/>
            <w:r>
              <w:rPr>
                <w:rStyle w:val="CodeChar"/>
              </w:rPr>
              <w:t>silver_policy_rates</w:t>
            </w:r>
            <w:proofErr w:type="spellEnd"/>
          </w:p>
        </w:tc>
      </w:tr>
    </w:tbl>
    <w:p w14:paraId="56052E7F" w14:textId="77777777" w:rsidR="00470B19" w:rsidRDefault="009E1518">
      <w:r>
        <w:t>All pages share date-range and sector filters; pages 2–4 drill down to individual companies.</w:t>
      </w:r>
    </w:p>
    <w:p w14:paraId="56052E80" w14:textId="77777777" w:rsidR="00470B19" w:rsidRDefault="009E1518">
      <w:pPr>
        <w:pStyle w:val="Heading3"/>
      </w:pPr>
      <w:r>
        <w:t>5.3 Key Visuals</w:t>
      </w:r>
    </w:p>
    <w:p w14:paraId="56052E81" w14:textId="77777777" w:rsidR="00470B19" w:rsidRDefault="009E1518">
      <w:r>
        <w:rPr>
          <w:b/>
        </w:rPr>
        <w:t>Visual 1: Sector Risk Heatmap (Question 1).</w:t>
      </w:r>
      <w:r>
        <w:t xml:space="preserve"> Sectors as rows, months as columns, each cell colored from green to red by the share of that sector's company-days in the high-risk tier. A whole red column shows market-wide stress (e.g. March 2020); a single red row shows sector-specific stress. Clicking a cell lists its companies. </w:t>
      </w:r>
      <w:r>
        <w:rPr>
          <w:i/>
        </w:rPr>
        <w:t>Data:</w:t>
      </w:r>
      <w:r>
        <w:t xml:space="preserve"> </w:t>
      </w:r>
      <w:proofErr w:type="spellStart"/>
      <w:r>
        <w:rPr>
          <w:rStyle w:val="CodeChar"/>
        </w:rPr>
        <w:t>agg_sector_monthly</w:t>
      </w:r>
      <w:proofErr w:type="spellEnd"/>
      <w:r>
        <w:t>.</w:t>
      </w:r>
    </w:p>
    <w:p w14:paraId="56052E82" w14:textId="77777777" w:rsidR="00470B19" w:rsidRDefault="009E1518">
      <w:r>
        <w:rPr>
          <w:b/>
        </w:rPr>
        <w:t>Visual 2: Market-Wide vs Company-Specific Risk Map (Question 2).</w:t>
      </w:r>
      <w:r>
        <w:t xml:space="preserve"> A scatter chart, one point per company: 60-day beta against the KSE-100 on the horizontal axis, volatility relative to the index on the vertical. Reference lines form four areas: amplifies market swings (high beta, high relative volatility), company-specific turbulence (low beta, high), follows the market calmly (high beta, low), stable and independent (low beta, low). Points are colored by sector and sized by volume; a time slider replays events such as the COVID crash. </w:t>
      </w:r>
      <w:r>
        <w:rPr>
          <w:i/>
        </w:rPr>
        <w:t>Data:</w:t>
      </w:r>
      <w:r>
        <w:t xml:space="preserve"> </w:t>
      </w:r>
      <w:proofErr w:type="spellStart"/>
      <w:r>
        <w:rPr>
          <w:rStyle w:val="CodeChar"/>
        </w:rPr>
        <w:t>fact_company_risk_daily</w:t>
      </w:r>
      <w:proofErr w:type="spellEnd"/>
      <w:r>
        <w:t xml:space="preserve">, </w:t>
      </w:r>
      <w:proofErr w:type="spellStart"/>
      <w:r>
        <w:rPr>
          <w:rStyle w:val="CodeChar"/>
        </w:rPr>
        <w:t>dim_company</w:t>
      </w:r>
      <w:proofErr w:type="spellEnd"/>
      <w:r>
        <w:t>.</w:t>
      </w:r>
    </w:p>
    <w:p w14:paraId="56052E83" w14:textId="77777777" w:rsidR="00470B19" w:rsidRDefault="009E1518">
      <w:r>
        <w:rPr>
          <w:b/>
        </w:rPr>
        <w:lastRenderedPageBreak/>
        <w:t>Visual 3: Rate Decision Impact Chart (Question 3).</w:t>
      </w:r>
      <w:r>
        <w:t xml:space="preserve"> Average KSE-100 volatility from 10 trading days before to 10 after each SBP rate change, with separate lines for hikes and cuts and a sector filter for rate-sensitive sectors such as banking and cement. Tooltips list each decision and its size in basis points. It covers the 13 rate changes from January 2023, including the 22% peak and the April 2026 hike. </w:t>
      </w:r>
      <w:r>
        <w:rPr>
          <w:i/>
        </w:rPr>
        <w:t>Data:</w:t>
      </w:r>
      <w:r>
        <w:t xml:space="preserve"> </w:t>
      </w:r>
      <w:proofErr w:type="spellStart"/>
      <w:r>
        <w:rPr>
          <w:rStyle w:val="CodeChar"/>
        </w:rPr>
        <w:t>fact_rate_event_window</w:t>
      </w:r>
      <w:proofErr w:type="spellEnd"/>
      <w:r>
        <w:t xml:space="preserve">, </w:t>
      </w:r>
      <w:proofErr w:type="spellStart"/>
      <w:r>
        <w:rPr>
          <w:rStyle w:val="CodeChar"/>
        </w:rPr>
        <w:t>silver_policy_rates</w:t>
      </w:r>
      <w:proofErr w:type="spellEnd"/>
      <w:r>
        <w:t>.</w:t>
      </w:r>
    </w:p>
    <w:p w14:paraId="56052E84" w14:textId="77777777" w:rsidR="00470B19" w:rsidRDefault="009E1518">
      <w:r>
        <w:rPr>
          <w:b/>
        </w:rPr>
        <w:t>Supporting visual (Question 4).</w:t>
      </w:r>
      <w:r>
        <w:t xml:space="preserve"> On page 3, a selected company's 20-day volatility over time against the KSE-100's, with the background shaded by risk tier and markers on corporate-action dates.</w:t>
      </w:r>
    </w:p>
    <w:p w14:paraId="56052E85" w14:textId="77777777" w:rsidR="00470B19" w:rsidRDefault="009E1518">
      <w:pPr>
        <w:pStyle w:val="Heading3"/>
      </w:pPr>
      <w:r>
        <w:t>5.4 Design Considerations</w:t>
      </w:r>
    </w:p>
    <w:p w14:paraId="56052E86" w14:textId="77777777" w:rsidR="00470B19" w:rsidRDefault="009E1518">
      <w:pPr>
        <w:pStyle w:val="ListParagraph"/>
        <w:numPr>
          <w:ilvl w:val="0"/>
          <w:numId w:val="10"/>
        </w:numPr>
      </w:pPr>
      <w:r>
        <w:rPr>
          <w:b/>
        </w:rPr>
        <w:t>Derived analytics only:</w:t>
      </w:r>
      <w:r>
        <w:t xml:space="preserve"> volatility metrics, tiers and aggregates, not raw price files (Section 3.3).</w:t>
      </w:r>
    </w:p>
    <w:p w14:paraId="56052E87" w14:textId="77777777" w:rsidR="00470B19" w:rsidRDefault="009E1518">
      <w:pPr>
        <w:pStyle w:val="ListParagraph"/>
        <w:numPr>
          <w:ilvl w:val="0"/>
          <w:numId w:val="10"/>
        </w:numPr>
      </w:pPr>
      <w:r>
        <w:rPr>
          <w:b/>
        </w:rPr>
        <w:t>Risk relative to each company's own history,</w:t>
      </w:r>
      <w:r>
        <w:t xml:space="preserve"> so steady and naturally volatile companies are both flagged only when unusually turbulent for themselves.</w:t>
      </w:r>
    </w:p>
    <w:p w14:paraId="56052E88" w14:textId="77777777" w:rsidR="00470B19" w:rsidRDefault="009E1518">
      <w:pPr>
        <w:pStyle w:val="ListParagraph"/>
        <w:numPr>
          <w:ilvl w:val="0"/>
          <w:numId w:val="10"/>
        </w:numPr>
      </w:pPr>
      <w:r>
        <w:rPr>
          <w:b/>
        </w:rPr>
        <w:t>Visible data quality:</w:t>
      </w:r>
      <w:r>
        <w:t xml:space="preserve"> carried-forward closes and corporate actions appear in tooltips and markers rather than being hidden.</w:t>
      </w:r>
    </w:p>
    <w:p w14:paraId="56052E89" w14:textId="77777777" w:rsidR="00470B19" w:rsidRDefault="009E1518">
      <w:pPr>
        <w:pStyle w:val="Heading2"/>
      </w:pPr>
      <w:r>
        <w:t>6. Engineering Setup &amp; FinOps</w:t>
      </w:r>
    </w:p>
    <w:p w14:paraId="56052E8A" w14:textId="77777777" w:rsidR="00470B19" w:rsidRDefault="009E1518">
      <w:r>
        <w:t>The project runs on Git/GitHub and Databricks Free Edition at zero cost; downloads run outside Databricks, and all development uses a five-company subset to protect the daily compute quota.</w:t>
      </w:r>
    </w:p>
    <w:p w14:paraId="56052E8B" w14:textId="77777777" w:rsidR="00470B19" w:rsidRDefault="009E1518">
      <w:pPr>
        <w:pStyle w:val="Heading3"/>
      </w:pPr>
      <w:r>
        <w:t>6.1 Version Control</w:t>
      </w:r>
    </w:p>
    <w:p w14:paraId="56052E8C" w14:textId="77777777" w:rsidR="00470B19" w:rsidRDefault="009E1518">
      <w:r>
        <w:t xml:space="preserve">Repository: </w:t>
      </w:r>
      <w:hyperlink r:id="rId7" w:history="1">
        <w:r>
          <w:rPr>
            <w:rStyle w:val="Hyperlink"/>
          </w:rPr>
          <w:t>github.com/saqibqazi5706/</w:t>
        </w:r>
        <w:proofErr w:type="spellStart"/>
        <w:r>
          <w:rPr>
            <w:rStyle w:val="Hyperlink"/>
          </w:rPr>
          <w:t>psx</w:t>
        </w:r>
        <w:proofErr w:type="spellEnd"/>
        <w:r>
          <w:rPr>
            <w:rStyle w:val="Hyperlink"/>
          </w:rPr>
          <w:t>-risk-</w:t>
        </w:r>
        <w:proofErr w:type="spellStart"/>
        <w:r>
          <w:rPr>
            <w:rStyle w:val="Hyperlink"/>
          </w:rPr>
          <w:t>lakehouse</w:t>
        </w:r>
        <w:proofErr w:type="spellEnd"/>
      </w:hyperlink>
    </w:p>
    <w:tbl>
      <w:tblPr>
        <w:tblStyle w:val="TableGrid"/>
        <w:tblW w:w="0" w:type="auto"/>
        <w:tblLayout w:type="fixed"/>
        <w:tblLook w:val="0420" w:firstRow="1" w:lastRow="0" w:firstColumn="0" w:lastColumn="0" w:noHBand="0" w:noVBand="1"/>
      </w:tblPr>
      <w:tblGrid>
        <w:gridCol w:w="4680"/>
        <w:gridCol w:w="4680"/>
      </w:tblGrid>
      <w:tr w:rsidR="00470B19" w14:paraId="56052E8F" w14:textId="77777777">
        <w:trPr>
          <w:tblHeader/>
        </w:trPr>
        <w:tc>
          <w:tcPr>
            <w:tcW w:w="4680" w:type="dxa"/>
            <w:shd w:val="clear" w:color="auto" w:fill="F2F2F2"/>
          </w:tcPr>
          <w:p w14:paraId="56052E8D" w14:textId="77777777" w:rsidR="00470B19" w:rsidRDefault="009E1518">
            <w:r>
              <w:t>Folder</w:t>
            </w:r>
          </w:p>
        </w:tc>
        <w:tc>
          <w:tcPr>
            <w:tcW w:w="4680" w:type="dxa"/>
            <w:shd w:val="clear" w:color="auto" w:fill="F2F2F2"/>
          </w:tcPr>
          <w:p w14:paraId="56052E8E" w14:textId="77777777" w:rsidR="00470B19" w:rsidRDefault="009E1518">
            <w:r>
              <w:t>Contents</w:t>
            </w:r>
          </w:p>
        </w:tc>
      </w:tr>
      <w:tr w:rsidR="00470B19" w14:paraId="56052E92" w14:textId="77777777">
        <w:tc>
          <w:tcPr>
            <w:tcW w:w="4680" w:type="dxa"/>
          </w:tcPr>
          <w:p w14:paraId="56052E90" w14:textId="77777777" w:rsidR="00470B19" w:rsidRDefault="009E1518">
            <w:r>
              <w:rPr>
                <w:rStyle w:val="CodeChar"/>
              </w:rPr>
              <w:t>docs/</w:t>
            </w:r>
          </w:p>
        </w:tc>
        <w:tc>
          <w:tcPr>
            <w:tcW w:w="4680" w:type="dxa"/>
          </w:tcPr>
          <w:p w14:paraId="56052E91" w14:textId="77777777" w:rsidR="00470B19" w:rsidRDefault="009E1518">
            <w:r>
              <w:t>This proposal and project documentation</w:t>
            </w:r>
          </w:p>
        </w:tc>
      </w:tr>
      <w:tr w:rsidR="00470B19" w14:paraId="56052E95" w14:textId="77777777">
        <w:tc>
          <w:tcPr>
            <w:tcW w:w="4680" w:type="dxa"/>
          </w:tcPr>
          <w:p w14:paraId="56052E93" w14:textId="77777777" w:rsidR="00470B19" w:rsidRDefault="009E1518">
            <w:r>
              <w:rPr>
                <w:rStyle w:val="CodeChar"/>
              </w:rPr>
              <w:t>samples/</w:t>
            </w:r>
            <w:proofErr w:type="spellStart"/>
            <w:r>
              <w:rPr>
                <w:rStyle w:val="CodeChar"/>
              </w:rPr>
              <w:t>full_load</w:t>
            </w:r>
            <w:proofErr w:type="spellEnd"/>
            <w:r>
              <w:rPr>
                <w:rStyle w:val="CodeChar"/>
              </w:rPr>
              <w:t>/</w:t>
            </w:r>
          </w:p>
        </w:tc>
        <w:tc>
          <w:tcPr>
            <w:tcW w:w="4680" w:type="dxa"/>
          </w:tcPr>
          <w:p w14:paraId="56052E94" w14:textId="77777777" w:rsidR="00470B19" w:rsidRDefault="009E1518">
            <w:r>
              <w:t>Full-load sample payloads (Section 2.1)</w:t>
            </w:r>
          </w:p>
        </w:tc>
      </w:tr>
      <w:tr w:rsidR="00470B19" w14:paraId="56052E98" w14:textId="77777777">
        <w:tc>
          <w:tcPr>
            <w:tcW w:w="4680" w:type="dxa"/>
          </w:tcPr>
          <w:p w14:paraId="56052E96" w14:textId="77777777" w:rsidR="00470B19" w:rsidRDefault="009E1518">
            <w:r>
              <w:rPr>
                <w:rStyle w:val="CodeChar"/>
              </w:rPr>
              <w:t>samples/incremental/</w:t>
            </w:r>
          </w:p>
        </w:tc>
        <w:tc>
          <w:tcPr>
            <w:tcW w:w="4680" w:type="dxa"/>
          </w:tcPr>
          <w:p w14:paraId="56052E97" w14:textId="77777777" w:rsidR="00470B19" w:rsidRDefault="009E1518">
            <w:r>
              <w:t>Incremental sample payload (Section 2.1)</w:t>
            </w:r>
          </w:p>
        </w:tc>
      </w:tr>
      <w:tr w:rsidR="00470B19" w14:paraId="56052E9B" w14:textId="77777777">
        <w:tc>
          <w:tcPr>
            <w:tcW w:w="4680" w:type="dxa"/>
          </w:tcPr>
          <w:p w14:paraId="56052E99" w14:textId="77777777" w:rsidR="00470B19" w:rsidRDefault="009E1518">
            <w:r>
              <w:rPr>
                <w:rStyle w:val="CodeChar"/>
              </w:rPr>
              <w:t>notebooks/01_bronze/</w:t>
            </w:r>
            <w:r>
              <w:t xml:space="preserve">, </w:t>
            </w:r>
            <w:r>
              <w:rPr>
                <w:rStyle w:val="CodeChar"/>
              </w:rPr>
              <w:t>02_silver/</w:t>
            </w:r>
            <w:r>
              <w:t xml:space="preserve">, </w:t>
            </w:r>
            <w:r>
              <w:rPr>
                <w:rStyle w:val="CodeChar"/>
              </w:rPr>
              <w:t>03_gold/</w:t>
            </w:r>
          </w:p>
        </w:tc>
        <w:tc>
          <w:tcPr>
            <w:tcW w:w="4680" w:type="dxa"/>
          </w:tcPr>
          <w:p w14:paraId="56052E9A" w14:textId="77777777" w:rsidR="00470B19" w:rsidRDefault="009E1518">
            <w:r>
              <w:t>One notebook folder per medallion layer, including the sample-generation notebook</w:t>
            </w:r>
          </w:p>
        </w:tc>
      </w:tr>
      <w:tr w:rsidR="00470B19" w14:paraId="56052E9E" w14:textId="77777777">
        <w:tc>
          <w:tcPr>
            <w:tcW w:w="4680" w:type="dxa"/>
          </w:tcPr>
          <w:p w14:paraId="56052E9C" w14:textId="77777777" w:rsidR="00470B19" w:rsidRDefault="009E1518">
            <w:r>
              <w:rPr>
                <w:rStyle w:val="CodeChar"/>
              </w:rPr>
              <w:t>dashboard/</w:t>
            </w:r>
          </w:p>
        </w:tc>
        <w:tc>
          <w:tcPr>
            <w:tcW w:w="4680" w:type="dxa"/>
          </w:tcPr>
          <w:p w14:paraId="56052E9D" w14:textId="77777777" w:rsidR="00470B19" w:rsidRDefault="009E1518">
            <w:r>
              <w:t>Power BI file and screenshots</w:t>
            </w:r>
          </w:p>
        </w:tc>
      </w:tr>
    </w:tbl>
    <w:p w14:paraId="56052E9F" w14:textId="77777777" w:rsidR="00470B19" w:rsidRDefault="009E1518">
      <w:r>
        <w:rPr>
          <w:b/>
        </w:rPr>
        <w:t>Working practices:</w:t>
      </w:r>
    </w:p>
    <w:p w14:paraId="56052EA0" w14:textId="77777777" w:rsidR="00470B19" w:rsidRDefault="009E1518">
      <w:pPr>
        <w:pStyle w:val="ListParagraph"/>
        <w:numPr>
          <w:ilvl w:val="0"/>
          <w:numId w:val="11"/>
        </w:numPr>
      </w:pPr>
      <w:r>
        <w:rPr>
          <w:rStyle w:val="CodeChar"/>
        </w:rPr>
        <w:t>.</w:t>
      </w:r>
      <w:proofErr w:type="spellStart"/>
      <w:r>
        <w:rPr>
          <w:rStyle w:val="CodeChar"/>
        </w:rPr>
        <w:t>gitignore</w:t>
      </w:r>
      <w:proofErr w:type="spellEnd"/>
      <w:r>
        <w:t xml:space="preserve"> excludes full datasets (</w:t>
      </w:r>
      <w:r>
        <w:rPr>
          <w:rStyle w:val="CodeChar"/>
        </w:rPr>
        <w:t>data/</w:t>
      </w:r>
      <w:r>
        <w:t>, Parquet and Delta files), notebook checkpoints and credentials, so only samples and code are committed.</w:t>
      </w:r>
    </w:p>
    <w:p w14:paraId="56052EA1" w14:textId="77777777" w:rsidR="00470B19" w:rsidRDefault="009E1518">
      <w:pPr>
        <w:pStyle w:val="ListParagraph"/>
        <w:numPr>
          <w:ilvl w:val="0"/>
          <w:numId w:val="11"/>
        </w:numPr>
      </w:pPr>
      <w:r>
        <w:t xml:space="preserve">Each member works on a feature branch per layer or task and merges to </w:t>
      </w:r>
      <w:r>
        <w:rPr>
          <w:rStyle w:val="CodeChar"/>
        </w:rPr>
        <w:t>main</w:t>
      </w:r>
      <w:r>
        <w:t xml:space="preserve"> after the other reviews it.</w:t>
      </w:r>
    </w:p>
    <w:p w14:paraId="56052EA2" w14:textId="77777777" w:rsidR="00470B19" w:rsidRDefault="009E1518">
      <w:pPr>
        <w:pStyle w:val="ListParagraph"/>
        <w:numPr>
          <w:ilvl w:val="0"/>
          <w:numId w:val="11"/>
        </w:numPr>
      </w:pPr>
      <w:r>
        <w:t>Notebooks are exported from Databricks into the repository so every change is versioned.</w:t>
      </w:r>
    </w:p>
    <w:p w14:paraId="56052EA3" w14:textId="77777777" w:rsidR="00470B19" w:rsidRDefault="009E1518">
      <w:pPr>
        <w:pStyle w:val="Heading3"/>
      </w:pPr>
      <w:r>
        <w:t>6.2 Infrastructure</w:t>
      </w:r>
    </w:p>
    <w:p w14:paraId="56052EA4" w14:textId="77777777" w:rsidR="00470B19" w:rsidRDefault="009E1518">
      <w:r>
        <w:t xml:space="preserve">We will use </w:t>
      </w:r>
      <w:r>
        <w:rPr>
          <w:b/>
        </w:rPr>
        <w:t>Databricks Free Edition</w:t>
      </w:r>
      <w:r>
        <w:t>, which is serverless-only with per-account quotas on compute and jobs (</w:t>
      </w:r>
      <w:hyperlink r:id="rId8" w:history="1">
        <w:r>
          <w:rPr>
            <w:rStyle w:val="Hyperlink"/>
          </w:rPr>
          <w:t>Databricks docs</w:t>
        </w:r>
      </w:hyperlink>
      <w:r>
        <w:t>). Three of its limits shape our design:</w:t>
      </w:r>
    </w:p>
    <w:tbl>
      <w:tblPr>
        <w:tblStyle w:val="TableGrid"/>
        <w:tblW w:w="0" w:type="auto"/>
        <w:tblLayout w:type="fixed"/>
        <w:tblLook w:val="0420" w:firstRow="1" w:lastRow="0" w:firstColumn="0" w:lastColumn="0" w:noHBand="0" w:noVBand="1"/>
      </w:tblPr>
      <w:tblGrid>
        <w:gridCol w:w="3120"/>
        <w:gridCol w:w="3120"/>
        <w:gridCol w:w="3120"/>
      </w:tblGrid>
      <w:tr w:rsidR="00470B19" w14:paraId="56052EA8" w14:textId="77777777">
        <w:trPr>
          <w:tblHeader/>
        </w:trPr>
        <w:tc>
          <w:tcPr>
            <w:tcW w:w="3120" w:type="dxa"/>
            <w:shd w:val="clear" w:color="auto" w:fill="F2F2F2"/>
          </w:tcPr>
          <w:p w14:paraId="56052EA5" w14:textId="77777777" w:rsidR="00470B19" w:rsidRDefault="009E1518">
            <w:r>
              <w:lastRenderedPageBreak/>
              <w:t>Limit</w:t>
            </w:r>
          </w:p>
        </w:tc>
        <w:tc>
          <w:tcPr>
            <w:tcW w:w="3120" w:type="dxa"/>
            <w:shd w:val="clear" w:color="auto" w:fill="F2F2F2"/>
          </w:tcPr>
          <w:p w14:paraId="56052EA6" w14:textId="77777777" w:rsidR="00470B19" w:rsidRDefault="009E1518">
            <w:r>
              <w:t>Impact on our pipeline</w:t>
            </w:r>
          </w:p>
        </w:tc>
        <w:tc>
          <w:tcPr>
            <w:tcW w:w="3120" w:type="dxa"/>
            <w:shd w:val="clear" w:color="auto" w:fill="F2F2F2"/>
          </w:tcPr>
          <w:p w14:paraId="56052EA7" w14:textId="77777777" w:rsidR="00470B19" w:rsidRDefault="009E1518">
            <w:r>
              <w:t>Our response</w:t>
            </w:r>
          </w:p>
        </w:tc>
      </w:tr>
      <w:tr w:rsidR="00470B19" w14:paraId="56052EAC" w14:textId="77777777">
        <w:tc>
          <w:tcPr>
            <w:tcW w:w="3120" w:type="dxa"/>
          </w:tcPr>
          <w:p w14:paraId="56052EA9" w14:textId="77777777" w:rsidR="00470B19" w:rsidRDefault="009E1518">
            <w:r>
              <w:t>Exceeding the quota shuts compute down for the rest of the day, or in extreme cases the month; data is kept</w:t>
            </w:r>
          </w:p>
        </w:tc>
        <w:tc>
          <w:tcPr>
            <w:tcW w:w="3120" w:type="dxa"/>
          </w:tcPr>
          <w:p w14:paraId="56052EAA" w14:textId="77777777" w:rsidR="00470B19" w:rsidRDefault="009E1518">
            <w:r>
              <w:t>A careless full-universe run could cost a day of work</w:t>
            </w:r>
          </w:p>
        </w:tc>
        <w:tc>
          <w:tcPr>
            <w:tcW w:w="3120" w:type="dxa"/>
          </w:tcPr>
          <w:p w14:paraId="56052EAB" w14:textId="77777777" w:rsidR="00470B19" w:rsidRDefault="009E1518">
            <w:r>
              <w:t>Develop on a small subset; run the full universe only for final loads</w:t>
            </w:r>
          </w:p>
        </w:tc>
      </w:tr>
      <w:tr w:rsidR="00470B19" w14:paraId="56052EB0" w14:textId="77777777">
        <w:tc>
          <w:tcPr>
            <w:tcW w:w="3120" w:type="dxa"/>
          </w:tcPr>
          <w:p w14:paraId="56052EAD" w14:textId="77777777" w:rsidR="00470B19" w:rsidRDefault="009E1518">
            <w:r>
              <w:t>Outbound internet access is limited to a set of trusted domains</w:t>
            </w:r>
          </w:p>
        </w:tc>
        <w:tc>
          <w:tcPr>
            <w:tcW w:w="3120" w:type="dxa"/>
          </w:tcPr>
          <w:p w14:paraId="56052EAE" w14:textId="77777777" w:rsidR="00470B19" w:rsidRDefault="009E1518">
            <w:r>
              <w:t>Databricks likely cannot download from PSX directly</w:t>
            </w:r>
          </w:p>
        </w:tc>
        <w:tc>
          <w:tcPr>
            <w:tcW w:w="3120" w:type="dxa"/>
          </w:tcPr>
          <w:p w14:paraId="56052EAF" w14:textId="77777777" w:rsidR="00470B19" w:rsidRDefault="009E1518">
            <w:r>
              <w:t>Downloads run on a team member's machine and files are uploaded to a Databricks Volume; all Spark processing runs in Databricks. We will confirm this in Phase 2</w:t>
            </w:r>
          </w:p>
        </w:tc>
      </w:tr>
      <w:tr w:rsidR="00470B19" w14:paraId="56052EB4" w14:textId="77777777">
        <w:tc>
          <w:tcPr>
            <w:tcW w:w="3120" w:type="dxa"/>
          </w:tcPr>
          <w:p w14:paraId="56052EB1" w14:textId="77777777" w:rsidR="00470B19" w:rsidRDefault="009E1518">
            <w:r>
              <w:t>One SQL warehouse at the smallest size; at most 5 concurrent job tasks</w:t>
            </w:r>
          </w:p>
        </w:tc>
        <w:tc>
          <w:tcPr>
            <w:tcW w:w="3120" w:type="dxa"/>
          </w:tcPr>
          <w:p w14:paraId="56052EB2" w14:textId="77777777" w:rsidR="00470B19" w:rsidRDefault="009E1518">
            <w:r>
              <w:t>Limits parallel jobs and dashboard queries</w:t>
            </w:r>
          </w:p>
        </w:tc>
        <w:tc>
          <w:tcPr>
            <w:tcW w:w="3120" w:type="dxa"/>
          </w:tcPr>
          <w:p w14:paraId="56052EB3" w14:textId="77777777" w:rsidR="00470B19" w:rsidRDefault="009E1518">
            <w:r>
              <w:t>One sequential job (Bronze, Silver, Gold); Power BI reads compact Gold tables only</w:t>
            </w:r>
          </w:p>
        </w:tc>
      </w:tr>
    </w:tbl>
    <w:p w14:paraId="56052EB5" w14:textId="77777777" w:rsidR="00470B19" w:rsidRDefault="009E1518">
      <w:pPr>
        <w:pStyle w:val="Heading3"/>
      </w:pPr>
      <w:r>
        <w:t>6.3 FinOps: Managing Volume and Compute</w:t>
      </w:r>
    </w:p>
    <w:p w14:paraId="56052EB6" w14:textId="77777777" w:rsidR="00470B19" w:rsidRDefault="009E1518">
      <w:pPr>
        <w:pStyle w:val="ListParagraph"/>
        <w:numPr>
          <w:ilvl w:val="0"/>
          <w:numId w:val="12"/>
        </w:numPr>
      </w:pPr>
      <w:r>
        <w:rPr>
          <w:b/>
        </w:rPr>
        <w:t>Develop small, run big once.</w:t>
      </w:r>
      <w:r>
        <w:t xml:space="preserve"> All notebooks are built and tested on the five sample companies plus the KSE-100 (~0.5 MB). The ~45 MB full universe runs only after logic is verified.</w:t>
      </w:r>
    </w:p>
    <w:p w14:paraId="56052EB7" w14:textId="77777777" w:rsidR="00470B19" w:rsidRDefault="009E1518">
      <w:pPr>
        <w:pStyle w:val="ListParagraph"/>
        <w:numPr>
          <w:ilvl w:val="0"/>
          <w:numId w:val="12"/>
        </w:numPr>
      </w:pPr>
      <w:r>
        <w:rPr>
          <w:b/>
        </w:rPr>
        <w:t>Process only what is new.</w:t>
      </w:r>
      <w:r>
        <w:t xml:space="preserve"> Incremental runs read only new Bronze partitions and merge into Silver; Gold recomputes only recent dates with a 60-trading-day lookback.</w:t>
      </w:r>
    </w:p>
    <w:p w14:paraId="56052EB8" w14:textId="77777777" w:rsidR="00470B19" w:rsidRDefault="009E1518">
      <w:pPr>
        <w:pStyle w:val="ListParagraph"/>
        <w:numPr>
          <w:ilvl w:val="0"/>
          <w:numId w:val="12"/>
        </w:numPr>
      </w:pPr>
      <w:r>
        <w:rPr>
          <w:b/>
        </w:rPr>
        <w:t>Never re-download history.</w:t>
      </w:r>
      <w:r>
        <w:t xml:space="preserve"> Raw files are kept in the landing zone and Bronze, so reprocessing reads stored data instead of calling PSX again. This also respects PSX's access limits.</w:t>
      </w:r>
    </w:p>
    <w:p w14:paraId="56052EB9" w14:textId="77777777" w:rsidR="00470B19" w:rsidRDefault="009E1518">
      <w:pPr>
        <w:pStyle w:val="ListParagraph"/>
        <w:numPr>
          <w:ilvl w:val="0"/>
          <w:numId w:val="12"/>
        </w:numPr>
      </w:pPr>
      <w:r>
        <w:rPr>
          <w:b/>
        </w:rPr>
        <w:t>Efficient storage.</w:t>
      </w:r>
      <w:r>
        <w:t xml:space="preserve"> Delta Lake tables partitioned by date or year let Spark skip irrelevant data; total storage stays under ~0.1 GB for the first year.</w:t>
      </w:r>
    </w:p>
    <w:p w14:paraId="56052EBA" w14:textId="77777777" w:rsidR="00470B19" w:rsidRDefault="009E1518">
      <w:pPr>
        <w:pStyle w:val="ListParagraph"/>
        <w:numPr>
          <w:ilvl w:val="0"/>
          <w:numId w:val="12"/>
        </w:numPr>
      </w:pPr>
      <w:r>
        <w:rPr>
          <w:b/>
        </w:rPr>
        <w:t>Short sessions.</w:t>
      </w:r>
      <w:r>
        <w:t xml:space="preserve"> Serverless compute is used only while notebooks run, with no idle clusters; heavy runs are scheduled once, not repeated.</w:t>
      </w:r>
    </w:p>
    <w:p w14:paraId="56052EBB" w14:textId="77777777" w:rsidR="00470B19" w:rsidRDefault="009E1518">
      <w:pPr>
        <w:pStyle w:val="ListParagraph"/>
        <w:numPr>
          <w:ilvl w:val="0"/>
          <w:numId w:val="12"/>
        </w:numPr>
      </w:pPr>
      <w:r>
        <w:rPr>
          <w:b/>
        </w:rPr>
        <w:t>Quota awareness.</w:t>
      </w:r>
      <w:r>
        <w:t xml:space="preserve"> If a quota shutdown happens, it is logged and the full run moves to the next day; the checkpointed, resumable design means nothing is lost.</w:t>
      </w:r>
    </w:p>
    <w:sectPr w:rsidR="00470B1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38E3"/>
    <w:multiLevelType w:val="hybridMultilevel"/>
    <w:tmpl w:val="DBF27928"/>
    <w:lvl w:ilvl="0" w:tplc="9A5E78FC">
      <w:start w:val="1"/>
      <w:numFmt w:val="bullet"/>
      <w:lvlText w:val="•"/>
      <w:lvlJc w:val="left"/>
      <w:pPr>
        <w:ind w:left="720" w:hanging="360"/>
      </w:pPr>
    </w:lvl>
    <w:lvl w:ilvl="1" w:tplc="C5BEB5BC">
      <w:start w:val="1"/>
      <w:numFmt w:val="bullet"/>
      <w:lvlText w:val="o"/>
      <w:lvlJc w:val="left"/>
      <w:pPr>
        <w:ind w:left="1440" w:hanging="360"/>
      </w:pPr>
    </w:lvl>
    <w:lvl w:ilvl="2" w:tplc="859E8C52">
      <w:start w:val="1"/>
      <w:numFmt w:val="bullet"/>
      <w:lvlText w:val="▪"/>
      <w:lvlJc w:val="left"/>
      <w:pPr>
        <w:ind w:left="2160" w:hanging="360"/>
      </w:pPr>
    </w:lvl>
    <w:lvl w:ilvl="3" w:tplc="C924E2AC">
      <w:start w:val="1"/>
      <w:numFmt w:val="bullet"/>
      <w:lvlText w:val="•"/>
      <w:lvlJc w:val="left"/>
      <w:pPr>
        <w:ind w:left="2880" w:hanging="360"/>
      </w:pPr>
    </w:lvl>
    <w:lvl w:ilvl="4" w:tplc="8D603B08">
      <w:start w:val="1"/>
      <w:numFmt w:val="bullet"/>
      <w:lvlText w:val="o"/>
      <w:lvlJc w:val="left"/>
      <w:pPr>
        <w:ind w:left="3600" w:hanging="360"/>
      </w:pPr>
    </w:lvl>
    <w:lvl w:ilvl="5" w:tplc="240AEBC0">
      <w:start w:val="1"/>
      <w:numFmt w:val="bullet"/>
      <w:lvlText w:val="▪"/>
      <w:lvlJc w:val="left"/>
      <w:pPr>
        <w:ind w:left="4320" w:hanging="360"/>
      </w:pPr>
    </w:lvl>
    <w:lvl w:ilvl="6" w:tplc="AE2C7788">
      <w:start w:val="1"/>
      <w:numFmt w:val="bullet"/>
      <w:lvlText w:val="•"/>
      <w:lvlJc w:val="left"/>
      <w:pPr>
        <w:ind w:left="5040" w:hanging="360"/>
      </w:pPr>
    </w:lvl>
    <w:lvl w:ilvl="7" w:tplc="046E6F7A">
      <w:start w:val="1"/>
      <w:numFmt w:val="bullet"/>
      <w:lvlText w:val="o"/>
      <w:lvlJc w:val="left"/>
      <w:pPr>
        <w:ind w:left="5760" w:hanging="360"/>
      </w:pPr>
    </w:lvl>
    <w:lvl w:ilvl="8" w:tplc="1C50ABE2">
      <w:start w:val="1"/>
      <w:numFmt w:val="bullet"/>
      <w:lvlText w:val="▪"/>
      <w:lvlJc w:val="left"/>
      <w:pPr>
        <w:ind w:left="6480" w:hanging="360"/>
      </w:pPr>
    </w:lvl>
  </w:abstractNum>
  <w:abstractNum w:abstractNumId="1" w15:restartNumberingAfterBreak="0">
    <w:nsid w:val="6C3B5684"/>
    <w:multiLevelType w:val="hybridMultilevel"/>
    <w:tmpl w:val="92E01800"/>
    <w:lvl w:ilvl="0" w:tplc="01322456">
      <w:start w:val="1"/>
      <w:numFmt w:val="decimal"/>
      <w:lvlText w:val="%1."/>
      <w:lvlJc w:val="left"/>
      <w:pPr>
        <w:ind w:left="720" w:hanging="360"/>
      </w:pPr>
    </w:lvl>
    <w:lvl w:ilvl="1" w:tplc="5B787DBC">
      <w:start w:val="1"/>
      <w:numFmt w:val="lowerLetter"/>
      <w:lvlText w:val="%2."/>
      <w:lvlJc w:val="left"/>
      <w:pPr>
        <w:ind w:left="1440" w:hanging="360"/>
      </w:pPr>
    </w:lvl>
    <w:lvl w:ilvl="2" w:tplc="F26466FA">
      <w:start w:val="1"/>
      <w:numFmt w:val="lowerRoman"/>
      <w:lvlText w:val="%3."/>
      <w:lvlJc w:val="left"/>
      <w:pPr>
        <w:ind w:left="2160" w:hanging="360"/>
      </w:pPr>
    </w:lvl>
    <w:lvl w:ilvl="3" w:tplc="F8BC0C34">
      <w:start w:val="1"/>
      <w:numFmt w:val="decimal"/>
      <w:lvlText w:val="%4."/>
      <w:lvlJc w:val="left"/>
      <w:pPr>
        <w:ind w:left="2880" w:hanging="360"/>
      </w:pPr>
    </w:lvl>
    <w:lvl w:ilvl="4" w:tplc="70C80864">
      <w:start w:val="1"/>
      <w:numFmt w:val="lowerLetter"/>
      <w:lvlText w:val="%5."/>
      <w:lvlJc w:val="left"/>
      <w:pPr>
        <w:ind w:left="3600" w:hanging="360"/>
      </w:pPr>
    </w:lvl>
    <w:lvl w:ilvl="5" w:tplc="2C16A556">
      <w:start w:val="1"/>
      <w:numFmt w:val="lowerRoman"/>
      <w:lvlText w:val="%6."/>
      <w:lvlJc w:val="left"/>
      <w:pPr>
        <w:ind w:left="4320" w:hanging="360"/>
      </w:pPr>
    </w:lvl>
    <w:lvl w:ilvl="6" w:tplc="68C0F8C0">
      <w:start w:val="1"/>
      <w:numFmt w:val="decimal"/>
      <w:lvlText w:val="%7."/>
      <w:lvlJc w:val="left"/>
      <w:pPr>
        <w:ind w:left="5040" w:hanging="360"/>
      </w:pPr>
    </w:lvl>
    <w:lvl w:ilvl="7" w:tplc="86920D7A">
      <w:start w:val="1"/>
      <w:numFmt w:val="lowerLetter"/>
      <w:lvlText w:val="%8."/>
      <w:lvlJc w:val="left"/>
      <w:pPr>
        <w:ind w:left="5760" w:hanging="360"/>
      </w:pPr>
    </w:lvl>
    <w:lvl w:ilvl="8" w:tplc="485A007E">
      <w:start w:val="1"/>
      <w:numFmt w:val="lowerRoman"/>
      <w:lvlText w:val="%9."/>
      <w:lvlJc w:val="left"/>
      <w:pPr>
        <w:ind w:left="6480" w:hanging="360"/>
      </w:pPr>
    </w:lvl>
  </w:abstractNum>
  <w:num w:numId="1" w16cid:durableId="1986815843">
    <w:abstractNumId w:val="0"/>
  </w:num>
  <w:num w:numId="2" w16cid:durableId="1285581281">
    <w:abstractNumId w:val="0"/>
  </w:num>
  <w:num w:numId="3" w16cid:durableId="648824453">
    <w:abstractNumId w:val="0"/>
  </w:num>
  <w:num w:numId="4" w16cid:durableId="488719346">
    <w:abstractNumId w:val="0"/>
  </w:num>
  <w:num w:numId="5" w16cid:durableId="1861701354">
    <w:abstractNumId w:val="0"/>
  </w:num>
  <w:num w:numId="6" w16cid:durableId="1552811925">
    <w:abstractNumId w:val="0"/>
  </w:num>
  <w:num w:numId="7" w16cid:durableId="825976390">
    <w:abstractNumId w:val="0"/>
  </w:num>
  <w:num w:numId="8" w16cid:durableId="677270746">
    <w:abstractNumId w:val="0"/>
  </w:num>
  <w:num w:numId="9" w16cid:durableId="1402680693">
    <w:abstractNumId w:val="1"/>
    <w:lvlOverride w:ilvl="0">
      <w:startOverride w:val="1"/>
    </w:lvlOverride>
  </w:num>
  <w:num w:numId="10" w16cid:durableId="938410924">
    <w:abstractNumId w:val="0"/>
  </w:num>
  <w:num w:numId="11" w16cid:durableId="29688120">
    <w:abstractNumId w:val="0"/>
  </w:num>
  <w:num w:numId="12" w16cid:durableId="203699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70B19"/>
    <w:rsid w:val="00470B19"/>
    <w:rsid w:val="009E1518"/>
    <w:rsid w:val="00AB414A"/>
    <w:rsid w:val="00E4743A"/>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2CFD"/>
  <w15:docId w15:val="{C0CF48CF-CF5F-4F59-BFEE-C48438F0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atabricks.com/aws/en/getting-started/free-edition-limitations" TargetMode="External"/><Relationship Id="rId3" Type="http://schemas.openxmlformats.org/officeDocument/2006/relationships/settings" Target="settings.xml"/><Relationship Id="rId7" Type="http://schemas.openxmlformats.org/officeDocument/2006/relationships/hyperlink" Target="https://github.com/saqibqazi5706/psx-risk-lakeho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tauha/psxdata" TargetMode="External"/><Relationship Id="rId5" Type="http://schemas.openxmlformats.org/officeDocument/2006/relationships/hyperlink" Target="https://github.com/saqibqazi5706/psx-risk-lakehou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3326</Words>
  <Characters>18962</Characters>
  <Application>Microsoft Office Word</Application>
  <DocSecurity>0</DocSecurity>
  <Lines>158</Lines>
  <Paragraphs>44</Paragraphs>
  <ScaleCrop>false</ScaleCrop>
  <Company/>
  <LinksUpToDate>false</LinksUpToDate>
  <CharactersWithSpaces>22244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PSX Risk Lakehouse — Phase 1 Project Proposal</dc:title>
  <dc:description>Claude Docs node/2b35c144-8cc0@32 docx-w6</dc:description>
  <cp:lastModifiedBy>Saqib Qazi</cp:lastModifiedBy>
  <cp:revision>33</cp:revision>
  <dcterms:created xsi:type="dcterms:W3CDTF">2026-09-26T17:11:00Z</dcterms:created>
  <dcterms:modified xsi:type="dcterms:W3CDTF">2026-09-26T17:11:00Z</dcterms:modified>
</cp:coreProperties>
</file>