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D344" w14:textId="77777777" w:rsidR="007A0A47" w:rsidRDefault="007A0A47" w:rsidP="007A0A47">
      <w:pPr>
        <w:pStyle w:val="Heading1"/>
      </w:pPr>
      <w:r>
        <w:t>Sandwich Ontology Report - Assignment Part 1</w:t>
      </w:r>
    </w:p>
    <w:p w14:paraId="7F49CCD0" w14:textId="77777777" w:rsidR="007A0A47" w:rsidRDefault="007A0A47" w:rsidP="007A0A47">
      <w:pPr>
        <w:pStyle w:val="Heading2"/>
      </w:pPr>
      <w:r>
        <w:t>Overview of Ontology</w:t>
      </w:r>
    </w:p>
    <w:p w14:paraId="4D434418" w14:textId="4DB96F25" w:rsidR="007A0A47" w:rsidRDefault="007A0A47" w:rsidP="007A0A47">
      <w:pPr>
        <w:pStyle w:val="NormalWeb"/>
      </w:pPr>
      <w:r>
        <w:t>This sandwich ontology provides a comprehensive conceptual framework for modelling various types of sandwiches and their constituent components</w:t>
      </w:r>
      <w:r w:rsidR="005F7EA7">
        <w:t xml:space="preserve"> or parts</w:t>
      </w:r>
      <w:r>
        <w:t>. The ontology encompasses 3</w:t>
      </w:r>
      <w:r w:rsidR="00A97EC1">
        <w:t>7</w:t>
      </w:r>
      <w:r>
        <w:t xml:space="preserve"> classes organised hierarchically to capture essential characteristics and relationships within the sandwich domain.</w:t>
      </w:r>
      <w:r w:rsidR="00A97EC1">
        <w:t xml:space="preserve"> </w:t>
      </w:r>
      <w:r w:rsidR="005F7EA7">
        <w:t>More than 10 were used to try and encapsulate the bread of sandwich types mentioned in the Wikipedia link on sandwiches.</w:t>
      </w:r>
    </w:p>
    <w:p w14:paraId="28982237" w14:textId="2EF005FC" w:rsidR="007A0A47" w:rsidRDefault="007A0A47" w:rsidP="007A0A47">
      <w:pPr>
        <w:pStyle w:val="NormalWeb"/>
      </w:pPr>
      <w:r>
        <w:t xml:space="preserve">The ontology is constructed around two primary branches: </w:t>
      </w:r>
      <w:r>
        <w:rPr>
          <w:rStyle w:val="Strong"/>
          <w:rFonts w:eastAsiaTheme="majorEastAsia"/>
        </w:rPr>
        <w:t>sandwich types</w:t>
      </w:r>
      <w:r>
        <w:t xml:space="preserve"> and </w:t>
      </w:r>
      <w:r>
        <w:rPr>
          <w:rStyle w:val="Strong"/>
          <w:rFonts w:eastAsiaTheme="majorEastAsia"/>
        </w:rPr>
        <w:t>ingredient categories</w:t>
      </w:r>
      <w:r>
        <w:t xml:space="preserve">. The classification system distinguishes between fundamental structural differences (open versus closed sandwiches) whilst accommodating cultural variations (Panini, </w:t>
      </w:r>
      <w:r w:rsidR="000A3415">
        <w:t>Smorrebrod</w:t>
      </w:r>
      <w:r>
        <w:t>, Club sandwiches). The ingredient hierarchy systematically organises components from general categories (Bread, Filling, Condiment) to specific instances (Ham, Ciabatta, Cucumber).</w:t>
      </w:r>
    </w:p>
    <w:p w14:paraId="6F65551F" w14:textId="77777777" w:rsidR="007A0A47" w:rsidRDefault="007A0A47" w:rsidP="007A0A47">
      <w:pPr>
        <w:pStyle w:val="NormalWeb"/>
      </w:pPr>
      <w:r>
        <w:t>Five object properties (</w:t>
      </w:r>
      <w:proofErr w:type="spellStart"/>
      <w:r>
        <w:t>containsBread</w:t>
      </w:r>
      <w:proofErr w:type="spellEnd"/>
      <w:r>
        <w:t xml:space="preserve">, </w:t>
      </w:r>
      <w:proofErr w:type="spellStart"/>
      <w:r>
        <w:t>hasFilling</w:t>
      </w:r>
      <w:proofErr w:type="spellEnd"/>
      <w:r>
        <w:t xml:space="preserve">, </w:t>
      </w:r>
      <w:proofErr w:type="spellStart"/>
      <w:r>
        <w:t>hasIngredient</w:t>
      </w:r>
      <w:proofErr w:type="spellEnd"/>
      <w:r>
        <w:t xml:space="preserve">, </w:t>
      </w:r>
      <w:proofErr w:type="spellStart"/>
      <w:r>
        <w:t>isCompatibleWith</w:t>
      </w:r>
      <w:proofErr w:type="spellEnd"/>
      <w:r>
        <w:t xml:space="preserve">, </w:t>
      </w:r>
      <w:proofErr w:type="spellStart"/>
      <w:r>
        <w:t>isLayeredAbove</w:t>
      </w:r>
      <w:proofErr w:type="spellEnd"/>
      <w:r>
        <w:t>) establish the relational framework for expressing complex sandwich structures and ingredient interactions.</w:t>
      </w:r>
    </w:p>
    <w:p w14:paraId="1D7F687F" w14:textId="77777777" w:rsidR="007A0A47" w:rsidRDefault="007A0A47" w:rsidP="007A0A47">
      <w:pPr>
        <w:pStyle w:val="Heading2"/>
      </w:pPr>
      <w:r>
        <w:lastRenderedPageBreak/>
        <w:t>Justification of Hierarchical Relations</w:t>
      </w:r>
    </w:p>
    <w:p w14:paraId="09849A1F" w14:textId="64F10388" w:rsidR="00AC2719" w:rsidRPr="00AC2719" w:rsidRDefault="00AC2719" w:rsidP="00AC2719">
      <w:pPr>
        <w:rPr>
          <w:lang w:eastAsia="en-US"/>
        </w:rPr>
      </w:pPr>
      <w:r w:rsidRPr="00AC2719">
        <w:rPr>
          <w:lang w:eastAsia="en-US"/>
        </w:rPr>
        <w:drawing>
          <wp:inline distT="0" distB="0" distL="0" distR="0" wp14:anchorId="0D215ED6" wp14:editId="34ED20F9">
            <wp:extent cx="4419600" cy="5892800"/>
            <wp:effectExtent l="0" t="0" r="0" b="0"/>
            <wp:docPr id="926331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311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88B5" w14:textId="77777777" w:rsidR="007A0A47" w:rsidRDefault="007A0A47" w:rsidP="007A0A47">
      <w:pPr>
        <w:pStyle w:val="Heading3"/>
      </w:pPr>
      <w:r>
        <w:t>Primary Hierarchical Structure</w:t>
      </w:r>
    </w:p>
    <w:p w14:paraId="7D0166E9" w14:textId="168FAAA7" w:rsidR="007A0A47" w:rsidRDefault="007A0A47" w:rsidP="007A0A47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 xml:space="preserve">Sandwich → </w:t>
      </w:r>
      <w:proofErr w:type="spellStart"/>
      <w:r>
        <w:rPr>
          <w:rStyle w:val="Strong"/>
          <w:rFonts w:eastAsiaTheme="majorEastAsia"/>
        </w:rPr>
        <w:t>Closed_Sandwich</w:t>
      </w:r>
      <w:proofErr w:type="spellEnd"/>
      <w:r>
        <w:rPr>
          <w:rStyle w:val="Strong"/>
          <w:rFonts w:eastAsiaTheme="majorEastAsia"/>
        </w:rPr>
        <w:t>/Open</w:t>
      </w:r>
      <w:r>
        <w:t xml:space="preserve"> hierarchy reflects </w:t>
      </w:r>
      <w:r w:rsidR="005F7EA7">
        <w:t xml:space="preserve">the </w:t>
      </w:r>
      <w:r>
        <w:t xml:space="preserve">structural </w:t>
      </w:r>
      <w:r w:rsidR="005F7EA7">
        <w:t xml:space="preserve">difference </w:t>
      </w:r>
      <w:r>
        <w:t xml:space="preserve">in sandwich classification. Closed sandwiches (multiple bread pieces enclosing fillings) </w:t>
      </w:r>
      <w:r w:rsidR="005F7EA7">
        <w:t xml:space="preserve">have </w:t>
      </w:r>
      <w:r>
        <w:t>different structural requirements than open sandwiches (single bread base with toppings</w:t>
      </w:r>
      <w:proofErr w:type="gramStart"/>
      <w:r>
        <w:t xml:space="preserve">), </w:t>
      </w:r>
      <w:r w:rsidR="005F7EA7">
        <w:t>and</w:t>
      </w:r>
      <w:proofErr w:type="gramEnd"/>
      <w:r w:rsidR="005F7EA7">
        <w:t xml:space="preserve"> hence </w:t>
      </w:r>
      <w:r>
        <w:t>requiring different logical constraints and preparation methods.</w:t>
      </w:r>
    </w:p>
    <w:p w14:paraId="39D5ECB6" w14:textId="77777777" w:rsidR="007A0A47" w:rsidRDefault="007A0A47" w:rsidP="007A0A47">
      <w:pPr>
        <w:pStyle w:val="Heading3"/>
      </w:pPr>
      <w:r>
        <w:t>Ingredient Categorisation</w:t>
      </w:r>
    </w:p>
    <w:p w14:paraId="5EE6C387" w14:textId="7DC189C6" w:rsidR="007A0A47" w:rsidRDefault="007A0A47" w:rsidP="007A0A47">
      <w:pPr>
        <w:pStyle w:val="NormalWeb"/>
      </w:pPr>
      <w:r>
        <w:t xml:space="preserve">The </w:t>
      </w:r>
      <w:proofErr w:type="gramStart"/>
      <w:r>
        <w:rPr>
          <w:rStyle w:val="Strong"/>
          <w:rFonts w:eastAsiaTheme="majorEastAsia"/>
        </w:rPr>
        <w:t>Ingredients</w:t>
      </w:r>
      <w:proofErr w:type="gramEnd"/>
      <w:r>
        <w:rPr>
          <w:rStyle w:val="Strong"/>
          <w:rFonts w:eastAsiaTheme="majorEastAsia"/>
        </w:rPr>
        <w:t xml:space="preserve"> → Bread/Filling/Condiment</w:t>
      </w:r>
      <w:r>
        <w:t xml:space="preserve"> hierarchy organises components by functional role rather than material. Bread classes are distinguished by preparation method and cultural origin, whilst Filling subclasses (Meat, Vegetable, Cheese) are grouped by nutritional </w:t>
      </w:r>
      <w:r>
        <w:lastRenderedPageBreak/>
        <w:t>function</w:t>
      </w:r>
      <w:r w:rsidR="00A97EC1">
        <w:t xml:space="preserve"> and </w:t>
      </w:r>
      <w:r w:rsidR="005F7EA7">
        <w:t xml:space="preserve">standard </w:t>
      </w:r>
      <w:r w:rsidR="00A97EC1">
        <w:t>dietary requirements</w:t>
      </w:r>
      <w:r>
        <w:t>. Condiment division into Sauce and Spread reflects application methods.</w:t>
      </w:r>
    </w:p>
    <w:p w14:paraId="55E801D6" w14:textId="77777777" w:rsidR="007A0A47" w:rsidRDefault="007A0A47" w:rsidP="007A0A47">
      <w:pPr>
        <w:pStyle w:val="Heading3"/>
      </w:pPr>
      <w:r>
        <w:t>Specialised Sandwich Types</w:t>
      </w:r>
    </w:p>
    <w:p w14:paraId="409B48E2" w14:textId="261CBCCA" w:rsidR="007A0A47" w:rsidRDefault="007A0A47" w:rsidP="007A0A47">
      <w:pPr>
        <w:pStyle w:val="NormalWeb"/>
      </w:pPr>
      <w:r>
        <w:t xml:space="preserve">Complex sandwiches such as </w:t>
      </w:r>
      <w:proofErr w:type="spellStart"/>
      <w:r>
        <w:rPr>
          <w:rStyle w:val="Strong"/>
          <w:rFonts w:eastAsiaTheme="majorEastAsia"/>
        </w:rPr>
        <w:t>ClubSandwich</w:t>
      </w:r>
      <w:proofErr w:type="spellEnd"/>
      <w:r>
        <w:t xml:space="preserve"> inherit from </w:t>
      </w:r>
      <w:proofErr w:type="spellStart"/>
      <w:r>
        <w:rPr>
          <w:rStyle w:val="Strong"/>
          <w:rFonts w:eastAsiaTheme="majorEastAsia"/>
        </w:rPr>
        <w:t>Double_Decker</w:t>
      </w:r>
      <w:proofErr w:type="spellEnd"/>
      <w:r w:rsidR="000A3415">
        <w:rPr>
          <w:rStyle w:val="Strong"/>
          <w:rFonts w:eastAsiaTheme="majorEastAsia"/>
        </w:rPr>
        <w:t xml:space="preserve">, which is a </w:t>
      </w:r>
      <w:proofErr w:type="spellStart"/>
      <w:r w:rsidR="000A3415">
        <w:rPr>
          <w:rStyle w:val="Strong"/>
          <w:rFonts w:eastAsiaTheme="majorEastAsia"/>
        </w:rPr>
        <w:t>Closed_Sandwich</w:t>
      </w:r>
      <w:proofErr w:type="spellEnd"/>
      <w:r>
        <w:t xml:space="preserve"> because they maintain fundamental closed structure whilst adding specific layer requirements. </w:t>
      </w:r>
      <w:proofErr w:type="spellStart"/>
      <w:r>
        <w:rPr>
          <w:rStyle w:val="Strong"/>
          <w:rFonts w:eastAsiaTheme="majorEastAsia"/>
        </w:rPr>
        <w:t>Tripple_Decker</w:t>
      </w:r>
      <w:proofErr w:type="spellEnd"/>
      <w:r w:rsidR="000A3415">
        <w:rPr>
          <w:rStyle w:val="Strong"/>
          <w:rFonts w:eastAsiaTheme="majorEastAsia"/>
        </w:rPr>
        <w:t xml:space="preserve">, also a </w:t>
      </w:r>
      <w:proofErr w:type="spellStart"/>
      <w:r w:rsidR="000A3415">
        <w:rPr>
          <w:rStyle w:val="Strong"/>
          <w:rFonts w:eastAsiaTheme="majorEastAsia"/>
        </w:rPr>
        <w:t>Closed_Sandwich</w:t>
      </w:r>
      <w:proofErr w:type="spellEnd"/>
      <w:r>
        <w:t xml:space="preserve"> represents </w:t>
      </w:r>
      <w:r w:rsidR="000A3415">
        <w:t>further</w:t>
      </w:r>
      <w:r>
        <w:t xml:space="preserve"> multi-layer construction </w:t>
      </w:r>
      <w:r w:rsidR="000A3415">
        <w:t xml:space="preserve">and therefore a </w:t>
      </w:r>
      <w:r>
        <w:t>separate classification.</w:t>
      </w:r>
    </w:p>
    <w:p w14:paraId="3ACB1B08" w14:textId="1DFAA3A1" w:rsidR="000A3415" w:rsidRDefault="000A3415" w:rsidP="000A3415">
      <w:pPr>
        <w:pStyle w:val="Heading3"/>
      </w:pPr>
      <w:r>
        <w:t>Property Classification</w:t>
      </w:r>
    </w:p>
    <w:p w14:paraId="17146E2D" w14:textId="3DD13FCD" w:rsidR="000A3415" w:rsidRDefault="000A3415" w:rsidP="000A3415">
      <w:pPr>
        <w:rPr>
          <w:lang w:eastAsia="en-US"/>
        </w:rPr>
      </w:pPr>
      <w:r>
        <w:rPr>
          <w:lang w:eastAsia="en-US"/>
        </w:rPr>
        <w:t>The following properties were used:</w:t>
      </w:r>
    </w:p>
    <w:p w14:paraId="1154EF13" w14:textId="41A7BB78" w:rsidR="000A3415" w:rsidRDefault="000A3415" w:rsidP="000A3415">
      <w:pPr>
        <w:rPr>
          <w:lang w:eastAsia="en-US"/>
        </w:rPr>
      </w:pPr>
      <w:proofErr w:type="spellStart"/>
      <w:r>
        <w:rPr>
          <w:lang w:eastAsia="en-US"/>
        </w:rPr>
        <w:t>containsBread</w:t>
      </w:r>
      <w:proofErr w:type="spellEnd"/>
      <w:r>
        <w:rPr>
          <w:lang w:eastAsia="en-US"/>
        </w:rPr>
        <w:t>: needed to classify sandwich types</w:t>
      </w:r>
    </w:p>
    <w:p w14:paraId="2471ED42" w14:textId="08CDE047" w:rsidR="000A3415" w:rsidRDefault="000A3415" w:rsidP="000A3415">
      <w:pPr>
        <w:rPr>
          <w:lang w:eastAsia="en-US"/>
        </w:rPr>
      </w:pPr>
      <w:proofErr w:type="spellStart"/>
      <w:r>
        <w:rPr>
          <w:lang w:eastAsia="en-US"/>
        </w:rPr>
        <w:t>hasFilling</w:t>
      </w:r>
      <w:proofErr w:type="spellEnd"/>
      <w:r>
        <w:rPr>
          <w:lang w:eastAsia="en-US"/>
        </w:rPr>
        <w:t>: needed to define recipes</w:t>
      </w:r>
    </w:p>
    <w:p w14:paraId="73580E87" w14:textId="06A1895B" w:rsidR="000A3415" w:rsidRDefault="000A3415" w:rsidP="000A3415">
      <w:pPr>
        <w:rPr>
          <w:lang w:eastAsia="en-US"/>
        </w:rPr>
      </w:pPr>
      <w:proofErr w:type="spellStart"/>
      <w:r>
        <w:rPr>
          <w:lang w:eastAsia="en-US"/>
        </w:rPr>
        <w:t>hasIngredients</w:t>
      </w:r>
      <w:proofErr w:type="spellEnd"/>
      <w:r>
        <w:rPr>
          <w:lang w:eastAsia="en-US"/>
        </w:rPr>
        <w:t>: capture other items which are not bread or filling</w:t>
      </w:r>
    </w:p>
    <w:p w14:paraId="09BDFBF7" w14:textId="0B5FCE21" w:rsidR="000A3415" w:rsidRDefault="000A3415" w:rsidP="000A3415">
      <w:pPr>
        <w:rPr>
          <w:lang w:eastAsia="en-US"/>
        </w:rPr>
      </w:pPr>
      <w:proofErr w:type="spellStart"/>
      <w:r>
        <w:rPr>
          <w:lang w:eastAsia="en-US"/>
        </w:rPr>
        <w:t>isCompatibleWith</w:t>
      </w:r>
      <w:proofErr w:type="spellEnd"/>
      <w:r>
        <w:rPr>
          <w:lang w:eastAsia="en-US"/>
        </w:rPr>
        <w:t xml:space="preserve">: required for culinary intelligence / cooking knowledge </w:t>
      </w:r>
    </w:p>
    <w:p w14:paraId="69548169" w14:textId="36B1C2CD" w:rsidR="000A3415" w:rsidRDefault="000A3415" w:rsidP="000A3415">
      <w:pPr>
        <w:rPr>
          <w:lang w:eastAsia="en-US"/>
        </w:rPr>
      </w:pPr>
      <w:proofErr w:type="spellStart"/>
      <w:r>
        <w:rPr>
          <w:lang w:eastAsia="en-US"/>
        </w:rPr>
        <w:t>isLayeredAbove</w:t>
      </w:r>
      <w:proofErr w:type="spellEnd"/>
      <w:r>
        <w:rPr>
          <w:lang w:eastAsia="en-US"/>
        </w:rPr>
        <w:t>: know what’s inside but not how to build</w:t>
      </w:r>
    </w:p>
    <w:p w14:paraId="7951D99E" w14:textId="77777777" w:rsidR="000A3415" w:rsidRPr="000A3415" w:rsidRDefault="000A3415" w:rsidP="000A3415">
      <w:pPr>
        <w:rPr>
          <w:lang w:eastAsia="en-US"/>
        </w:rPr>
      </w:pP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"/>
        <w:gridCol w:w="851"/>
        <w:gridCol w:w="992"/>
        <w:gridCol w:w="992"/>
        <w:gridCol w:w="1276"/>
        <w:gridCol w:w="1276"/>
        <w:gridCol w:w="1701"/>
      </w:tblGrid>
      <w:tr w:rsidR="005F7EA7" w14:paraId="0FC3E907" w14:textId="77777777" w:rsidTr="00AC2719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6FF2FB76" w14:textId="77777777" w:rsidR="005F7EA7" w:rsidRDefault="005F7EA7" w:rsidP="005F7E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679" w:type="dxa"/>
            <w:vAlign w:val="center"/>
            <w:hideMark/>
          </w:tcPr>
          <w:p w14:paraId="57A5C3FE" w14:textId="77777777" w:rsidR="005F7EA7" w:rsidRDefault="005F7EA7" w:rsidP="005F7E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</w:t>
            </w:r>
          </w:p>
        </w:tc>
        <w:tc>
          <w:tcPr>
            <w:tcW w:w="821" w:type="dxa"/>
            <w:vAlign w:val="center"/>
            <w:hideMark/>
          </w:tcPr>
          <w:p w14:paraId="0D5CD74B" w14:textId="77777777" w:rsidR="005F7EA7" w:rsidRDefault="005F7EA7" w:rsidP="005F7E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Inverse Functional</w:t>
            </w:r>
          </w:p>
        </w:tc>
        <w:tc>
          <w:tcPr>
            <w:tcW w:w="962" w:type="dxa"/>
            <w:vAlign w:val="center"/>
            <w:hideMark/>
          </w:tcPr>
          <w:p w14:paraId="3DBC20ED" w14:textId="77777777" w:rsidR="005F7EA7" w:rsidRDefault="005F7EA7" w:rsidP="005F7E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Transitive</w:t>
            </w:r>
          </w:p>
        </w:tc>
        <w:tc>
          <w:tcPr>
            <w:tcW w:w="962" w:type="dxa"/>
            <w:vAlign w:val="center"/>
            <w:hideMark/>
          </w:tcPr>
          <w:p w14:paraId="75480547" w14:textId="77777777" w:rsidR="005F7EA7" w:rsidRDefault="005F7EA7" w:rsidP="005F7E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Symmetric</w:t>
            </w:r>
          </w:p>
        </w:tc>
        <w:tc>
          <w:tcPr>
            <w:tcW w:w="1246" w:type="dxa"/>
            <w:vAlign w:val="center"/>
            <w:hideMark/>
          </w:tcPr>
          <w:p w14:paraId="66FF652F" w14:textId="77777777" w:rsidR="005F7EA7" w:rsidRDefault="005F7EA7" w:rsidP="005F7E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Asymmetric</w:t>
            </w:r>
          </w:p>
        </w:tc>
        <w:tc>
          <w:tcPr>
            <w:tcW w:w="1246" w:type="dxa"/>
            <w:vAlign w:val="center"/>
            <w:hideMark/>
          </w:tcPr>
          <w:p w14:paraId="6ED9A798" w14:textId="77777777" w:rsidR="005F7EA7" w:rsidRDefault="005F7EA7" w:rsidP="005F7E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Reflexive</w:t>
            </w:r>
          </w:p>
        </w:tc>
        <w:tc>
          <w:tcPr>
            <w:tcW w:w="1656" w:type="dxa"/>
            <w:vAlign w:val="center"/>
            <w:hideMark/>
          </w:tcPr>
          <w:p w14:paraId="2EFF6529" w14:textId="77777777" w:rsidR="005F7EA7" w:rsidRDefault="005F7EA7" w:rsidP="005F7E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Irreflexive</w:t>
            </w:r>
          </w:p>
        </w:tc>
      </w:tr>
      <w:tr w:rsidR="005F7EA7" w14:paraId="7697D882" w14:textId="77777777" w:rsidTr="00AC271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9CF63D1" w14:textId="77777777" w:rsidR="005F7EA7" w:rsidRDefault="005F7EA7" w:rsidP="005F7EA7">
            <w:pPr>
              <w:jc w:val="center"/>
            </w:pPr>
            <w:proofErr w:type="spellStart"/>
            <w:r>
              <w:rPr>
                <w:rStyle w:val="Strong"/>
                <w:rFonts w:eastAsiaTheme="majorEastAsia"/>
              </w:rPr>
              <w:t>containsBread</w:t>
            </w:r>
            <w:proofErr w:type="spellEnd"/>
          </w:p>
        </w:tc>
        <w:tc>
          <w:tcPr>
            <w:tcW w:w="679" w:type="dxa"/>
            <w:vAlign w:val="center"/>
            <w:hideMark/>
          </w:tcPr>
          <w:p w14:paraId="5435448E" w14:textId="3DD84A53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21" w:type="dxa"/>
            <w:vAlign w:val="center"/>
            <w:hideMark/>
          </w:tcPr>
          <w:p w14:paraId="1A93F08D" w14:textId="2DA82373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62" w:type="dxa"/>
            <w:vAlign w:val="center"/>
            <w:hideMark/>
          </w:tcPr>
          <w:p w14:paraId="38801974" w14:textId="2664CFB1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62" w:type="dxa"/>
            <w:vAlign w:val="center"/>
            <w:hideMark/>
          </w:tcPr>
          <w:p w14:paraId="255D54E1" w14:textId="048075C6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46" w:type="dxa"/>
            <w:vAlign w:val="center"/>
            <w:hideMark/>
          </w:tcPr>
          <w:p w14:paraId="088DF822" w14:textId="62051F49" w:rsidR="005F7EA7" w:rsidRPr="000A3415" w:rsidRDefault="005F7EA7" w:rsidP="005F7EA7">
            <w:pPr>
              <w:jc w:val="center"/>
              <w:rPr>
                <w:rFonts w:ascii="Cambria" w:hAnsi="Cambria"/>
                <w:b/>
                <w:bCs/>
              </w:rPr>
            </w:pPr>
            <w:r w:rsidRPr="000A3415">
              <w:rPr>
                <w:rFonts w:ascii="Cambria" w:hAnsi="Cambria" w:cs="Apple Color Emoji"/>
                <w:b/>
                <w:bCs/>
              </w:rPr>
              <w:t>Y</w:t>
            </w:r>
          </w:p>
        </w:tc>
        <w:tc>
          <w:tcPr>
            <w:tcW w:w="1246" w:type="dxa"/>
            <w:vAlign w:val="center"/>
            <w:hideMark/>
          </w:tcPr>
          <w:p w14:paraId="4974F343" w14:textId="304B8ECF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56" w:type="dxa"/>
            <w:vAlign w:val="center"/>
            <w:hideMark/>
          </w:tcPr>
          <w:p w14:paraId="26A5330C" w14:textId="65F0A8BE" w:rsidR="005F7EA7" w:rsidRPr="000A3415" w:rsidRDefault="005F7EA7" w:rsidP="005F7EA7">
            <w:pPr>
              <w:jc w:val="center"/>
              <w:rPr>
                <w:rFonts w:ascii="Cambria" w:hAnsi="Cambria"/>
                <w:b/>
                <w:bCs/>
              </w:rPr>
            </w:pPr>
            <w:r w:rsidRPr="000A3415">
              <w:rPr>
                <w:rFonts w:ascii="Cambria" w:hAnsi="Cambria" w:cs="Apple Color Emoji"/>
                <w:b/>
                <w:bCs/>
              </w:rPr>
              <w:t>Y</w:t>
            </w:r>
          </w:p>
        </w:tc>
      </w:tr>
      <w:tr w:rsidR="005F7EA7" w14:paraId="4F3EFBAD" w14:textId="77777777" w:rsidTr="00AC271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A59E8CA" w14:textId="77777777" w:rsidR="005F7EA7" w:rsidRDefault="005F7EA7" w:rsidP="005F7EA7">
            <w:pPr>
              <w:jc w:val="center"/>
            </w:pPr>
            <w:proofErr w:type="spellStart"/>
            <w:r>
              <w:rPr>
                <w:rStyle w:val="Strong"/>
                <w:rFonts w:eastAsiaTheme="majorEastAsia"/>
              </w:rPr>
              <w:t>hasFilling</w:t>
            </w:r>
            <w:proofErr w:type="spellEnd"/>
          </w:p>
        </w:tc>
        <w:tc>
          <w:tcPr>
            <w:tcW w:w="679" w:type="dxa"/>
            <w:vAlign w:val="center"/>
            <w:hideMark/>
          </w:tcPr>
          <w:p w14:paraId="26446713" w14:textId="38B62271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21" w:type="dxa"/>
            <w:vAlign w:val="center"/>
            <w:hideMark/>
          </w:tcPr>
          <w:p w14:paraId="293307A4" w14:textId="49756BD2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62" w:type="dxa"/>
            <w:vAlign w:val="center"/>
            <w:hideMark/>
          </w:tcPr>
          <w:p w14:paraId="25B8D9D9" w14:textId="6B7382FF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62" w:type="dxa"/>
            <w:vAlign w:val="center"/>
            <w:hideMark/>
          </w:tcPr>
          <w:p w14:paraId="3F8A274F" w14:textId="4F32D072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46" w:type="dxa"/>
            <w:vAlign w:val="center"/>
            <w:hideMark/>
          </w:tcPr>
          <w:p w14:paraId="3212D47F" w14:textId="5A192ECA" w:rsidR="005F7EA7" w:rsidRPr="000A3415" w:rsidRDefault="005F7EA7" w:rsidP="005F7EA7">
            <w:pPr>
              <w:jc w:val="center"/>
              <w:rPr>
                <w:rFonts w:ascii="Cambria" w:hAnsi="Cambria"/>
                <w:b/>
                <w:bCs/>
              </w:rPr>
            </w:pPr>
            <w:r w:rsidRPr="000A3415">
              <w:rPr>
                <w:rFonts w:ascii="Cambria" w:hAnsi="Cambria" w:cs="Apple Color Emoji"/>
                <w:b/>
                <w:bCs/>
              </w:rPr>
              <w:t>Y</w:t>
            </w:r>
          </w:p>
        </w:tc>
        <w:tc>
          <w:tcPr>
            <w:tcW w:w="1246" w:type="dxa"/>
            <w:vAlign w:val="center"/>
            <w:hideMark/>
          </w:tcPr>
          <w:p w14:paraId="176EDAF7" w14:textId="79AE56F9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56" w:type="dxa"/>
            <w:vAlign w:val="center"/>
            <w:hideMark/>
          </w:tcPr>
          <w:p w14:paraId="12D2EC82" w14:textId="2021948B" w:rsidR="005F7EA7" w:rsidRPr="000A3415" w:rsidRDefault="005F7EA7" w:rsidP="005F7EA7">
            <w:pPr>
              <w:jc w:val="center"/>
              <w:rPr>
                <w:rFonts w:ascii="Cambria" w:hAnsi="Cambria"/>
                <w:b/>
                <w:bCs/>
              </w:rPr>
            </w:pPr>
            <w:r w:rsidRPr="000A3415">
              <w:rPr>
                <w:rFonts w:ascii="Cambria" w:hAnsi="Cambria" w:cs="Apple Color Emoji"/>
                <w:b/>
                <w:bCs/>
              </w:rPr>
              <w:t>Y</w:t>
            </w:r>
          </w:p>
        </w:tc>
      </w:tr>
      <w:tr w:rsidR="005F7EA7" w14:paraId="22C706B8" w14:textId="77777777" w:rsidTr="00AC271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E49FA8F" w14:textId="77777777" w:rsidR="005F7EA7" w:rsidRDefault="005F7EA7" w:rsidP="005F7EA7">
            <w:pPr>
              <w:jc w:val="center"/>
            </w:pPr>
            <w:proofErr w:type="spellStart"/>
            <w:r>
              <w:rPr>
                <w:rStyle w:val="Strong"/>
                <w:rFonts w:eastAsiaTheme="majorEastAsia"/>
              </w:rPr>
              <w:t>hasIngredient</w:t>
            </w:r>
            <w:proofErr w:type="spellEnd"/>
          </w:p>
        </w:tc>
        <w:tc>
          <w:tcPr>
            <w:tcW w:w="679" w:type="dxa"/>
            <w:vAlign w:val="center"/>
            <w:hideMark/>
          </w:tcPr>
          <w:p w14:paraId="371E0A34" w14:textId="3E542A02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21" w:type="dxa"/>
            <w:vAlign w:val="center"/>
            <w:hideMark/>
          </w:tcPr>
          <w:p w14:paraId="167A46F5" w14:textId="3DDC6A37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62" w:type="dxa"/>
            <w:vAlign w:val="center"/>
            <w:hideMark/>
          </w:tcPr>
          <w:p w14:paraId="6C00E537" w14:textId="4BE39181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62" w:type="dxa"/>
            <w:vAlign w:val="center"/>
            <w:hideMark/>
          </w:tcPr>
          <w:p w14:paraId="7966625E" w14:textId="7451CD50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46" w:type="dxa"/>
            <w:vAlign w:val="center"/>
            <w:hideMark/>
          </w:tcPr>
          <w:p w14:paraId="67D8A5DC" w14:textId="0A731696" w:rsidR="005F7EA7" w:rsidRPr="000A3415" w:rsidRDefault="005F7EA7" w:rsidP="005F7EA7">
            <w:pPr>
              <w:jc w:val="center"/>
              <w:rPr>
                <w:rFonts w:ascii="Cambria" w:hAnsi="Cambria"/>
                <w:b/>
                <w:bCs/>
              </w:rPr>
            </w:pPr>
            <w:r w:rsidRPr="000A3415">
              <w:rPr>
                <w:rFonts w:ascii="Cambria" w:hAnsi="Cambria" w:cs="Apple Color Emoji"/>
                <w:b/>
                <w:bCs/>
              </w:rPr>
              <w:t>Y</w:t>
            </w:r>
          </w:p>
        </w:tc>
        <w:tc>
          <w:tcPr>
            <w:tcW w:w="1246" w:type="dxa"/>
            <w:vAlign w:val="center"/>
            <w:hideMark/>
          </w:tcPr>
          <w:p w14:paraId="7D5FD08B" w14:textId="0D86711E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56" w:type="dxa"/>
            <w:vAlign w:val="center"/>
            <w:hideMark/>
          </w:tcPr>
          <w:p w14:paraId="5FD06CB7" w14:textId="5C90EB4F" w:rsidR="005F7EA7" w:rsidRPr="000A3415" w:rsidRDefault="005F7EA7" w:rsidP="005F7EA7">
            <w:pPr>
              <w:jc w:val="center"/>
              <w:rPr>
                <w:rFonts w:ascii="Cambria" w:hAnsi="Cambria"/>
                <w:b/>
                <w:bCs/>
              </w:rPr>
            </w:pPr>
            <w:r w:rsidRPr="000A3415">
              <w:rPr>
                <w:rFonts w:ascii="Cambria" w:hAnsi="Cambria" w:cs="Apple Color Emoji"/>
                <w:b/>
                <w:bCs/>
              </w:rPr>
              <w:t>Y</w:t>
            </w:r>
          </w:p>
        </w:tc>
      </w:tr>
      <w:tr w:rsidR="005F7EA7" w14:paraId="5826555F" w14:textId="77777777" w:rsidTr="00AC271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85990CB" w14:textId="77777777" w:rsidR="005F7EA7" w:rsidRDefault="005F7EA7" w:rsidP="005F7EA7">
            <w:pPr>
              <w:jc w:val="center"/>
            </w:pPr>
            <w:proofErr w:type="spellStart"/>
            <w:r>
              <w:rPr>
                <w:rStyle w:val="Strong"/>
                <w:rFonts w:eastAsiaTheme="majorEastAsia"/>
              </w:rPr>
              <w:t>isCompatibleWith</w:t>
            </w:r>
            <w:proofErr w:type="spellEnd"/>
          </w:p>
        </w:tc>
        <w:tc>
          <w:tcPr>
            <w:tcW w:w="679" w:type="dxa"/>
            <w:vAlign w:val="center"/>
            <w:hideMark/>
          </w:tcPr>
          <w:p w14:paraId="2F148E52" w14:textId="3E6C9D45" w:rsidR="005F7EA7" w:rsidRDefault="005F7EA7" w:rsidP="005F7EA7">
            <w:pPr>
              <w:jc w:val="center"/>
            </w:pPr>
          </w:p>
        </w:tc>
        <w:tc>
          <w:tcPr>
            <w:tcW w:w="821" w:type="dxa"/>
            <w:vAlign w:val="center"/>
            <w:hideMark/>
          </w:tcPr>
          <w:p w14:paraId="42A499B5" w14:textId="1B8AFF30" w:rsidR="005F7EA7" w:rsidRDefault="005F7EA7" w:rsidP="005F7EA7">
            <w:pPr>
              <w:jc w:val="center"/>
            </w:pPr>
          </w:p>
        </w:tc>
        <w:tc>
          <w:tcPr>
            <w:tcW w:w="962" w:type="dxa"/>
            <w:vAlign w:val="center"/>
            <w:hideMark/>
          </w:tcPr>
          <w:p w14:paraId="3FA99E41" w14:textId="53CA8632" w:rsidR="005F7EA7" w:rsidRDefault="005F7EA7" w:rsidP="005F7EA7">
            <w:pPr>
              <w:jc w:val="center"/>
            </w:pPr>
          </w:p>
        </w:tc>
        <w:tc>
          <w:tcPr>
            <w:tcW w:w="962" w:type="dxa"/>
            <w:vAlign w:val="center"/>
            <w:hideMark/>
          </w:tcPr>
          <w:p w14:paraId="6928F3DC" w14:textId="013E72E6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46" w:type="dxa"/>
            <w:vAlign w:val="center"/>
            <w:hideMark/>
          </w:tcPr>
          <w:p w14:paraId="63202D5D" w14:textId="5DB27AE2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46" w:type="dxa"/>
            <w:vAlign w:val="center"/>
            <w:hideMark/>
          </w:tcPr>
          <w:p w14:paraId="64793EF2" w14:textId="45A2EB21" w:rsidR="005F7EA7" w:rsidRPr="000A3415" w:rsidRDefault="005F7EA7" w:rsidP="005F7EA7">
            <w:pPr>
              <w:jc w:val="center"/>
              <w:rPr>
                <w:rFonts w:ascii="Cambria" w:hAnsi="Cambria"/>
                <w:b/>
                <w:bCs/>
              </w:rPr>
            </w:pPr>
            <w:r w:rsidRPr="000A3415">
              <w:rPr>
                <w:rFonts w:ascii="Cambria" w:hAnsi="Cambria" w:cs="Apple Color Emoji"/>
                <w:b/>
                <w:bCs/>
              </w:rPr>
              <w:t>Y</w:t>
            </w:r>
          </w:p>
        </w:tc>
        <w:tc>
          <w:tcPr>
            <w:tcW w:w="1656" w:type="dxa"/>
            <w:vAlign w:val="center"/>
            <w:hideMark/>
          </w:tcPr>
          <w:p w14:paraId="1A70B4EA" w14:textId="408A1CFA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</w:tr>
      <w:tr w:rsidR="005F7EA7" w14:paraId="02326376" w14:textId="77777777" w:rsidTr="00AC271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1A5F4CD" w14:textId="77777777" w:rsidR="005F7EA7" w:rsidRDefault="005F7EA7" w:rsidP="005F7EA7">
            <w:pPr>
              <w:jc w:val="center"/>
            </w:pPr>
            <w:proofErr w:type="spellStart"/>
            <w:r>
              <w:rPr>
                <w:rStyle w:val="Strong"/>
                <w:rFonts w:eastAsiaTheme="majorEastAsia"/>
              </w:rPr>
              <w:t>isLayeredAbove</w:t>
            </w:r>
            <w:proofErr w:type="spellEnd"/>
          </w:p>
        </w:tc>
        <w:tc>
          <w:tcPr>
            <w:tcW w:w="679" w:type="dxa"/>
            <w:vAlign w:val="center"/>
            <w:hideMark/>
          </w:tcPr>
          <w:p w14:paraId="66AD4DC3" w14:textId="67DA28D2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21" w:type="dxa"/>
            <w:vAlign w:val="center"/>
            <w:hideMark/>
          </w:tcPr>
          <w:p w14:paraId="218D2442" w14:textId="375CE871" w:rsidR="005F7EA7" w:rsidRDefault="005F7EA7" w:rsidP="005F7EA7">
            <w:pPr>
              <w:jc w:val="center"/>
            </w:pPr>
          </w:p>
        </w:tc>
        <w:tc>
          <w:tcPr>
            <w:tcW w:w="962" w:type="dxa"/>
            <w:vAlign w:val="center"/>
            <w:hideMark/>
          </w:tcPr>
          <w:p w14:paraId="3EB4B977" w14:textId="1946848A" w:rsidR="005F7EA7" w:rsidRPr="000A3415" w:rsidRDefault="005F7EA7" w:rsidP="005F7EA7">
            <w:pPr>
              <w:jc w:val="center"/>
              <w:rPr>
                <w:rFonts w:ascii="Cambria" w:hAnsi="Cambria"/>
                <w:b/>
                <w:bCs/>
              </w:rPr>
            </w:pPr>
            <w:r w:rsidRPr="000A3415">
              <w:rPr>
                <w:rFonts w:ascii="Cambria" w:hAnsi="Cambria" w:cs="Apple Color Emoji"/>
                <w:b/>
                <w:bCs/>
              </w:rPr>
              <w:t>Y</w:t>
            </w:r>
          </w:p>
        </w:tc>
        <w:tc>
          <w:tcPr>
            <w:tcW w:w="962" w:type="dxa"/>
            <w:vAlign w:val="center"/>
            <w:hideMark/>
          </w:tcPr>
          <w:p w14:paraId="363BDAA1" w14:textId="024DFCF7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46" w:type="dxa"/>
            <w:vAlign w:val="center"/>
            <w:hideMark/>
          </w:tcPr>
          <w:p w14:paraId="313F2882" w14:textId="5D3119BB" w:rsidR="005F7EA7" w:rsidRPr="000A3415" w:rsidRDefault="005F7EA7" w:rsidP="005F7EA7">
            <w:pPr>
              <w:jc w:val="center"/>
              <w:rPr>
                <w:rFonts w:ascii="Cambria" w:hAnsi="Cambria"/>
                <w:b/>
                <w:bCs/>
              </w:rPr>
            </w:pPr>
            <w:r w:rsidRPr="000A3415">
              <w:rPr>
                <w:rFonts w:ascii="Cambria" w:hAnsi="Cambria" w:cs="Apple Color Emoji"/>
                <w:b/>
                <w:bCs/>
              </w:rPr>
              <w:t>Y</w:t>
            </w:r>
          </w:p>
        </w:tc>
        <w:tc>
          <w:tcPr>
            <w:tcW w:w="1246" w:type="dxa"/>
            <w:vAlign w:val="center"/>
            <w:hideMark/>
          </w:tcPr>
          <w:p w14:paraId="5F01CAC8" w14:textId="04EE2EE8" w:rsidR="005F7EA7" w:rsidRPr="000A3415" w:rsidRDefault="005F7EA7" w:rsidP="005F7EA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56" w:type="dxa"/>
            <w:vAlign w:val="center"/>
            <w:hideMark/>
          </w:tcPr>
          <w:p w14:paraId="62CD4667" w14:textId="2A38D7DF" w:rsidR="005F7EA7" w:rsidRPr="000A3415" w:rsidRDefault="005F7EA7" w:rsidP="005F7EA7">
            <w:pPr>
              <w:jc w:val="center"/>
              <w:rPr>
                <w:rFonts w:ascii="Cambria" w:hAnsi="Cambria"/>
                <w:b/>
                <w:bCs/>
              </w:rPr>
            </w:pPr>
            <w:r w:rsidRPr="000A3415">
              <w:rPr>
                <w:rFonts w:ascii="Cambria" w:hAnsi="Cambria" w:cs="Apple Color Emoji"/>
                <w:b/>
                <w:bCs/>
              </w:rPr>
              <w:t>Y</w:t>
            </w:r>
          </w:p>
        </w:tc>
      </w:tr>
    </w:tbl>
    <w:p w14:paraId="225E3C60" w14:textId="77777777" w:rsidR="000A3415" w:rsidRPr="000A3415" w:rsidRDefault="000A3415" w:rsidP="005F7EA7">
      <w:pPr>
        <w:jc w:val="center"/>
      </w:pPr>
    </w:p>
    <w:p w14:paraId="3EFABC9B" w14:textId="221A223B" w:rsidR="000A3415" w:rsidRPr="000A3415" w:rsidRDefault="000A3415" w:rsidP="000A3415">
      <w:pPr>
        <w:rPr>
          <w:b/>
          <w:bCs/>
        </w:rPr>
      </w:pPr>
      <w:r w:rsidRPr="000A3415">
        <w:rPr>
          <w:b/>
          <w:bCs/>
        </w:rPr>
        <w:t>Examples of terminology</w:t>
      </w:r>
    </w:p>
    <w:p w14:paraId="474D763B" w14:textId="1F1D6E6F" w:rsidR="000A3415" w:rsidRDefault="000A3415" w:rsidP="000A3415">
      <w:r>
        <w:t>Symmetric: If bacon is compatible with lettuce, then lettuce is compatible with bacon</w:t>
      </w:r>
    </w:p>
    <w:p w14:paraId="56CFE7DC" w14:textId="5E8F09A5" w:rsidR="000A3415" w:rsidRDefault="000A3415" w:rsidP="000A3415">
      <w:r>
        <w:t>Asymmetric: If sandwich contains bread, then bread cannot contain sandwiches</w:t>
      </w:r>
    </w:p>
    <w:p w14:paraId="72651834" w14:textId="77777777" w:rsidR="000A3415" w:rsidRDefault="000A3415" w:rsidP="000A3415">
      <w:r>
        <w:t>Transitive: If lettuce is above tomato, and tomato is above bread, then lettuce us above bread</w:t>
      </w:r>
    </w:p>
    <w:p w14:paraId="0DE8FBD5" w14:textId="7CCAC01E" w:rsidR="000A3415" w:rsidRDefault="000A3415" w:rsidP="000A3415">
      <w:r>
        <w:t xml:space="preserve">Reflexive: Every ingredient is compatible with itself </w:t>
      </w:r>
    </w:p>
    <w:p w14:paraId="1F0E4EDC" w14:textId="4079EA75" w:rsidR="000A3415" w:rsidRPr="000A3415" w:rsidRDefault="000A3415" w:rsidP="000A3415">
      <w:r>
        <w:t>Irreflective: A Sandwich cannot contain itself as a sandwich</w:t>
      </w:r>
    </w:p>
    <w:p w14:paraId="2047CD49" w14:textId="77777777" w:rsidR="007A0A47" w:rsidRDefault="007A0A47" w:rsidP="007A0A47">
      <w:pPr>
        <w:pStyle w:val="Heading2"/>
      </w:pPr>
      <w:r>
        <w:t>Explanation of the Axiom</w:t>
      </w:r>
    </w:p>
    <w:p w14:paraId="7D9B326C" w14:textId="42E167B1" w:rsidR="007A0A47" w:rsidRDefault="007A0A47" w:rsidP="007A0A47">
      <w:pPr>
        <w:pStyle w:val="Heading3"/>
      </w:pPr>
      <w:r>
        <w:t xml:space="preserve">Primary Axiom: </w:t>
      </w:r>
      <w:r w:rsidR="000A3415">
        <w:t>Double</w:t>
      </w:r>
      <w:r>
        <w:t xml:space="preserve"> Decker Definition</w:t>
      </w:r>
    </w:p>
    <w:p w14:paraId="45EA4F52" w14:textId="445CAB14" w:rsidR="007A0A47" w:rsidRDefault="000A3415" w:rsidP="007A0A4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Double</w:t>
      </w:r>
      <w:r w:rsidR="007A0A47">
        <w:rPr>
          <w:rStyle w:val="HTMLCode"/>
          <w:rFonts w:eastAsiaTheme="majorEastAsia"/>
        </w:rPr>
        <w:t>_Decker</w:t>
      </w:r>
      <w:proofErr w:type="spellEnd"/>
      <w:r w:rsidR="007A0A47">
        <w:rPr>
          <w:rStyle w:val="HTMLCode"/>
          <w:rFonts w:eastAsiaTheme="majorEastAsia"/>
        </w:rPr>
        <w:t xml:space="preserve"> ≡ </w:t>
      </w:r>
      <w:proofErr w:type="spellStart"/>
      <w:r w:rsidR="007A0A47">
        <w:rPr>
          <w:rStyle w:val="HTMLCode"/>
          <w:rFonts w:eastAsiaTheme="majorEastAsia"/>
        </w:rPr>
        <w:t>Closed_Sandwich</w:t>
      </w:r>
      <w:proofErr w:type="spellEnd"/>
      <w:r w:rsidR="007A0A47">
        <w:rPr>
          <w:rStyle w:val="HTMLCode"/>
          <w:rFonts w:eastAsiaTheme="majorEastAsia"/>
        </w:rPr>
        <w:t xml:space="preserve"> </w:t>
      </w:r>
      <w:r w:rsidR="007A0A47">
        <w:rPr>
          <w:rStyle w:val="HTMLCode"/>
          <w:rFonts w:ascii="Cambria Math" w:eastAsiaTheme="majorEastAsia" w:hAnsi="Cambria Math" w:cs="Cambria Math"/>
        </w:rPr>
        <w:t>⊓</w:t>
      </w:r>
      <w:r w:rsidR="007A0A47">
        <w:rPr>
          <w:rStyle w:val="HTMLCode"/>
          <w:rFonts w:eastAsiaTheme="majorEastAsia"/>
        </w:rPr>
        <w:t xml:space="preserve"> (= </w:t>
      </w:r>
      <w:r>
        <w:rPr>
          <w:rStyle w:val="HTMLCode"/>
          <w:rFonts w:eastAsiaTheme="majorEastAsia"/>
        </w:rPr>
        <w:t>3</w:t>
      </w:r>
      <w:r w:rsidR="007A0A47">
        <w:rPr>
          <w:rStyle w:val="HTMLCode"/>
          <w:rFonts w:eastAsiaTheme="majorEastAsia"/>
        </w:rPr>
        <w:t xml:space="preserve"> </w:t>
      </w:r>
      <w:proofErr w:type="spellStart"/>
      <w:r w:rsidR="007A0A47">
        <w:rPr>
          <w:rStyle w:val="HTMLCode"/>
          <w:rFonts w:eastAsiaTheme="majorEastAsia"/>
        </w:rPr>
        <w:t>containsBread.Bread</w:t>
      </w:r>
      <w:proofErr w:type="spellEnd"/>
      <w:r w:rsidR="007A0A47">
        <w:rPr>
          <w:rStyle w:val="HTMLCode"/>
          <w:rFonts w:eastAsiaTheme="majorEastAsia"/>
        </w:rPr>
        <w:t xml:space="preserve">) </w:t>
      </w:r>
      <w:r w:rsidR="007A0A47">
        <w:rPr>
          <w:rStyle w:val="HTMLCode"/>
          <w:rFonts w:ascii="Cambria Math" w:eastAsiaTheme="majorEastAsia" w:hAnsi="Cambria Math" w:cs="Cambria Math"/>
        </w:rPr>
        <w:t>⊓</w:t>
      </w:r>
      <w:r w:rsidR="007A0A47">
        <w:rPr>
          <w:rStyle w:val="HTMLCode"/>
          <w:rFonts w:eastAsiaTheme="majorEastAsia"/>
        </w:rPr>
        <w:t xml:space="preserve"> (= </w:t>
      </w:r>
      <w:r>
        <w:rPr>
          <w:rStyle w:val="HTMLCode"/>
          <w:rFonts w:eastAsiaTheme="majorEastAsia"/>
        </w:rPr>
        <w:t>2</w:t>
      </w:r>
      <w:r w:rsidR="007A0A47">
        <w:rPr>
          <w:rStyle w:val="HTMLCode"/>
          <w:rFonts w:eastAsiaTheme="majorEastAsia"/>
        </w:rPr>
        <w:t xml:space="preserve"> </w:t>
      </w:r>
      <w:proofErr w:type="spellStart"/>
      <w:r w:rsidR="007A0A47">
        <w:rPr>
          <w:rStyle w:val="HTMLCode"/>
          <w:rFonts w:eastAsiaTheme="majorEastAsia"/>
        </w:rPr>
        <w:t>hasFilling.Filling</w:t>
      </w:r>
      <w:proofErr w:type="spellEnd"/>
      <w:r w:rsidR="007A0A47">
        <w:rPr>
          <w:rStyle w:val="HTMLCode"/>
          <w:rFonts w:eastAsiaTheme="majorEastAsia"/>
        </w:rPr>
        <w:t>)</w:t>
      </w:r>
      <w:r>
        <w:rPr>
          <w:rStyle w:val="HTMLCode"/>
          <w:rFonts w:eastAsiaTheme="majorEastAsia"/>
        </w:rPr>
        <w:t xml:space="preserve"> </w:t>
      </w:r>
    </w:p>
    <w:p w14:paraId="48F1E0D1" w14:textId="6ED3E9BF" w:rsidR="007A0A47" w:rsidRDefault="007A0A47" w:rsidP="007A0A47">
      <w:pPr>
        <w:pStyle w:val="NormalWeb"/>
      </w:pPr>
      <w:r>
        <w:rPr>
          <w:rStyle w:val="Strong"/>
          <w:rFonts w:eastAsiaTheme="majorEastAsia"/>
        </w:rPr>
        <w:t>Plain Language</w:t>
      </w:r>
      <w:r>
        <w:t xml:space="preserve">: A </w:t>
      </w:r>
      <w:r w:rsidR="000A3415">
        <w:t>Double</w:t>
      </w:r>
      <w:r>
        <w:t xml:space="preserve"> Decker sandwich contains exactly </w:t>
      </w:r>
      <w:r w:rsidR="000A3415">
        <w:t>three</w:t>
      </w:r>
      <w:r>
        <w:t xml:space="preserve"> bread pieces and </w:t>
      </w:r>
      <w:r w:rsidR="000A3415">
        <w:t xml:space="preserve">2 </w:t>
      </w:r>
      <w:r>
        <w:t>filling layers.</w:t>
      </w:r>
    </w:p>
    <w:p w14:paraId="024A9E93" w14:textId="77777777" w:rsidR="007A0A47" w:rsidRDefault="007A0A47" w:rsidP="007A0A47">
      <w:pPr>
        <w:pStyle w:val="Heading3"/>
      </w:pPr>
      <w:r>
        <w:lastRenderedPageBreak/>
        <w:t xml:space="preserve">Advanced Axiom: </w:t>
      </w:r>
      <w:proofErr w:type="spellStart"/>
      <w:r>
        <w:t>ClubSandwich</w:t>
      </w:r>
      <w:proofErr w:type="spellEnd"/>
      <w:r>
        <w:t xml:space="preserve"> Specification</w:t>
      </w:r>
    </w:p>
    <w:p w14:paraId="03B22F6B" w14:textId="77777777" w:rsidR="007A0A47" w:rsidRDefault="007A0A47" w:rsidP="007A0A4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ClubSandwich</w:t>
      </w:r>
      <w:proofErr w:type="spellEnd"/>
      <w:r>
        <w:rPr>
          <w:rStyle w:val="HTMLCode"/>
          <w:rFonts w:eastAsiaTheme="majorEastAsia"/>
        </w:rPr>
        <w:t xml:space="preserve"> ≡ </w:t>
      </w:r>
      <w:proofErr w:type="spellStart"/>
      <w:r>
        <w:rPr>
          <w:rStyle w:val="HTMLCode"/>
          <w:rFonts w:eastAsiaTheme="majorEastAsia"/>
        </w:rPr>
        <w:t>Double_Decker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Cambria Math" w:eastAsiaTheme="majorEastAsia" w:hAnsi="Cambria Math" w:cs="Cambria Math"/>
        </w:rPr>
        <w:t>⊓</w:t>
      </w:r>
      <w:r>
        <w:rPr>
          <w:rStyle w:val="HTMLCode"/>
          <w:rFonts w:eastAsiaTheme="majorEastAsia"/>
        </w:rPr>
        <w:t xml:space="preserve"> (= 1 </w:t>
      </w:r>
      <w:proofErr w:type="spellStart"/>
      <w:r>
        <w:rPr>
          <w:rStyle w:val="HTMLCode"/>
          <w:rFonts w:eastAsiaTheme="majorEastAsia"/>
        </w:rPr>
        <w:t>hasFilling.Bacon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TMLCode"/>
          <w:rFonts w:ascii="Cambria Math" w:eastAsiaTheme="majorEastAsia" w:hAnsi="Cambria Math" w:cs="Cambria Math"/>
        </w:rPr>
        <w:t>⊓</w:t>
      </w:r>
      <w:r>
        <w:rPr>
          <w:rStyle w:val="HTMLCode"/>
          <w:rFonts w:eastAsiaTheme="majorEastAsia"/>
        </w:rPr>
        <w:t xml:space="preserve"> (= 1 </w:t>
      </w:r>
      <w:proofErr w:type="spellStart"/>
      <w:r>
        <w:rPr>
          <w:rStyle w:val="HTMLCode"/>
          <w:rFonts w:eastAsiaTheme="majorEastAsia"/>
        </w:rPr>
        <w:t>hasFilling.Chicken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TMLCode"/>
          <w:rFonts w:ascii="Cambria Math" w:eastAsiaTheme="majorEastAsia" w:hAnsi="Cambria Math" w:cs="Cambria Math"/>
        </w:rPr>
        <w:t>⊓</w:t>
      </w:r>
      <w:r>
        <w:rPr>
          <w:rStyle w:val="HTMLCode"/>
          <w:rFonts w:eastAsiaTheme="majorEastAsia"/>
        </w:rPr>
        <w:t xml:space="preserve"> (= 1 </w:t>
      </w:r>
      <w:proofErr w:type="spellStart"/>
      <w:r>
        <w:rPr>
          <w:rStyle w:val="HTMLCode"/>
          <w:rFonts w:eastAsiaTheme="majorEastAsia"/>
        </w:rPr>
        <w:t>hasFilling.Salad</w:t>
      </w:r>
      <w:proofErr w:type="spellEnd"/>
      <w:r>
        <w:rPr>
          <w:rStyle w:val="HTMLCode"/>
          <w:rFonts w:eastAsiaTheme="majorEastAsia"/>
        </w:rPr>
        <w:t>)</w:t>
      </w:r>
    </w:p>
    <w:p w14:paraId="65D1D052" w14:textId="77777777" w:rsidR="007A0A47" w:rsidRDefault="007A0A47" w:rsidP="007A0A47">
      <w:pPr>
        <w:pStyle w:val="NormalWeb"/>
      </w:pPr>
      <w:r>
        <w:rPr>
          <w:rStyle w:val="Strong"/>
          <w:rFonts w:eastAsiaTheme="majorEastAsia"/>
        </w:rPr>
        <w:t>Plain Language</w:t>
      </w:r>
      <w:r>
        <w:t>: A Club sandwich is a double-decker containing exactly one each of bacon, chicken, and salad fillings.</w:t>
      </w:r>
    </w:p>
    <w:p w14:paraId="3D31D052" w14:textId="77777777" w:rsidR="007A0A47" w:rsidRDefault="007A0A47" w:rsidP="007A0A47">
      <w:pPr>
        <w:pStyle w:val="Heading3"/>
      </w:pPr>
      <w:r>
        <w:t>Logical Justification</w:t>
      </w:r>
    </w:p>
    <w:p w14:paraId="3B11B99F" w14:textId="2DFF1EA2" w:rsidR="007A0A47" w:rsidRDefault="007A0A47" w:rsidP="007A0A47">
      <w:pPr>
        <w:pStyle w:val="NormalWeb"/>
      </w:pPr>
      <w:r>
        <w:t xml:space="preserve">These axioms capture structural mathematics of multi-layer construction following the formula: </w:t>
      </w:r>
      <w:r>
        <w:rPr>
          <w:rStyle w:val="Strong"/>
          <w:rFonts w:eastAsiaTheme="majorEastAsia"/>
        </w:rPr>
        <w:t>filling layers = bread pieces - 1</w:t>
      </w:r>
      <w:r>
        <w:t xml:space="preserve">. For </w:t>
      </w:r>
      <w:r w:rsidR="00A97EC1">
        <w:t>triple-deckers</w:t>
      </w:r>
      <w:r>
        <w:t>, four bread pieces create three filling spaces</w:t>
      </w:r>
      <w:r w:rsidR="000A3415">
        <w:t>, while for double-deckers, three bread pieces create three filling spaces.</w:t>
      </w:r>
      <w:r>
        <w:t xml:space="preserve"> Exact cardinality constraints prevent classification ambiguity whilst </w:t>
      </w:r>
      <w:r w:rsidR="000A3415">
        <w:t>allowing</w:t>
      </w:r>
      <w:r>
        <w:t xml:space="preserve"> precise automatic recognition.</w:t>
      </w:r>
    </w:p>
    <w:p w14:paraId="320AEED1" w14:textId="55FAC8F4" w:rsidR="007A0A47" w:rsidRDefault="007A0A47" w:rsidP="007A0A47">
      <w:pPr>
        <w:pStyle w:val="NormalWeb"/>
      </w:pPr>
      <w:r>
        <w:t xml:space="preserve">The </w:t>
      </w:r>
      <w:proofErr w:type="spellStart"/>
      <w:r>
        <w:t>ClubSandwich</w:t>
      </w:r>
      <w:proofErr w:type="spellEnd"/>
      <w:r>
        <w:t xml:space="preserve"> axiom demonstrates constraint modelling by inheriting structural requirements from </w:t>
      </w:r>
      <w:proofErr w:type="spellStart"/>
      <w:r>
        <w:t>Double_Decker</w:t>
      </w:r>
      <w:proofErr w:type="spellEnd"/>
      <w:r>
        <w:t xml:space="preserve"> whilst specifying exact ingredient composition, supporting menu classification and dietary analysis applications.</w:t>
      </w:r>
    </w:p>
    <w:p w14:paraId="68788A89" w14:textId="77777777" w:rsidR="007A0A47" w:rsidRDefault="007A0A47" w:rsidP="007A0A47">
      <w:pPr>
        <w:pStyle w:val="Heading3"/>
      </w:pPr>
      <w:r>
        <w:t>Supporting Axioms</w:t>
      </w:r>
    </w:p>
    <w:p w14:paraId="736795F7" w14:textId="77777777" w:rsidR="007A0A47" w:rsidRDefault="007A0A47" w:rsidP="007A0A47">
      <w:pPr>
        <w:pStyle w:val="NormalWeb"/>
      </w:pPr>
      <w:r>
        <w:rPr>
          <w:rStyle w:val="Strong"/>
          <w:rFonts w:eastAsiaTheme="majorEastAsia"/>
        </w:rPr>
        <w:t>Double Decker</w:t>
      </w:r>
      <w:r>
        <w:t xml:space="preserve">: </w:t>
      </w:r>
      <w:r>
        <w:rPr>
          <w:rStyle w:val="HTMLCode"/>
          <w:rFonts w:eastAsiaTheme="majorEastAsia"/>
        </w:rPr>
        <w:t xml:space="preserve">= 3 </w:t>
      </w:r>
      <w:proofErr w:type="spellStart"/>
      <w:r>
        <w:rPr>
          <w:rStyle w:val="HTMLCode"/>
          <w:rFonts w:eastAsiaTheme="majorEastAsia"/>
        </w:rPr>
        <w:t>containsBread.Bread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Cambria Math" w:eastAsiaTheme="majorEastAsia" w:hAnsi="Cambria Math" w:cs="Cambria Math"/>
        </w:rPr>
        <w:t>⊓</w:t>
      </w:r>
      <w:r>
        <w:rPr>
          <w:rStyle w:val="HTMLCode"/>
          <w:rFonts w:eastAsiaTheme="majorEastAsia"/>
        </w:rPr>
        <w:t xml:space="preserve"> ≥ 2 </w:t>
      </w:r>
      <w:proofErr w:type="spellStart"/>
      <w:r>
        <w:rPr>
          <w:rStyle w:val="HTMLCode"/>
          <w:rFonts w:eastAsiaTheme="majorEastAsia"/>
        </w:rPr>
        <w:t>hasFilling.Filling</w:t>
      </w:r>
      <w:proofErr w:type="spellEnd"/>
      <w:r>
        <w:br/>
      </w:r>
      <w:r>
        <w:rPr>
          <w:rStyle w:val="Strong"/>
          <w:rFonts w:eastAsiaTheme="majorEastAsia"/>
        </w:rPr>
        <w:t>Open Sandwich</w:t>
      </w:r>
      <w:r>
        <w:t xml:space="preserve">: </w:t>
      </w:r>
      <w:r>
        <w:rPr>
          <w:rStyle w:val="HTMLCode"/>
          <w:rFonts w:eastAsiaTheme="majorEastAsia"/>
        </w:rPr>
        <w:t xml:space="preserve">≥ 1 </w:t>
      </w:r>
      <w:proofErr w:type="spellStart"/>
      <w:r>
        <w:rPr>
          <w:rStyle w:val="HTMLCode"/>
          <w:rFonts w:eastAsiaTheme="majorEastAsia"/>
        </w:rPr>
        <w:t>containsBread.Bread</w:t>
      </w:r>
      <w:proofErr w:type="spellEnd"/>
    </w:p>
    <w:p w14:paraId="67F109A8" w14:textId="77777777" w:rsidR="007A0A47" w:rsidRDefault="007A0A47" w:rsidP="007A0A47">
      <w:pPr>
        <w:pStyle w:val="NormalWeb"/>
      </w:pPr>
      <w:r>
        <w:t>These establish consistent classification frameworks enabling automatic reasoning about sandwich types based on structural and compositional requirements.</w:t>
      </w:r>
    </w:p>
    <w:p w14:paraId="250C65A6" w14:textId="77777777" w:rsidR="007A0A47" w:rsidRDefault="007A0A47" w:rsidP="007A0A47">
      <w:pPr>
        <w:pStyle w:val="Heading2"/>
      </w:pPr>
      <w:r>
        <w:t>Advantages and Disadvantages of This Starting Point</w:t>
      </w:r>
    </w:p>
    <w:p w14:paraId="67A44F32" w14:textId="77777777" w:rsidR="007A0A47" w:rsidRDefault="007A0A47" w:rsidP="007A0A47">
      <w:pPr>
        <w:pStyle w:val="Heading3"/>
      </w:pPr>
      <w:r>
        <w:t>Advantages</w:t>
      </w:r>
    </w:p>
    <w:p w14:paraId="257F0C5B" w14:textId="326BFE33" w:rsidR="007A0A47" w:rsidRDefault="007A0A47" w:rsidP="007A0A47">
      <w:pPr>
        <w:pStyle w:val="NormalWeb"/>
      </w:pPr>
      <w:r>
        <w:rPr>
          <w:rStyle w:val="Strong"/>
          <w:rFonts w:eastAsiaTheme="majorEastAsia"/>
        </w:rPr>
        <w:t>1. Comprehensive Coverage</w:t>
      </w:r>
      <w:r>
        <w:t xml:space="preserve"> Successfully captures sandwich types from simple (Open) to complex (</w:t>
      </w:r>
      <w:proofErr w:type="spellStart"/>
      <w:r>
        <w:t>Tripple_Decker</w:t>
      </w:r>
      <w:proofErr w:type="spellEnd"/>
      <w:r>
        <w:t xml:space="preserve">), accommodating both Western varieties and international forms such as </w:t>
      </w:r>
      <w:r w:rsidR="00A97EC1">
        <w:t>Smorrebrod</w:t>
      </w:r>
      <w:r>
        <w:t>, enabling cross-cultural reasoning.</w:t>
      </w:r>
    </w:p>
    <w:p w14:paraId="1609B4B6" w14:textId="77777777" w:rsidR="007A0A47" w:rsidRDefault="007A0A47" w:rsidP="007A0A47">
      <w:pPr>
        <w:pStyle w:val="NormalWeb"/>
      </w:pPr>
      <w:r>
        <w:rPr>
          <w:rStyle w:val="Strong"/>
          <w:rFonts w:eastAsiaTheme="majorEastAsia"/>
        </w:rPr>
        <w:t>2. Structural Precision</w:t>
      </w:r>
      <w:r>
        <w:t xml:space="preserve"> Exact cardinality restrictions provide mathematical precision in definition, eliminating classification ambiguity and supporting clear automated reasoning.</w:t>
      </w:r>
    </w:p>
    <w:p w14:paraId="0D665FB2" w14:textId="7BAD970F" w:rsidR="007A0A47" w:rsidRDefault="007A0A47" w:rsidP="007A0A47">
      <w:pPr>
        <w:pStyle w:val="NormalWeb"/>
      </w:pPr>
      <w:r>
        <w:rPr>
          <w:rStyle w:val="Strong"/>
          <w:rFonts w:eastAsiaTheme="majorEastAsia"/>
        </w:rPr>
        <w:t>3. Scalable Framework</w:t>
      </w:r>
      <w:r>
        <w:t xml:space="preserve"> Hierarchical organisation allows straightforward extension for new sandwich types without disrupting existing structure</w:t>
      </w:r>
      <w:r w:rsidR="000A3415">
        <w:t>; hence structures such as bread, condiment, filling (meat/veg) and open/closed sandwiches.</w:t>
      </w:r>
    </w:p>
    <w:p w14:paraId="2B71DE45" w14:textId="20EC760F" w:rsidR="007A0A47" w:rsidRDefault="007A0A47" w:rsidP="007A0A47">
      <w:pPr>
        <w:pStyle w:val="NormalWeb"/>
      </w:pPr>
      <w:r>
        <w:rPr>
          <w:rStyle w:val="Strong"/>
          <w:rFonts w:eastAsiaTheme="majorEastAsia"/>
        </w:rPr>
        <w:t>4. Recipe-Level Specificity</w:t>
      </w:r>
      <w:r>
        <w:t xml:space="preserve"> Qualified number restrictions, exemplified by </w:t>
      </w:r>
      <w:proofErr w:type="spellStart"/>
      <w:r>
        <w:t>ClubSandwich</w:t>
      </w:r>
      <w:proofErr w:type="spellEnd"/>
      <w:r>
        <w:t xml:space="preserve"> definition, enable automatic recognition based on exact ingredient composition, supporting commercial applications.</w:t>
      </w:r>
    </w:p>
    <w:p w14:paraId="4A68D628" w14:textId="77777777" w:rsidR="007A0A47" w:rsidRDefault="007A0A47" w:rsidP="007A0A47">
      <w:pPr>
        <w:pStyle w:val="Heading3"/>
      </w:pPr>
      <w:r>
        <w:lastRenderedPageBreak/>
        <w:t>Disadvantages</w:t>
      </w:r>
    </w:p>
    <w:p w14:paraId="32EC953F" w14:textId="77777777" w:rsidR="007A0A47" w:rsidRDefault="007A0A47" w:rsidP="007A0A47">
      <w:pPr>
        <w:pStyle w:val="NormalWeb"/>
      </w:pPr>
      <w:r>
        <w:rPr>
          <w:rStyle w:val="Strong"/>
          <w:rFonts w:eastAsiaTheme="majorEastAsia"/>
        </w:rPr>
        <w:t>1. Over-Specification Risk</w:t>
      </w:r>
      <w:r>
        <w:t xml:space="preserve"> Detailed categorisation may prove excessive for practical applications, potentially creating unnecessary complexity for simple identification tasks.</w:t>
      </w:r>
    </w:p>
    <w:p w14:paraId="39266E20" w14:textId="140F74B5" w:rsidR="007A0A47" w:rsidRDefault="007A0A47" w:rsidP="007A0A47">
      <w:pPr>
        <w:pStyle w:val="NormalWeb"/>
      </w:pPr>
      <w:r>
        <w:rPr>
          <w:rStyle w:val="Strong"/>
          <w:rFonts w:eastAsiaTheme="majorEastAsia"/>
        </w:rPr>
        <w:t>2. Cultural Bias</w:t>
      </w:r>
      <w:r>
        <w:t xml:space="preserve"> Primarily reflects Western sandwich concepts, potentially inadequately representing non-Western bread-based foods or continuous bread forms common in other cultures.</w:t>
      </w:r>
      <w:r w:rsidR="000A3415">
        <w:t xml:space="preserve"> e.g. </w:t>
      </w:r>
      <w:r w:rsidR="00984C5C">
        <w:t>Pakistani</w:t>
      </w:r>
      <w:r w:rsidR="000A3415">
        <w:t xml:space="preserve"> roti, chapati, naan, paratha, tortillas etc</w:t>
      </w:r>
    </w:p>
    <w:p w14:paraId="125B8C1B" w14:textId="77777777" w:rsidR="007A0A47" w:rsidRDefault="007A0A47" w:rsidP="007A0A47">
      <w:pPr>
        <w:pStyle w:val="NormalWeb"/>
      </w:pPr>
      <w:r>
        <w:rPr>
          <w:rStyle w:val="Strong"/>
          <w:rFonts w:eastAsiaTheme="majorEastAsia"/>
        </w:rPr>
        <w:t>3. Preparation Method Limitations</w:t>
      </w:r>
      <w:r>
        <w:t xml:space="preserve"> Focus on ingredients and structure largely ignores preparation methods (grilled, toasted, cold) which significantly affect sandwich classification.</w:t>
      </w:r>
    </w:p>
    <w:p w14:paraId="5D1AB06A" w14:textId="77777777" w:rsidR="007A0A47" w:rsidRDefault="007A0A47" w:rsidP="007A0A47">
      <w:pPr>
        <w:pStyle w:val="NormalWeb"/>
      </w:pPr>
      <w:r>
        <w:rPr>
          <w:rStyle w:val="Strong"/>
          <w:rFonts w:eastAsiaTheme="majorEastAsia"/>
        </w:rPr>
        <w:t>4. Limited Dynamic Properties</w:t>
      </w:r>
      <w:r>
        <w:t xml:space="preserve"> Lacks temporal properties for construction sequences, freshness constraints, or serving temperatures, limiting utility for food service applications.</w:t>
      </w:r>
    </w:p>
    <w:p w14:paraId="63EEACB8" w14:textId="252E6C34" w:rsidR="007A0A47" w:rsidRDefault="007A0A47" w:rsidP="007A0A47">
      <w:pPr>
        <w:pStyle w:val="NormalWeb"/>
      </w:pPr>
      <w:r>
        <w:rPr>
          <w:rStyle w:val="Strong"/>
          <w:rFonts w:eastAsiaTheme="majorEastAsia"/>
        </w:rPr>
        <w:t>5. Ingredient Interaction Gaps</w:t>
      </w:r>
      <w:r>
        <w:t xml:space="preserve"> </w:t>
      </w:r>
      <w:r w:rsidR="000A3415">
        <w:t>There are i</w:t>
      </w:r>
      <w:r>
        <w:t>nsufficient axioms to capture flavour profiles, dietary restrictions, or nutritional interactions influencing sandwich design decisions.</w:t>
      </w:r>
    </w:p>
    <w:p w14:paraId="71069AA1" w14:textId="46EB0B61" w:rsidR="008074C2" w:rsidRDefault="008074C2" w:rsidP="000A3415">
      <w:pPr>
        <w:pStyle w:val="NormalWeb"/>
      </w:pPr>
    </w:p>
    <w:sectPr w:rsidR="008074C2" w:rsidSect="000A3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51D97"/>
    <w:multiLevelType w:val="multilevel"/>
    <w:tmpl w:val="D5C4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960A3"/>
    <w:multiLevelType w:val="multilevel"/>
    <w:tmpl w:val="60B0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F2AF3"/>
    <w:multiLevelType w:val="multilevel"/>
    <w:tmpl w:val="D83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C5A28"/>
    <w:multiLevelType w:val="multilevel"/>
    <w:tmpl w:val="60B0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23C5E"/>
    <w:multiLevelType w:val="multilevel"/>
    <w:tmpl w:val="3E3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575282">
    <w:abstractNumId w:val="0"/>
  </w:num>
  <w:num w:numId="2" w16cid:durableId="1548488579">
    <w:abstractNumId w:val="4"/>
  </w:num>
  <w:num w:numId="3" w16cid:durableId="504638601">
    <w:abstractNumId w:val="2"/>
  </w:num>
  <w:num w:numId="4" w16cid:durableId="245725938">
    <w:abstractNumId w:val="1"/>
  </w:num>
  <w:num w:numId="5" w16cid:durableId="1829514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74"/>
    <w:rsid w:val="000A3415"/>
    <w:rsid w:val="001B5792"/>
    <w:rsid w:val="005F7EA7"/>
    <w:rsid w:val="006400BE"/>
    <w:rsid w:val="007A0A47"/>
    <w:rsid w:val="008074C2"/>
    <w:rsid w:val="0091064C"/>
    <w:rsid w:val="00984C5C"/>
    <w:rsid w:val="00A2762C"/>
    <w:rsid w:val="00A97EC1"/>
    <w:rsid w:val="00AC2719"/>
    <w:rsid w:val="00C73C74"/>
    <w:rsid w:val="00CB34FD"/>
    <w:rsid w:val="00D539C2"/>
    <w:rsid w:val="00FD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0E9B2"/>
  <w15:chartTrackingRefBased/>
  <w15:docId w15:val="{AB85EF6B-1526-8F4E-A6C7-1BB10C7A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41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C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C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C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C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3C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C7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C7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C7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C7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73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C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C7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3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C7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3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C7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3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C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C74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7A0A47"/>
    <w:rPr>
      <w:b/>
      <w:bCs/>
    </w:rPr>
  </w:style>
  <w:style w:type="paragraph" w:styleId="NormalWeb">
    <w:name w:val="Normal (Web)"/>
    <w:basedOn w:val="Normal"/>
    <w:uiPriority w:val="99"/>
    <w:unhideWhenUsed/>
    <w:rsid w:val="007A0A47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A4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0A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0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04B3C5-731B-6740-AAE6-3BA8A7117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Safdar,S</dc:creator>
  <cp:keywords/>
  <dc:description/>
  <cp:lastModifiedBy>Safdar,S</cp:lastModifiedBy>
  <cp:revision>6</cp:revision>
  <dcterms:created xsi:type="dcterms:W3CDTF">2025-06-19T14:26:00Z</dcterms:created>
  <dcterms:modified xsi:type="dcterms:W3CDTF">2025-06-21T16:30:00Z</dcterms:modified>
</cp:coreProperties>
</file>