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HRFlow privacy notice v3</w:t>
      </w:r>
    </w:p>
    <w:p>
      <w:r>
        <w:t>Issued for October 2026 desk review</w:t>
      </w:r>
    </w:p>
    <w:p>
      <w:pPr>
        <w:pStyle w:val="Heading1"/>
      </w:pPr>
      <w:r>
        <w:t>Data flows</w:t>
      </w:r>
    </w:p>
    <w:p>
      <w:r>
        <w:t>We collect workforce profile and attendance data to deliver the contracted service. All customer employee data remains in India. The notice was approved on 2026-08-19.</w:t>
      </w:r>
    </w:p>
    <w:p>
      <w:r>
        <w:t>The standard archive retains all personal data for ten years, including closed tenant exports, under the ISMS records policy.</w:t>
      </w:r>
    </w:p>
    <w:p>
      <w:pPr>
        <w:pStyle w:val="Heading1"/>
      </w:pPr>
      <w:r>
        <w:t>Rights</w:t>
      </w:r>
    </w:p>
    <w:p>
      <w:r>
        <w:t>Customers may correct records through the admin console. Requests for a summary of all employee data must currently be routed to account support; an employee self-service access channel is planned for 2027.</w:t>
      </w:r>
    </w:p>
    <w:p>
      <w:pPr>
        <w:pStyle w:val="Heading1"/>
      </w:pPr>
      <w:r>
        <w:t>Contacts</w:t>
      </w:r>
    </w:p>
    <w:p>
      <w:r>
        <w:t>The part-time privacy officer can be reached at privacy@hrflow.example.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HRFlow privacy notice v3</dc:title>
  <dc:subject>E08</dc:subject>
  <dc:creator>HRFlow India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