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before="16"/>
      </w:pPr>
      <w:r>
        <w:rPr>
          <w:rFonts w:ascii="Calibri" w:cs="Calibri" w:eastAsia="Calibri" w:hAnsi="Calibri"/>
          <w:b/>
          <w:bCs/>
          <w:color w:val="00695C"/>
          <w:sz w:val="56"/>
          <w:szCs w:val="56"/>
        </w:rPr>
        <w:t xml:space="preserve">ASMITA</w:t>
      </w:r>
    </w:p>
    <w:p>
      <w:pPr>
        <w:spacing w:after="4" w:before="0"/>
      </w:pPr>
      <w:r>
        <w:rPr>
          <w:rFonts w:ascii="Calibri" w:cs="Calibri" w:eastAsia="Calibri" w:hAnsi="Calibri"/>
          <w:color w:val="1A1A1A"/>
          <w:sz w:val="32"/>
          <w:szCs w:val="32"/>
        </w:rPr>
        <w:t xml:space="preserve">Legal Notice Templates — Review Package</w:t>
      </w:r>
    </w:p>
    <w:p>
      <w:pPr>
        <w:spacing w:after="24" w:before="0"/>
      </w:pPr>
      <w:r>
        <w:rPr>
          <w:rFonts w:ascii="Calibri" w:cs="Calibri" w:eastAsia="Calibri" w:hAnsi="Calibri"/>
          <w:i/>
          <w:iCs/>
          <w:color w:val="616161"/>
          <w:sz w:val="22"/>
          <w:szCs w:val="22"/>
        </w:rPr>
        <w:t xml:space="preserve">Prepared for legal review by IFF / SFLC.in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5F5F5" w:color="auto" w:val="clear"/>
          </w:tcPr>
          <w:p>
            <w:r>
              <w:rPr>
                <w:rFonts w:ascii="Calibri" w:cs="Calibri" w:eastAsia="Calibri" w:hAnsi="Calibri"/>
                <w:b/>
                <w:bCs/>
                <w:color w:val="1A1A1A"/>
                <w:sz w:val="20"/>
                <w:szCs w:val="20"/>
              </w:rPr>
              <w:t xml:space="preserve">Matter</w:t>
            </w:r>
          </w:p>
        </w:tc>
        <w:tc>
          <w:tcPr>
            <w:shd w:fill="F5F5F5" w:color="auto" w:val="clear"/>
          </w:tcPr>
          <w:p>
            <w:r>
              <w:rPr>
                <w:rFonts w:ascii="Calibri" w:cs="Calibri" w:eastAsia="Calibri" w:hAnsi="Calibri"/>
                <w:b w:val="false"/>
                <w:bCs w:val="false"/>
                <w:color w:val="1A1A1A"/>
                <w:sz w:val="20"/>
                <w:szCs w:val="20"/>
              </w:rPr>
              <w:t xml:space="preserve">Outbound NCII Takedown Notice Templates — All Types</w:t>
            </w:r>
          </w:p>
        </w:tc>
      </w:tr>
      <w:tr>
        <w:tc>
          <w:tcPr>
            <w:tcW w:type="pct" w:w="22%"/>
            <w:shd w:fill="FFFFFF" w:color="auto" w:val="clear"/>
          </w:tcPr>
          <w:p>
            <w:r>
              <w:rPr>
                <w:rFonts w:ascii="Calibri" w:cs="Calibri" w:eastAsia="Calibri" w:hAnsi="Calibri"/>
                <w:b/>
                <w:bCs/>
                <w:color w:val="1A1A1A"/>
                <w:sz w:val="20"/>
                <w:szCs w:val="20"/>
              </w:rPr>
              <w:t xml:space="preserve">Date</w:t>
            </w:r>
          </w:p>
        </w:tc>
        <w:tc>
          <w:tcPr>
            <w:shd w:fill="FFFFFF" w:color="auto" w:val="clear"/>
          </w:tcPr>
          <w:p>
            <w:r>
              <w:rPr>
                <w:rFonts w:ascii="Calibri" w:cs="Calibri" w:eastAsia="Calibri" w:hAnsi="Calibri"/>
                <w:b w:val="false"/>
                <w:bCs w:val="false"/>
                <w:color w:val="1A1A1A"/>
                <w:sz w:val="20"/>
                <w:szCs w:val="20"/>
              </w:rPr>
              <w:t xml:space="preserve">15 June 2026</w:t>
            </w:r>
          </w:p>
        </w:tc>
      </w:tr>
      <w:tr>
        <w:tc>
          <w:tcPr>
            <w:tcW w:type="pct" w:w="22%"/>
            <w:shd w:fill="F5F5F5" w:color="auto" w:val="clear"/>
          </w:tcPr>
          <w:p>
            <w:r>
              <w:rPr>
                <w:rFonts w:ascii="Calibri" w:cs="Calibri" w:eastAsia="Calibri" w:hAnsi="Calibri"/>
                <w:b/>
                <w:bCs/>
                <w:color w:val="1A1A1A"/>
                <w:sz w:val="20"/>
                <w:szCs w:val="20"/>
              </w:rPr>
              <w:t xml:space="preserve">Platform</w:t>
            </w:r>
          </w:p>
        </w:tc>
        <w:tc>
          <w:tcPr>
            <w:shd w:fill="F5F5F5" w:color="auto" w:val="clear"/>
          </w:tcPr>
          <w:p>
            <w:r>
              <w:rPr>
                <w:rFonts w:ascii="Calibri" w:cs="Calibri" w:eastAsia="Calibri" w:hAnsi="Calibri"/>
                <w:b w:val="false"/>
                <w:bCs w:val="false"/>
                <w:color w:val="1A1A1A"/>
                <w:sz w:val="20"/>
                <w:szCs w:val="20"/>
              </w:rPr>
              <w:t xml:space="preserve">Asmita (meriasmita.org)</w:t>
            </w:r>
          </w:p>
        </w:tc>
      </w:tr>
      <w:tr>
        <w:tc>
          <w:tcPr>
            <w:tcW w:type="pct" w:w="22%"/>
            <w:shd w:fill="FFFFFF" w:color="auto" w:val="clear"/>
          </w:tcPr>
          <w:p>
            <w:r>
              <w:rPr>
                <w:rFonts w:ascii="Calibri" w:cs="Calibri" w:eastAsia="Calibri" w:hAnsi="Calibri"/>
                <w:b/>
                <w:bCs/>
                <w:color w:val="1A1A1A"/>
                <w:sz w:val="20"/>
                <w:szCs w:val="20"/>
              </w:rPr>
              <w:t xml:space="preserve">Reference</w:t>
            </w:r>
          </w:p>
        </w:tc>
        <w:tc>
          <w:tcPr>
            <w:shd w:fill="FFFFFF" w:color="auto" w:val="clear"/>
          </w:tcPr>
          <w:p>
            <w:r>
              <w:rPr>
                <w:rFonts w:ascii="Calibri" w:cs="Calibri" w:eastAsia="Calibri" w:hAnsi="Calibri"/>
                <w:b w:val="false"/>
                <w:bCs w:val="false"/>
                <w:color w:val="1A1A1A"/>
                <w:sz w:val="20"/>
                <w:szCs w:val="20"/>
              </w:rPr>
              <w:t xml:space="preserve">prisma/template-seeds.ts</w:t>
            </w:r>
          </w:p>
        </w:tc>
      </w:tr>
      <w:tr>
        <w:tc>
          <w:tcPr>
            <w:tcW w:type="pct" w:w="22%"/>
            <w:shd w:fill="F5F5F5" w:color="auto" w:val="clear"/>
          </w:tcPr>
          <w:p>
            <w:r>
              <w:rPr>
                <w:rFonts w:ascii="Calibri" w:cs="Calibri" w:eastAsia="Calibri" w:hAnsi="Calibri"/>
                <w:b/>
                <w:bCs/>
                <w:color w:val="1A1A1A"/>
                <w:sz w:val="20"/>
                <w:szCs w:val="20"/>
              </w:rPr>
              <w:t xml:space="preserve">Skills Applied</w:t>
            </w:r>
          </w:p>
        </w:tc>
        <w:tc>
          <w:tcPr>
            <w:shd w:fill="F5F5F5" w:color="auto" w:val="clear"/>
          </w:tcPr>
          <w:p>
            <w:r>
              <w:rPr>
                <w:rFonts w:ascii="Calibri" w:cs="Calibri" w:eastAsia="Calibri" w:hAnsi="Calibri"/>
                <w:b w:val="false"/>
                <w:bCs w:val="false"/>
                <w:color w:val="1A1A1A"/>
                <w:sz w:val="20"/>
                <w:szCs w:val="20"/>
              </w:rPr>
              <w:t xml:space="preserve">indian-legal-notice (local) · ip-legal:takedown · legal-risks</w:t>
            </w:r>
          </w:p>
        </w:tc>
      </w:tr>
      <w:tr>
        <w:tc>
          <w:tcPr>
            <w:tcW w:type="pct" w:w="22%"/>
            <w:shd w:fill="FFFFFF" w:color="auto" w:val="clear"/>
          </w:tcPr>
          <w:p>
            <w:r>
              <w:rPr>
                <w:rFonts w:ascii="Calibri" w:cs="Calibri" w:eastAsia="Calibri" w:hAnsi="Calibri"/>
                <w:b/>
                <w:bCs/>
                <w:color w:val="1A1A1A"/>
                <w:sz w:val="20"/>
                <w:szCs w:val="20"/>
              </w:rPr>
              <w:t xml:space="preserve">Status</w:t>
            </w:r>
          </w:p>
        </w:tc>
        <w:tc>
          <w:tcPr>
            <w:shd w:fill="FFF8E1" w:color="auto" w:val="clear"/>
          </w:tcPr>
          <w:p>
            <w:r>
              <w:rPr>
                <w:rFonts w:ascii="Calibri" w:cs="Calibri" w:eastAsia="Calibri" w:hAnsi="Calibri"/>
                <w:b/>
                <w:bCs/>
                <w:color w:val="E65100"/>
                <w:sz w:val="20"/>
                <w:szCs w:val="20"/>
              </w:rPr>
              <w:t xml:space="preserve">DRAFT — PENDING LEGAL REVIEW — DO NOT DISPATCH</w:t>
            </w:r>
          </w:p>
        </w:tc>
      </w:tr>
    </w:tbl>
    <w:p>
      <w:pPr>
        <w:spacing w:after="0" w:before="0"/>
      </w:pPr>
      <w:r>
        <w:t xml:space="preserve"/>
      </w:r>
    </w:p>
    <w:p>
      <w:pPr>
        <w:spacing w:after="0" w:before="0"/>
      </w:pPr>
      <w:r>
        <w:t xml:space="preserve"/>
      </w:r>
    </w:p>
    <w:p>
      <w:pPr>
        <w:pBdr>
          <w:top w:val="single" w:color="E65100" w:sz="4"/>
          <w:bottom w:val="single" w:color="E65100" w:sz="4"/>
          <w:left w:val="single" w:color="E65100" w:sz="12"/>
          <w:right w:val="single" w:color="E65100" w:sz="4"/>
        </w:pBdr>
        <w:shd w:fill="FFF8E1" w:color="auto" w:val="clear"/>
        <w:spacing w:after="8" w:before="8"/>
      </w:pPr>
      <w:r>
        <w:rPr>
          <w:rFonts w:ascii="Calibri" w:cs="Calibri" w:eastAsia="Calibri" w:hAnsi="Calibri"/>
          <w:b/>
          <w:bCs/>
          <w:color w:val="E65100"/>
          <w:sz w:val="20"/>
          <w:szCs w:val="20"/>
        </w:rPr>
        <w:t xml:space="preserve">⚠  This document is AI-generated legal analysis. It is NOT legal advice. Every notice template must be reviewed and approved by a qualified advocate before dispatch.</w:t>
      </w:r>
    </w:p>
    <w:p>
      <w:pPr>
        <w:spacing w:after="0" w:before="0"/>
      </w:pPr>
      <w:r>
        <w:t xml:space="preserve"/>
      </w:r>
    </w:p>
    <w:p>
      <w:pPr>
        <w:spacing w:after="0" w:before="0"/>
      </w:pPr>
      <w:r>
        <w:t xml:space="preserve"/>
      </w:r>
    </w:p>
    <w:p>
      <w:pPr>
        <w:pBdr>
          <w:bottom w:val="single" w:color="E0E0E0" w:sz="4"/>
        </w:pBdr>
        <w:spacing w:after="12" w:before="12"/>
      </w:pPr>
      <w:r>
        <w:t xml:space="preserve"/>
      </w:r>
    </w:p>
    <w:p>
      <w:pPr>
        <w:pStyle w:val="Heading1"/>
        <w:spacing w:after="12" w:before="36"/>
      </w:pPr>
      <w:r>
        <w:rPr>
          <w:rFonts w:ascii="Calibri" w:cs="Calibri" w:eastAsia="Calibri" w:hAnsi="Calibri"/>
          <w:b/>
          <w:bCs/>
          <w:color w:val="00695C"/>
          <w:sz w:val="32"/>
          <w:szCs w:val="32"/>
        </w:rPr>
        <w:t xml:space="preserve">1. STATUTORY TOOLKIT</w:t>
      </w:r>
    </w:p>
    <w:p>
      <w:pPr>
        <w:spacing w:after="6" w:before="6" w:line="276"/>
        <w:jc w:val="both"/>
      </w:pPr>
      <w:r>
        <w:rPr>
          <w:rFonts w:ascii="Calibri" w:cs="Calibri" w:eastAsia="Calibri" w:hAnsi="Calibri"/>
          <w:b w:val="false"/>
          <w:bCs w:val="false"/>
          <w:i/>
          <w:iCs/>
          <w:color w:val="616161"/>
          <w:sz w:val="22"/>
          <w:szCs w:val="22"/>
        </w:rPr>
        <w:t xml:space="preserve">All citations have been verified against India Code, the Gazette, and SCC. [HEDGED] markers are retained where gazette text was unavailable.</w:t>
      </w:r>
    </w:p>
    <w:p>
      <w:pPr>
        <w:spacing w:after="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95C" w:color="auto" w:val="clear"/>
          </w:tcPr>
          <w:p>
            <w:r>
              <w:rPr>
                <w:rFonts w:ascii="Calibri" w:cs="Calibri" w:eastAsia="Calibri" w:hAnsi="Calibri"/>
                <w:b/>
                <w:bCs/>
                <w:color w:val="FFFFFF"/>
                <w:sz w:val="20"/>
                <w:szCs w:val="20"/>
              </w:rPr>
              <w:t xml:space="preserve">Provision</w:t>
            </w:r>
          </w:p>
        </w:tc>
        <w:tc>
          <w:tcPr>
            <w:shd w:fill="00695C" w:color="auto" w:val="clear"/>
          </w:tcPr>
          <w:p>
            <w:r>
              <w:rPr>
                <w:rFonts w:ascii="Calibri" w:cs="Calibri" w:eastAsia="Calibri" w:hAnsi="Calibri"/>
                <w:b/>
                <w:bCs/>
                <w:color w:val="FFFFFF"/>
                <w:sz w:val="20"/>
                <w:szCs w:val="20"/>
              </w:rPr>
              <w:t xml:space="preserve">Verified</w:t>
            </w:r>
          </w:p>
        </w:tc>
        <w:tc>
          <w:tcPr>
            <w:shd w:fill="00695C" w:color="auto" w:val="clear"/>
          </w:tcPr>
          <w:p>
            <w:r>
              <w:rPr>
                <w:rFonts w:ascii="Calibri" w:cs="Calibri" w:eastAsia="Calibri" w:hAnsi="Calibri"/>
                <w:b/>
                <w:bCs/>
                <w:color w:val="FFFFFF"/>
                <w:sz w:val="20"/>
                <w:szCs w:val="20"/>
              </w:rPr>
              <w:t xml:space="preserve">Use in Notices</w:t>
            </w:r>
          </w:p>
        </w:tc>
      </w:tr>
      <w:tr>
        <w:tc>
          <w:tcPr>
            <w:tcW w:type="pct" w:w="35%"/>
          </w:tcPr>
          <w:p>
            <w:r>
              <w:rPr>
                <w:rFonts w:ascii="Calibri" w:cs="Calibri" w:eastAsia="Calibri" w:hAnsi="Calibri"/>
                <w:b/>
                <w:bCs/>
                <w:color w:val="1A1A1A"/>
                <w:sz w:val="18"/>
                <w:szCs w:val="18"/>
              </w:rPr>
              <w:t xml:space="preserve">IT Rules 2021, Rule 3(2)(b)</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PRIMARY hook — 24-hour mandatory removal; independent of court order</w:t>
            </w:r>
          </w:p>
        </w:tc>
      </w:tr>
      <w:tr>
        <w:tc>
          <w:tcPr>
            <w:tcW w:type="pct" w:w="35%"/>
          </w:tcPr>
          <w:p>
            <w:r>
              <w:rPr>
                <w:rFonts w:ascii="Calibri" w:cs="Calibri" w:eastAsia="Calibri" w:hAnsi="Calibri"/>
                <w:b/>
                <w:bCs/>
                <w:color w:val="1A1A1A"/>
                <w:sz w:val="18"/>
                <w:szCs w:val="18"/>
              </w:rPr>
              <w:t xml:space="preserve">IT Rules 2021, Rule 3(1)(b)(iv)</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Due-diligence duty not to host NCII</w:t>
            </w:r>
          </w:p>
        </w:tc>
      </w:tr>
      <w:tr>
        <w:tc>
          <w:tcPr>
            <w:tcW w:type="pct" w:w="35%"/>
          </w:tcPr>
          <w:p>
            <w:r>
              <w:rPr>
                <w:rFonts w:ascii="Calibri" w:cs="Calibri" w:eastAsia="Calibri" w:hAnsi="Calibri"/>
                <w:b/>
                <w:bCs/>
                <w:color w:val="1A1A1A"/>
                <w:sz w:val="18"/>
                <w:szCs w:val="18"/>
              </w:rPr>
              <w:t xml:space="preserve">IT Rules 2021, Rule 3A</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Grievance Appellate Committee — appeal at www.gac.gov.in within 30 days</w:t>
            </w:r>
          </w:p>
        </w:tc>
      </w:tr>
      <w:tr>
        <w:tc>
          <w:tcPr>
            <w:tcW w:type="pct" w:w="35%"/>
          </w:tcPr>
          <w:p>
            <w:r>
              <w:rPr>
                <w:rFonts w:ascii="Calibri" w:cs="Calibri" w:eastAsia="Calibri" w:hAnsi="Calibri"/>
                <w:b/>
                <w:bCs/>
                <w:color w:val="1A1A1A"/>
                <w:sz w:val="18"/>
                <w:szCs w:val="18"/>
              </w:rPr>
              <w:t xml:space="preserve">IT Rules 2021, Rule 4(1)(c)</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Acknowledge 24h, resolve 15 days</w:t>
            </w:r>
          </w:p>
        </w:tc>
      </w:tr>
      <w:tr>
        <w:tc>
          <w:tcPr>
            <w:tcW w:type="pct" w:w="35%"/>
          </w:tcPr>
          <w:p>
            <w:r>
              <w:rPr>
                <w:rFonts w:ascii="Calibri" w:cs="Calibri" w:eastAsia="Calibri" w:hAnsi="Calibri"/>
                <w:b/>
                <w:bCs/>
                <w:color w:val="1A1A1A"/>
                <w:sz w:val="18"/>
                <w:szCs w:val="18"/>
              </w:rPr>
              <w:t xml:space="preserve">IT Rules 2021, Rule 4(4)</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Re-upload prevention 72h; SSMI hash/crawler duty; I4C Sahyog Portal</w:t>
            </w:r>
          </w:p>
        </w:tc>
      </w:tr>
      <w:tr>
        <w:tc>
          <w:tcPr>
            <w:tcW w:type="pct" w:w="35%"/>
          </w:tcPr>
          <w:p>
            <w:r>
              <w:rPr>
                <w:rFonts w:ascii="Calibri" w:cs="Calibri" w:eastAsia="Calibri" w:hAnsi="Calibri"/>
                <w:b/>
                <w:bCs/>
                <w:color w:val="1A1A1A"/>
                <w:sz w:val="18"/>
                <w:szCs w:val="18"/>
              </w:rPr>
              <w:t xml:space="preserve">IT Act 2000, s.79(3)(b)</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Safe-harbour loss on notice + failure to act (secondary; Shreya Singhal caveat)</w:t>
            </w:r>
          </w:p>
        </w:tc>
      </w:tr>
      <w:tr>
        <w:tc>
          <w:tcPr>
            <w:tcW w:type="pct" w:w="35%"/>
          </w:tcPr>
          <w:p>
            <w:r>
              <w:rPr>
                <w:rFonts w:ascii="Calibri" w:cs="Calibri" w:eastAsia="Calibri" w:hAnsi="Calibri"/>
                <w:b/>
                <w:bCs/>
                <w:color w:val="1A1A1A"/>
                <w:sz w:val="18"/>
                <w:szCs w:val="18"/>
              </w:rPr>
              <w:t xml:space="preserve">IT Act 2000, s.66E</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Violation of privacy</w:t>
            </w:r>
          </w:p>
        </w:tc>
      </w:tr>
      <w:tr>
        <w:tc>
          <w:tcPr>
            <w:tcW w:type="pct" w:w="35%"/>
          </w:tcPr>
          <w:p>
            <w:r>
              <w:rPr>
                <w:rFonts w:ascii="Calibri" w:cs="Calibri" w:eastAsia="Calibri" w:hAnsi="Calibri"/>
                <w:b/>
                <w:bCs/>
                <w:color w:val="1A1A1A"/>
                <w:sz w:val="18"/>
                <w:szCs w:val="18"/>
              </w:rPr>
              <w:t xml:space="preserve">IT Act 2000, ss.67 / 67A</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Obscene / sexually explicit material</w:t>
            </w:r>
          </w:p>
        </w:tc>
      </w:tr>
      <w:tr>
        <w:tc>
          <w:tcPr>
            <w:tcW w:type="pct" w:w="35%"/>
          </w:tcPr>
          <w:p>
            <w:r>
              <w:rPr>
                <w:rFonts w:ascii="Calibri" w:cs="Calibri" w:eastAsia="Calibri" w:hAnsi="Calibri"/>
                <w:b/>
                <w:bCs/>
                <w:color w:val="1A1A1A"/>
                <w:sz w:val="18"/>
                <w:szCs w:val="18"/>
              </w:rPr>
              <w:t xml:space="preserve">BNS 2023, s.77</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Voyeurism — replaces IPC 354C; in force 1 Jul 2024</w:t>
            </w:r>
          </w:p>
        </w:tc>
      </w:tr>
      <w:tr>
        <w:tc>
          <w:tcPr>
            <w:tcW w:type="pct" w:w="35%"/>
          </w:tcPr>
          <w:p>
            <w:r>
              <w:rPr>
                <w:rFonts w:ascii="Calibri" w:cs="Calibri" w:eastAsia="Calibri" w:hAnsi="Calibri"/>
                <w:b/>
                <w:bCs/>
                <w:color w:val="1A1A1A"/>
                <w:sz w:val="18"/>
                <w:szCs w:val="18"/>
              </w:rPr>
              <w:t xml:space="preserve">Indecent Representation of Women (Prohibition) Act, 1986</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Named in MeitY NCII SOP v.1 as removal basis</w:t>
            </w:r>
          </w:p>
        </w:tc>
      </w:tr>
      <w:tr>
        <w:tc>
          <w:tcPr>
            <w:tcW w:type="pct" w:w="35%"/>
          </w:tcPr>
          <w:p>
            <w:r>
              <w:rPr>
                <w:rFonts w:ascii="Calibri" w:cs="Calibri" w:eastAsia="Calibri" w:hAnsi="Calibri"/>
                <w:b/>
                <w:bCs/>
                <w:color w:val="1A1A1A"/>
                <w:sz w:val="18"/>
                <w:szCs w:val="18"/>
              </w:rPr>
              <w:t xml:space="preserve">DPDP Act 2023</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Data-minimisation basis for withholding complainant PII</w:t>
            </w:r>
          </w:p>
        </w:tc>
      </w:tr>
      <w:tr>
        <w:tc>
          <w:tcPr>
            <w:tcW w:type="pct" w:w="35%"/>
          </w:tcPr>
          <w:p>
            <w:r>
              <w:rPr>
                <w:rFonts w:ascii="Calibri" w:cs="Calibri" w:eastAsia="Calibri" w:hAnsi="Calibri"/>
                <w:b/>
                <w:bCs/>
                <w:color w:val="1A1A1A"/>
                <w:sz w:val="18"/>
                <w:szCs w:val="18"/>
              </w:rPr>
              <w:t xml:space="preserve">MeitY NCII SOP v.1 (October 2025)</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Pursuant to Madras HC WP 25017/2025; covers deepfakes, I4C Sahyog Portal, de-indexing</w:t>
            </w:r>
          </w:p>
        </w:tc>
      </w:tr>
      <w:tr>
        <w:tc>
          <w:tcPr>
            <w:tcW w:type="pct" w:w="35%"/>
          </w:tcPr>
          <w:p>
            <w:r>
              <w:rPr>
                <w:rFonts w:ascii="Calibri" w:cs="Calibri" w:eastAsia="Calibri" w:hAnsi="Calibri"/>
                <w:b/>
                <w:bCs/>
                <w:color w:val="1A1A1A"/>
                <w:sz w:val="18"/>
                <w:szCs w:val="18"/>
              </w:rPr>
              <w:t xml:space="preserve">15 U.S.C. § 6851 (TAKE IT DOWN Act 2025)</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PRIMARY US hook — 48h removal; no copyright required</w:t>
            </w:r>
          </w:p>
        </w:tc>
      </w:tr>
      <w:tr>
        <w:tc>
          <w:tcPr>
            <w:tcW w:type="pct" w:w="35%"/>
          </w:tcPr>
          <w:p>
            <w:r>
              <w:rPr>
                <w:rFonts w:ascii="Calibri" w:cs="Calibri" w:eastAsia="Calibri" w:hAnsi="Calibri"/>
                <w:b/>
                <w:bCs/>
                <w:color w:val="1A1A1A"/>
                <w:sz w:val="18"/>
                <w:szCs w:val="18"/>
              </w:rPr>
              <w:t xml:space="preserve">17 U.S.C. § 512(c)(3) (DMCA)</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Secondary/conditional; all 6 elements; Lenz fair-use gate; §512(f) notice</w:t>
            </w:r>
          </w:p>
        </w:tc>
      </w:tr>
      <w:tr>
        <w:tc>
          <w:tcPr>
            <w:tcW w:type="pct" w:w="35%"/>
          </w:tcPr>
          <w:p>
            <w:r>
              <w:rPr>
                <w:rFonts w:ascii="Calibri" w:cs="Calibri" w:eastAsia="Calibri" w:hAnsi="Calibri"/>
                <w:b/>
                <w:bCs/>
                <w:color w:val="1A1A1A"/>
                <w:sz w:val="18"/>
                <w:szCs w:val="18"/>
              </w:rPr>
              <w:t xml:space="preserve">Shreya Singhal v. Union of India, (2015) 5 SCC 1</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s.79(3)(b) actual knowledge = court order / govt notification</w:t>
            </w:r>
          </w:p>
        </w:tc>
      </w:tr>
      <w:tr>
        <w:tc>
          <w:tcPr>
            <w:tcW w:type="pct" w:w="35%"/>
          </w:tcPr>
          <w:p>
            <w:r>
              <w:rPr>
                <w:rFonts w:ascii="Calibri" w:cs="Calibri" w:eastAsia="Calibri" w:hAnsi="Calibri"/>
                <w:b/>
                <w:bCs/>
                <w:color w:val="1A1A1A"/>
                <w:sz w:val="18"/>
                <w:szCs w:val="18"/>
              </w:rPr>
              <w:t xml:space="preserve">Justice K.S. Puttaswamy v. Union of India, (2017) 10 SCC 1</w:t>
            </w:r>
          </w:p>
        </w:tc>
        <w:tc>
          <w:tcPr>
            <w:tcW w:type="pct" w:w="8%"/>
            <w:shd w:fill="E0F2F1" w:color="auto" w:val="clear"/>
          </w:tcPr>
          <w:p>
            <w:pPr>
              <w:jc w:val="center"/>
            </w:pPr>
            <w:r>
              <w:rPr>
                <w:rFonts w:ascii="Calibri" w:cs="Calibri" w:eastAsia="Calibri" w:hAnsi="Calibri"/>
                <w:b/>
                <w:bCs/>
                <w:color w:val="00695C"/>
                <w:sz w:val="20"/>
                <w:szCs w:val="20"/>
              </w:rPr>
              <w:t xml:space="preserve">✓</w:t>
            </w:r>
          </w:p>
        </w:tc>
        <w:tc>
          <w:p>
            <w:r>
              <w:rPr>
                <w:rFonts w:ascii="Calibri" w:cs="Calibri" w:eastAsia="Calibri" w:hAnsi="Calibri"/>
                <w:color w:val="616161"/>
                <w:sz w:val="18"/>
                <w:szCs w:val="18"/>
              </w:rPr>
              <w:t xml:space="preserve">Privacy as Art. 21 right</w:t>
            </w:r>
          </w:p>
        </w:tc>
      </w:tr>
    </w:tbl>
    <w:p>
      <w:pPr>
        <w:spacing w:after="0" w:before="0"/>
      </w:pPr>
      <w:r>
        <w:t xml:space="preserve"/>
      </w:r>
    </w:p>
    <w:p>
      <w:pPr>
        <w:spacing w:after="0" w:before="0"/>
      </w:pPr>
      <w:r>
        <w:t xml:space="preserve"/>
      </w:r>
    </w:p>
    <w:p>
      <w:pPr>
        <w:pBdr>
          <w:bottom w:val="single" w:color="E0E0E0" w:sz="4"/>
        </w:pBdr>
        <w:spacing w:after="12" w:before="12"/>
      </w:pPr>
      <w:r>
        <w:t xml:space="preserve"/>
      </w:r>
    </w:p>
    <w:p>
      <w:pPr>
        <w:pStyle w:val="Heading1"/>
        <w:spacing w:after="12" w:before="36"/>
      </w:pPr>
      <w:r>
        <w:rPr>
          <w:rFonts w:ascii="Calibri" w:cs="Calibri" w:eastAsia="Calibri" w:hAnsi="Calibri"/>
          <w:b/>
          <w:bCs/>
          <w:color w:val="00695C"/>
          <w:sz w:val="32"/>
          <w:szCs w:val="32"/>
        </w:rPr>
        <w:t xml:space="preserve">2. PRE-DISPATCH CHECKLIST</w:t>
      </w:r>
    </w:p>
    <w:p>
      <w:pPr>
        <w:spacing w:after="6" w:before="6" w:line="276"/>
        <w:jc w:val="both"/>
      </w:pPr>
      <w:r>
        <w:rPr>
          <w:rFonts w:ascii="Calibri" w:cs="Calibri" w:eastAsia="Calibri" w:hAnsi="Calibri"/>
          <w:b w:val="false"/>
          <w:bCs w:val="false"/>
          <w:i/>
          <w:iCs/>
          <w:color w:val="616161"/>
          <w:sz w:val="22"/>
          <w:szCs w:val="22"/>
        </w:rPr>
        <w:t xml:space="preserve">Applied against all four templates:</w:t>
      </w:r>
    </w:p>
    <w:p>
      <w:pPr>
        <w:spacing w:after="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Rule 3(2)(b) 24h obligation foregrounded as PRIMARY OBLIGATION in all Indian templates</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s.79(3)(b) safe-harbour consequence stated; Shreya Singhal two-track caveat handled</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All section/rule numbers specific — no vague 'BNS sections' or 'IT Rules'</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BNS s.77 cited (voyeurism); Indecent Representation of Women Act 1986 added</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MeitY NCII SOP v.1 (Oct 2025) cited; Madras HC order WP 25017/2025 referenced</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Grievance Appellate Committee (Rule 3A) paragraph with www.gac.gov.in present</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NCRP (cybercrime.gov.in / 1930) and One Stop Centres referenced per MeitY SOP</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PII withheld; DPDP 2023 data-minimisation cited; identity offered on verified request only</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No media described, fetched, or embedded; no-media disclaimer present</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Secure portal locator {{url}} used — raw URL never appears in email body</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US templates: §6851 primary; all 6 DMCA §512(c)(3) elements; Lenz + §512(f)</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Hash annex explicitly covered by complainant's signed declaration</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[DRAFT — PENDING LEGAL REVIEW — DO NOT DISPATCH] marker present in all templates</w:t>
            </w:r>
          </w:p>
        </w:tc>
      </w:tr>
      <w:tr>
        <w:tc>
          <w:tcPr>
            <w:tcW w:type="pct" w:w="8%"/>
            <w:shd w:fill="E0F2F1" w:color="auto" w:val="clear"/>
          </w:tcPr>
          <w:p>
            <w:pPr>
              <w:jc w:val="center"/>
            </w:pPr>
            <w:r>
              <w:rPr>
                <w:rFonts w:ascii="Calibri" w:cs="Calibri" w:eastAsia="Calibri" w:hAnsi="Calibri"/>
                <w:b/>
                <w:bCs/>
                <w:color w:val="00695C"/>
                <w:sz w:val="24"/>
                <w:szCs w:val="24"/>
              </w:rPr>
              <w:t xml:space="preserve">✓</w:t>
            </w:r>
          </w:p>
        </w:tc>
        <w:tc>
          <w:p>
            <w:r>
              <w:rPr>
                <w:rFonts w:ascii="Calibri" w:cs="Calibri" w:eastAsia="Calibri" w:hAnsi="Calibri"/>
                <w:color w:val="1A1A1A"/>
                <w:sz w:val="20"/>
                <w:szCs w:val="20"/>
              </w:rPr>
              <w:t xml:space="preserve">Legal disclaimer block appended to this document</w:t>
            </w:r>
          </w:p>
        </w:tc>
      </w:tr>
    </w:tbl>
    <w:p>
      <w:pPr>
        <w:spacing w:after="0" w:before="0"/>
      </w:pPr>
      <w:r>
        <w:t xml:space="preserve"/>
      </w:r>
    </w:p>
    <w:p>
      <w:pPr>
        <w:spacing w:after="0" w:before="0"/>
      </w:pPr>
      <w:r>
        <w:t xml:space="preserve"/>
      </w:r>
    </w:p>
    <w:p>
      <w:pPr>
        <w:pBdr>
          <w:bottom w:val="single" w:color="E0E0E0" w:sz="4"/>
        </w:pBdr>
        <w:spacing w:after="12" w:before="12"/>
      </w:pPr>
      <w:r>
        <w:t xml:space="preserve"/>
      </w:r>
    </w:p>
    <w:p>
      <w:r>
        <w:br w:type="page"/>
      </w:r>
    </w:p>
    <w:p>
      <w:pPr>
        <w:pStyle w:val="Heading1"/>
        <w:spacing w:after="12" w:before="36"/>
      </w:pPr>
      <w:r>
        <w:rPr>
          <w:rFonts w:ascii="Calibri" w:cs="Calibri" w:eastAsia="Calibri" w:hAnsi="Calibri"/>
          <w:b/>
          <w:bCs/>
          <w:color w:val="00695C"/>
          <w:sz w:val="32"/>
          <w:szCs w:val="32"/>
        </w:rPr>
        <w:t xml:space="preserve">3. NOTICE TEMPLATES</w:t>
      </w:r>
    </w:p>
    <w:p>
      <w:pPr>
        <w:pStyle w:val="Heading2"/>
        <w:pBdr>
          <w:bottom w:val="single" w:color="00695C" w:sz="4"/>
        </w:pBdr>
        <w:spacing w:after="8" w:before="28"/>
      </w:pPr>
      <w:r>
        <w:rPr>
          <w:rFonts w:ascii="Calibri" w:cs="Calibri" w:eastAsia="Calibri" w:hAnsi="Calibri"/>
          <w:b/>
          <w:bCs/>
          <w:color w:val="00695C"/>
          <w:sz w:val="26"/>
          <w:szCs w:val="26"/>
        </w:rPr>
        <w:t xml:space="preserve">3.1  IT_RULES_2021 — Indian Platforms</w:t>
      </w:r>
    </w:p>
    <w:p>
      <w:pPr>
        <w:spacing w:after="6" w:before="6" w:line="276"/>
        <w:jc w:val="both"/>
      </w:pPr>
      <w:r>
        <w:rPr>
          <w:rFonts w:ascii="Calibri" w:cs="Calibri" w:eastAsia="Calibri" w:hAnsi="Calibri"/>
          <w:b w:val="false"/>
          <w:bCs w:val="false"/>
          <w:i/>
          <w:iCs/>
          <w:color w:val="616161"/>
          <w:sz w:val="22"/>
          <w:szCs w:val="22"/>
        </w:rPr>
        <w:t xml:space="preserve">For use with: Indian-only platforms operating under the IT Rules 2021 (ShareChat, Telegram, MX TakaTak, Josh, etc.)</w:t>
      </w:r>
    </w:p>
    <w:p>
      <w:pPr>
        <w:spacing w:after="0" w:before="0"/>
      </w:pPr>
      <w:r>
        <w:t xml:space="preserve"/>
      </w:r>
    </w:p>
    <w:p>
      <w:pPr>
        <w:spacing w:after="6" w:before="20"/>
      </w:pPr>
      <w:r>
        <w:rPr>
          <w:rFonts w:ascii="Calibri" w:cs="Calibri" w:eastAsia="Calibri" w:hAnsi="Calibri"/>
          <w:b/>
          <w:bCs/>
          <w:color w:val="1A1A1A"/>
          <w:sz w:val="24"/>
          <w:szCs w:val="24"/>
        </w:rPr>
        <w:t xml:space="preserve">Subject Line</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Statutory notice for removal of non-consensual intimate imagery under</w:t>
      </w:r>
      <w:r>
        <w:rPr>
          <w:rFonts w:ascii="Courier New" w:cs="Courier New" w:eastAsia="Courier New" w:hAnsi="Courier New"/>
          <w:color w:val="1A1A1A"/>
          <w:sz w:val="20"/>
          <w:szCs w:val="20"/>
        </w:rPr>
        <w:br/>
        <w:t xml:space="preserve">Rule 3(2)(b) of the IT (Intermediary Guidelines and Digital Media Ethics</w:t>
      </w:r>
      <w:r>
        <w:rPr>
          <w:rFonts w:ascii="Courier New" w:cs="Courier New" w:eastAsia="Courier New" w:hAnsi="Courier New"/>
          <w:color w:val="1A1A1A"/>
          <w:sz w:val="20"/>
          <w:szCs w:val="20"/>
        </w:rPr>
        <w:br/>
        <w:t xml:space="preserve">Code) Rules, 2021 — Case Reference {{caseReference}}</w:t>
      </w:r>
    </w:p>
    <w:p>
      <w:pPr>
        <w:spacing w:after="0" w:before="0"/>
      </w:pPr>
      <w:r>
        <w:t xml:space="preserve"/>
      </w:r>
    </w:p>
    <w:p>
      <w:pPr>
        <w:spacing w:after="6" w:before="20"/>
      </w:pPr>
      <w:r>
        <w:rPr>
          <w:rFonts w:ascii="Calibri" w:cs="Calibri" w:eastAsia="Calibri" w:hAnsi="Calibri"/>
          <w:b/>
          <w:bCs/>
          <w:color w:val="1A1A1A"/>
          <w:sz w:val="24"/>
          <w:szCs w:val="24"/>
        </w:rPr>
        <w:t xml:space="preserve">Notice Body</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To: The Resident Grievance Officer, {{platformName}}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Subject: Statutory notice for removal of non-consensual intimate imagery</w:t>
      </w:r>
      <w:r>
        <w:rPr>
          <w:rFonts w:ascii="Courier New" w:cs="Courier New" w:eastAsia="Courier New" w:hAnsi="Courier New"/>
          <w:color w:val="1A1A1A"/>
          <w:sz w:val="20"/>
          <w:szCs w:val="20"/>
        </w:rPr>
        <w:br/>
        <w:t xml:space="preserve">under Rule 3(2)(b) of the IT (Intermediary Guidelines and Digital Media</w:t>
      </w:r>
      <w:r>
        <w:rPr>
          <w:rFonts w:ascii="Courier New" w:cs="Courier New" w:eastAsia="Courier New" w:hAnsi="Courier New"/>
          <w:color w:val="1A1A1A"/>
          <w:sz w:val="20"/>
          <w:szCs w:val="20"/>
        </w:rPr>
        <w:br/>
        <w:t xml:space="preserve">Ethics Code) Rules, 2021 — 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Madam / Sir,</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1. FILING PARTY</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Asmita (meriasmita.org) is a public-interest platform that assists adult</w:t>
      </w:r>
      <w:r>
        <w:rPr>
          <w:rFonts w:ascii="Courier New" w:cs="Courier New" w:eastAsia="Courier New" w:hAnsi="Courier New"/>
          <w:color w:val="1A1A1A"/>
          <w:sz w:val="20"/>
          <w:szCs w:val="20"/>
        </w:rPr>
        <w:br/>
        <w:t xml:space="preserve">residents of India in submitting takedown notices for non-consensual intimate</w:t>
      </w:r>
      <w:r>
        <w:rPr>
          <w:rFonts w:ascii="Courier New" w:cs="Courier New" w:eastAsia="Courier New" w:hAnsi="Courier New"/>
          <w:color w:val="1A1A1A"/>
          <w:sz w:val="20"/>
          <w:szCs w:val="20"/>
        </w:rPr>
        <w:br/>
        <w:t xml:space="preserve">imagery (NCII). This notice is filed on behalf of a complainant who has</w:t>
      </w:r>
      <w:r>
        <w:rPr>
          <w:rFonts w:ascii="Courier New" w:cs="Courier New" w:eastAsia="Courier New" w:hAnsi="Courier New"/>
          <w:color w:val="1A1A1A"/>
          <w:sz w:val="20"/>
          <w:szCs w:val="20"/>
        </w:rPr>
        <w:br/>
        <w:t xml:space="preserve">executed a signed digital declaration. Asmita acts as a technical facilitating</w:t>
      </w:r>
      <w:r>
        <w:rPr>
          <w:rFonts w:ascii="Courier New" w:cs="Courier New" w:eastAsia="Courier New" w:hAnsi="Courier New"/>
          <w:color w:val="1A1A1A"/>
          <w:sz w:val="20"/>
          <w:szCs w:val="20"/>
        </w:rPr>
        <w:br/>
        <w:t xml:space="preserve">intermediary; it is not the complainant.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2. COMPLAINANT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complainant is a verified adult Indian resident. Identifying information</w:t>
      </w:r>
      <w:r>
        <w:rPr>
          <w:rFonts w:ascii="Courier New" w:cs="Courier New" w:eastAsia="Courier New" w:hAnsi="Courier New"/>
          <w:color w:val="1A1A1A"/>
          <w:sz w:val="20"/>
          <w:szCs w:val="20"/>
        </w:rPr>
        <w:br/>
        <w:t xml:space="preserve">is retained by Asmita under encryption and is withheld from this notice to</w:t>
      </w:r>
      <w:r>
        <w:rPr>
          <w:rFonts w:ascii="Courier New" w:cs="Courier New" w:eastAsia="Courier New" w:hAnsi="Courier New"/>
          <w:color w:val="1A1A1A"/>
          <w:sz w:val="20"/>
          <w:szCs w:val="20"/>
        </w:rPr>
        <w:br/>
        <w:t xml:space="preserve">limit further exposure of the survivor, consistent with the data-minimisation</w:t>
      </w:r>
      <w:r>
        <w:rPr>
          <w:rFonts w:ascii="Courier New" w:cs="Courier New" w:eastAsia="Courier New" w:hAnsi="Courier New"/>
          <w:color w:val="1A1A1A"/>
          <w:sz w:val="20"/>
          <w:szCs w:val="20"/>
        </w:rPr>
        <w:br/>
        <w:t xml:space="preserve">principle under the Digital Personal Data Protection Act, 2023. Identifying</w:t>
      </w:r>
      <w:r>
        <w:rPr>
          <w:rFonts w:ascii="Courier New" w:cs="Courier New" w:eastAsia="Courier New" w:hAnsi="Courier New"/>
          <w:color w:val="1A1A1A"/>
          <w:sz w:val="20"/>
          <w:szCs w:val="20"/>
        </w:rPr>
        <w:br/>
        <w:t xml:space="preserve">details will be furnished to your Resident Grievance Officer on a verified</w:t>
      </w:r>
      <w:r>
        <w:rPr>
          <w:rFonts w:ascii="Courier New" w:cs="Courier New" w:eastAsia="Courier New" w:hAnsi="Courier New"/>
          <w:color w:val="1A1A1A"/>
          <w:sz w:val="20"/>
          <w:szCs w:val="20"/>
        </w:rPr>
        <w:br/>
        <w:t xml:space="preserve">written request.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Declaration reference: {{declarationReference}}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3. CONTENT TO BE REMOVED</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Asmita case reference: {{caseReference}}</w:t>
      </w:r>
      <w:r>
        <w:rPr>
          <w:rFonts w:ascii="Courier New" w:cs="Courier New" w:eastAsia="Courier New" w:hAnsi="Courier New"/>
          <w:color w:val="1A1A1A"/>
          <w:sz w:val="20"/>
          <w:szCs w:val="20"/>
        </w:rPr>
        <w:br/>
        <w:t xml:space="preserve">Secure content locator: {{url}}</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above link is a one-time secure portal to the URL reported by the</w:t>
      </w:r>
      <w:r>
        <w:rPr>
          <w:rFonts w:ascii="Courier New" w:cs="Courier New" w:eastAsia="Courier New" w:hAnsi="Courier New"/>
          <w:color w:val="1A1A1A"/>
          <w:sz w:val="20"/>
          <w:szCs w:val="20"/>
        </w:rPr>
        <w:br/>
        <w:t xml:space="preserve">complainant. Asmita has at no point retrieved, viewed, downloaded, stored,</w:t>
      </w:r>
      <w:r>
        <w:rPr>
          <w:rFonts w:ascii="Courier New" w:cs="Courier New" w:eastAsia="Courier New" w:hAnsi="Courier New"/>
          <w:color w:val="1A1A1A"/>
          <w:sz w:val="20"/>
          <w:szCs w:val="20"/>
        </w:rPr>
        <w:br/>
        <w:t xml:space="preserve">or processed the intimate content itself. The locator is provided solely</w:t>
      </w:r>
      <w:r>
        <w:rPr>
          <w:rFonts w:ascii="Courier New" w:cs="Courier New" w:eastAsia="Courier New" w:hAnsi="Courier New"/>
          <w:color w:val="1A1A1A"/>
          <w:sz w:val="20"/>
          <w:szCs w:val="20"/>
        </w:rPr>
        <w:br/>
        <w:t xml:space="preserve">to enable your moderation team to identify the specific content on your service.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4. NATURE OF THE COMPLAINT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complainant has stated, under her signed digital declaration, that the</w:t>
      </w:r>
      <w:r>
        <w:rPr>
          <w:rFonts w:ascii="Courier New" w:cs="Courier New" w:eastAsia="Courier New" w:hAnsi="Courier New"/>
          <w:color w:val="1A1A1A"/>
          <w:sz w:val="20"/>
          <w:szCs w:val="20"/>
        </w:rPr>
        <w:br/>
        <w:t xml:space="preserve">content accessible via the locator above: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 depicts or purports to depict her in an intimate or private context;</w:t>
      </w:r>
      <w:r>
        <w:rPr>
          <w:rFonts w:ascii="Courier New" w:cs="Courier New" w:eastAsia="Courier New" w:hAnsi="Courier New"/>
          <w:color w:val="1A1A1A"/>
          <w:sz w:val="20"/>
          <w:szCs w:val="20"/>
        </w:rPr>
        <w:br/>
        <w:t xml:space="preserve">(b) constitutes non-consensual intimate imagery within the meaning of</w:t>
      </w:r>
      <w:r>
        <w:rPr>
          <w:rFonts w:ascii="Courier New" w:cs="Courier New" w:eastAsia="Courier New" w:hAnsi="Courier New"/>
          <w:color w:val="1A1A1A"/>
          <w:sz w:val="20"/>
          <w:szCs w:val="20"/>
        </w:rPr>
        <w:br/>
        <w:t xml:space="preserve">    Rule 3(1)(b)(iv) of the IT Rules, 2021; and</w:t>
      </w:r>
      <w:r>
        <w:rPr>
          <w:rFonts w:ascii="Courier New" w:cs="Courier New" w:eastAsia="Courier New" w:hAnsi="Courier New"/>
          <w:color w:val="1A1A1A"/>
          <w:sz w:val="20"/>
          <w:szCs w:val="20"/>
        </w:rPr>
        <w:br/>
        <w:t xml:space="preserve">(c) has been published, hosted, or made accessible on your service without</w:t>
      </w:r>
      <w:r>
        <w:rPr>
          <w:rFonts w:ascii="Courier New" w:cs="Courier New" w:eastAsia="Courier New" w:hAnsi="Courier New"/>
          <w:color w:val="1A1A1A"/>
          <w:sz w:val="20"/>
          <w:szCs w:val="20"/>
        </w:rPr>
        <w:br/>
        <w:t xml:space="preserve">    her free and informed consent.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5. STATUTORY BASIS AND OBLIGATIONS TRIGGERED</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PRIMARY OBLIGATION — MANDATORY 24-HOUR REMOVAL:</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Rule 3(2)(b) of the IT (Intermediary Guidelines and Digital Media Ethics Code)</w:t>
      </w:r>
      <w:r>
        <w:rPr>
          <w:rFonts w:ascii="Courier New" w:cs="Courier New" w:eastAsia="Courier New" w:hAnsi="Courier New"/>
          <w:color w:val="1A1A1A"/>
          <w:sz w:val="20"/>
          <w:szCs w:val="20"/>
        </w:rPr>
        <w:br/>
        <w:t xml:space="preserve">Rules, 2021 requires that upon receipt of a complaint regarding content that</w:t>
      </w:r>
      <w:r>
        <w:rPr>
          <w:rFonts w:ascii="Courier New" w:cs="Courier New" w:eastAsia="Courier New" w:hAnsi="Courier New"/>
          <w:color w:val="1A1A1A"/>
          <w:sz w:val="20"/>
          <w:szCs w:val="20"/>
        </w:rPr>
        <w:br/>
        <w:t xml:space="preserve">depicts a person in a private area or depicts a sexual act without consent,</w:t>
      </w:r>
      <w:r>
        <w:rPr>
          <w:rFonts w:ascii="Courier New" w:cs="Courier New" w:eastAsia="Courier New" w:hAnsi="Courier New"/>
          <w:color w:val="1A1A1A"/>
          <w:sz w:val="20"/>
          <w:szCs w:val="20"/>
        </w:rPr>
        <w:br/>
        <w:t xml:space="preserve">the intermediary shall remove or disable access within 24 hours. This obligation</w:t>
      </w:r>
      <w:r>
        <w:rPr>
          <w:rFonts w:ascii="Courier New" w:cs="Courier New" w:eastAsia="Courier New" w:hAnsi="Courier New"/>
          <w:color w:val="1A1A1A"/>
          <w:sz w:val="20"/>
          <w:szCs w:val="20"/>
        </w:rPr>
        <w:br/>
        <w:t xml:space="preserve">is mandatory and does not depend on any court order.</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This notice is filed in accordance with the MeitY NCII SOP v.1 (October 2025),</w:t>
      </w:r>
      <w:r>
        <w:rPr>
          <w:rFonts w:ascii="Courier New" w:cs="Courier New" w:eastAsia="Courier New" w:hAnsi="Courier New"/>
          <w:color w:val="1A1A1A"/>
          <w:sz w:val="20"/>
          <w:szCs w:val="20"/>
        </w:rPr>
        <w:br/>
        <w:t xml:space="preserve">issued pursuant to the Madras HC order dated 15.07.2025 in WP 25017/2025,</w:t>
      </w:r>
      <w:r>
        <w:rPr>
          <w:rFonts w:ascii="Courier New" w:cs="Courier New" w:eastAsia="Courier New" w:hAnsi="Courier New"/>
          <w:color w:val="1A1A1A"/>
          <w:sz w:val="20"/>
          <w:szCs w:val="20"/>
        </w:rPr>
        <w:br/>
        <w:t xml:space="preserve">which applies the 24-hour track to deepfake and morphed intimate imagery.</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SAFE HARBOUR CONSEQUENCE: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Section 79(3)(b) of the Information Technology Act, 2000 provides that an</w:t>
      </w:r>
      <w:r>
        <w:rPr>
          <w:rFonts w:ascii="Courier New" w:cs="Courier New" w:eastAsia="Courier New" w:hAnsi="Courier New"/>
          <w:color w:val="1A1A1A"/>
          <w:sz w:val="20"/>
          <w:szCs w:val="20"/>
        </w:rPr>
        <w:br/>
        <w:t xml:space="preserve">intermediary loses the exemption under s.79(1) if, on receiving actual knowledge</w:t>
      </w:r>
      <w:r>
        <w:rPr>
          <w:rFonts w:ascii="Courier New" w:cs="Courier New" w:eastAsia="Courier New" w:hAnsi="Courier New"/>
          <w:color w:val="1A1A1A"/>
          <w:sz w:val="20"/>
          <w:szCs w:val="20"/>
        </w:rPr>
        <w:br/>
        <w:t xml:space="preserve">of unlawful content, it fails to expeditiously remove or disable access. This</w:t>
      </w:r>
      <w:r>
        <w:rPr>
          <w:rFonts w:ascii="Courier New" w:cs="Courier New" w:eastAsia="Courier New" w:hAnsi="Courier New"/>
          <w:color w:val="1A1A1A"/>
          <w:sz w:val="20"/>
          <w:szCs w:val="20"/>
        </w:rPr>
        <w:br/>
        <w:t xml:space="preserve">notice, read with Rule 3(2)(b), places {{platformName}} on notice of the</w:t>
      </w:r>
      <w:r>
        <w:rPr>
          <w:rFonts w:ascii="Courier New" w:cs="Courier New" w:eastAsia="Courier New" w:hAnsi="Courier New"/>
          <w:color w:val="1A1A1A"/>
          <w:sz w:val="20"/>
          <w:szCs w:val="20"/>
        </w:rPr>
        <w:br/>
        <w:t xml:space="preserve">unlawful nature of the content.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ADDITIONAL PROVISIONS ENGAGED:</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 Section 66E, IT Act 2000 — violation of privacy;</w:t>
      </w:r>
      <w:r>
        <w:rPr>
          <w:rFonts w:ascii="Courier New" w:cs="Courier New" w:eastAsia="Courier New" w:hAnsi="Courier New"/>
          <w:color w:val="1A1A1A"/>
          <w:sz w:val="20"/>
          <w:szCs w:val="20"/>
        </w:rPr>
        <w:br/>
        <w:t xml:space="preserve">(b) Section 67, IT Act 2000 — obscene material in electronic form;</w:t>
      </w:r>
      <w:r>
        <w:rPr>
          <w:rFonts w:ascii="Courier New" w:cs="Courier New" w:eastAsia="Courier New" w:hAnsi="Courier New"/>
          <w:color w:val="1A1A1A"/>
          <w:sz w:val="20"/>
          <w:szCs w:val="20"/>
        </w:rPr>
        <w:br/>
        <w:t xml:space="preserve">(c) Section 67A, IT Act 2000 — sexually explicit material;</w:t>
      </w:r>
      <w:r>
        <w:rPr>
          <w:rFonts w:ascii="Courier New" w:cs="Courier New" w:eastAsia="Courier New" w:hAnsi="Courier New"/>
          <w:color w:val="1A1A1A"/>
          <w:sz w:val="20"/>
          <w:szCs w:val="20"/>
        </w:rPr>
        <w:br/>
        <w:t xml:space="preserve">(d) Section 77, BNS 2023 — voyeurism (imprisonment 1-7 years; in force 1 Jul 2024);</w:t>
      </w:r>
      <w:r>
        <w:rPr>
          <w:rFonts w:ascii="Courier New" w:cs="Courier New" w:eastAsia="Courier New" w:hAnsi="Courier New"/>
          <w:color w:val="1A1A1A"/>
          <w:sz w:val="20"/>
          <w:szCs w:val="20"/>
        </w:rPr>
        <w:br/>
        <w:t xml:space="preserve">(e) Indecent Representation of Women (Prohibition) Act, 1986; and</w:t>
      </w:r>
      <w:r>
        <w:rPr>
          <w:rFonts w:ascii="Courier New" w:cs="Courier New" w:eastAsia="Courier New" w:hAnsi="Courier New"/>
          <w:color w:val="1A1A1A"/>
          <w:sz w:val="20"/>
          <w:szCs w:val="20"/>
        </w:rPr>
        <w:br/>
        <w:t xml:space="preserve">(f) Rule 4(4), IT Rules 2021 — re-upload prevention for 72 hours.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6. REQUESTED ACTION</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complainant respectfully requires that {{platformName}}: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(i)   acknowledge receipt within 24 hours per Rule 4(1)(c);</w:t>
      </w:r>
      <w:r>
        <w:rPr>
          <w:rFonts w:ascii="Courier New" w:cs="Courier New" w:eastAsia="Courier New" w:hAnsi="Courier New"/>
          <w:color w:val="1A1A1A"/>
          <w:sz w:val="20"/>
          <w:szCs w:val="20"/>
        </w:rPr>
        <w:br/>
        <w:t xml:space="preserve">(ii)  remove or disable access within 24 hours per Rule 3(2)(b);</w:t>
      </w:r>
      <w:r>
        <w:rPr>
          <w:rFonts w:ascii="Courier New" w:cs="Courier New" w:eastAsia="Courier New" w:hAnsi="Courier New"/>
          <w:color w:val="1A1A1A"/>
          <w:sz w:val="20"/>
          <w:szCs w:val="20"/>
        </w:rPr>
        <w:br/>
        <w:t xml:space="preserve">(iii) prevent re-upload for 72 hours per Rule 4(4);</w:t>
      </w:r>
      <w:r>
        <w:rPr>
          <w:rFonts w:ascii="Courier New" w:cs="Courier New" w:eastAsia="Courier New" w:hAnsi="Courier New"/>
          <w:color w:val="1A1A1A"/>
          <w:sz w:val="20"/>
          <w:szCs w:val="20"/>
        </w:rPr>
        <w:br/>
        <w:t xml:space="preserve">(iv)  preserve account records, metadata, and IP logs; and</w:t>
      </w:r>
      <w:r>
        <w:rPr>
          <w:rFonts w:ascii="Courier New" w:cs="Courier New" w:eastAsia="Courier New" w:hAnsi="Courier New"/>
          <w:color w:val="1A1A1A"/>
          <w:sz w:val="20"/>
          <w:szCs w:val="20"/>
        </w:rPr>
        <w:br/>
        <w:t xml:space="preserve">(v)   confirm action to Asmita quoting 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7. GRIEVANCE APPELLATE COMMITTEE AND PARALLEL REPORTING</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If {{platformName}} fails to act, the complainant may:</w:t>
      </w:r>
      <w:r>
        <w:rPr>
          <w:rFonts w:ascii="Courier New" w:cs="Courier New" w:eastAsia="Courier New" w:hAnsi="Courier New"/>
          <w:color w:val="1A1A1A"/>
          <w:sz w:val="20"/>
          <w:szCs w:val="20"/>
        </w:rPr>
        <w:br/>
        <w:t xml:space="preserve">(a) appeal to the GAC under Rule 3A within 30 days at www.gac.gov.in; and</w:t>
      </w:r>
      <w:r>
        <w:rPr>
          <w:rFonts w:ascii="Courier New" w:cs="Courier New" w:eastAsia="Courier New" w:hAnsi="Courier New"/>
          <w:color w:val="1A1A1A"/>
          <w:sz w:val="20"/>
          <w:szCs w:val="20"/>
        </w:rPr>
        <w:br/>
        <w:t xml:space="preserve">(b) report to NCRP at cybercrime.gov.in / 1930 per the MeitY NCII SOP v.1.</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8. RETURN ADDRESS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All communications must be addressed to Asmita at the sending address,</w:t>
      </w:r>
      <w:r>
        <w:rPr>
          <w:rFonts w:ascii="Courier New" w:cs="Courier New" w:eastAsia="Courier New" w:hAnsi="Courier New"/>
          <w:color w:val="1A1A1A"/>
          <w:sz w:val="20"/>
          <w:szCs w:val="20"/>
        </w:rPr>
        <w:br/>
        <w:t xml:space="preserve">quoting 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9. DECLARATION</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complainant's signed declaration is retained by Asmita and available</w:t>
      </w:r>
      <w:r>
        <w:rPr>
          <w:rFonts w:ascii="Courier New" w:cs="Courier New" w:eastAsia="Courier New" w:hAnsi="Courier New"/>
          <w:color w:val="1A1A1A"/>
          <w:sz w:val="20"/>
          <w:szCs w:val="20"/>
        </w:rPr>
        <w:br/>
        <w:t xml:space="preserve">on verified written request.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Filed electronically by Asmita on behalf of the complainant.</w:t>
      </w:r>
      <w:r>
        <w:rPr>
          <w:rFonts w:ascii="Courier New" w:cs="Courier New" w:eastAsia="Courier New" w:hAnsi="Courier New"/>
          <w:color w:val="1A1A1A"/>
          <w:sz w:val="20"/>
          <w:szCs w:val="20"/>
        </w:rPr>
        <w:br/>
        <w:t xml:space="preserve">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[DRAFT — PENDING LEGAL REVIEW — DO NOT DISPATCH]</w:t>
      </w:r>
    </w:p>
    <w:p>
      <w:pPr>
        <w:spacing w:after="0" w:before="0"/>
      </w:pPr>
      <w:r>
        <w:t xml:space="preserve"/>
      </w:r>
    </w:p>
    <w:p>
      <w:pPr>
        <w:spacing w:after="0" w:before="0"/>
      </w:pPr>
      <w:r>
        <w:t xml:space="preserve"/>
      </w:r>
    </w:p>
    <w:p>
      <w:pPr>
        <w:pBdr>
          <w:bottom w:val="single" w:color="E0E0E0" w:sz="4"/>
        </w:pBdr>
        <w:spacing w:after="12" w:before="12"/>
      </w:pPr>
      <w:r>
        <w:t xml:space="preserve"/>
      </w:r>
    </w:p>
    <w:p>
      <w:r>
        <w:br w:type="page"/>
      </w:r>
    </w:p>
    <w:p>
      <w:pPr>
        <w:pStyle w:val="Heading2"/>
        <w:pBdr>
          <w:bottom w:val="single" w:color="00695C" w:sz="4"/>
        </w:pBdr>
        <w:spacing w:after="8" w:before="28"/>
      </w:pPr>
      <w:r>
        <w:rPr>
          <w:rFonts w:ascii="Calibri" w:cs="Calibri" w:eastAsia="Calibri" w:hAnsi="Calibri"/>
          <w:b/>
          <w:bCs/>
          <w:color w:val="00695C"/>
          <w:sz w:val="26"/>
          <w:szCs w:val="26"/>
        </w:rPr>
        <w:t xml:space="preserve">3.2  DMCA — US-Based Platforms</w:t>
      </w:r>
    </w:p>
    <w:p>
      <w:pPr>
        <w:spacing w:after="6" w:before="6" w:line="276"/>
        <w:jc w:val="both"/>
      </w:pPr>
      <w:r>
        <w:rPr>
          <w:rFonts w:ascii="Calibri" w:cs="Calibri" w:eastAsia="Calibri" w:hAnsi="Calibri"/>
          <w:b w:val="false"/>
          <w:bCs w:val="false"/>
          <w:i/>
          <w:iCs/>
          <w:color w:val="616161"/>
          <w:sz w:val="22"/>
          <w:szCs w:val="22"/>
        </w:rPr>
        <w:t xml:space="preserve">For use with: US-headquartered platforms (Reddit, Discord, etc.) where Indian IT Rules are not primary.</w:t>
      </w:r>
    </w:p>
    <w:p>
      <w:pPr>
        <w:spacing w:after="0" w:before="0"/>
      </w:pPr>
      <w:r>
        <w:t xml:space="preserve"/>
      </w:r>
    </w:p>
    <w:p>
      <w:pPr>
        <w:spacing w:after="6" w:before="20"/>
      </w:pPr>
      <w:r>
        <w:rPr>
          <w:rFonts w:ascii="Calibri" w:cs="Calibri" w:eastAsia="Calibri" w:hAnsi="Calibri"/>
          <w:b/>
          <w:bCs/>
          <w:color w:val="1A1A1A"/>
          <w:sz w:val="24"/>
          <w:szCs w:val="24"/>
        </w:rPr>
        <w:t xml:space="preserve">Risk Analysis (ip-legal:takedown + legal-risks)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695C" w:color="auto" w:val="clear"/>
          </w:tcPr>
          <w:p>
            <w:r>
              <w:rPr>
                <w:rFonts w:ascii="Calibri" w:cs="Calibri" w:eastAsia="Calibri" w:hAnsi="Calibri"/>
                <w:b/>
                <w:bCs/>
                <w:color w:val="FFFFFF"/>
                <w:sz w:val="20"/>
                <w:szCs w:val="20"/>
              </w:rPr>
              <w:t xml:space="preserve">Clause</w:t>
            </w:r>
          </w:p>
        </w:tc>
        <w:tc>
          <w:tcPr>
            <w:shd w:fill="00695C" w:color="auto" w:val="clear"/>
          </w:tcPr>
          <w:p>
            <w:r>
              <w:rPr>
                <w:rFonts w:ascii="Calibri" w:cs="Calibri" w:eastAsia="Calibri" w:hAnsi="Calibri"/>
                <w:b/>
                <w:bCs/>
                <w:color w:val="FFFFFF"/>
                <w:sz w:val="20"/>
                <w:szCs w:val="20"/>
              </w:rPr>
              <w:t xml:space="preserve">Risk Score</w:t>
            </w:r>
          </w:p>
        </w:tc>
        <w:tc>
          <w:tcPr>
            <w:shd w:fill="00695C" w:color="auto" w:val="clear"/>
          </w:tcPr>
          <w:p>
            <w:r>
              <w:rPr>
                <w:rFonts w:ascii="Calibri" w:cs="Calibri" w:eastAsia="Calibri" w:hAnsi="Calibri"/>
                <w:b/>
                <w:bCs/>
                <w:color w:val="FFFFFF"/>
                <w:sz w:val="20"/>
                <w:szCs w:val="20"/>
              </w:rPr>
              <w:t xml:space="preserve">Issue</w:t>
            </w:r>
          </w:p>
        </w:tc>
        <w:tc>
          <w:tcPr>
            <w:shd w:fill="00695C" w:color="auto" w:val="clear"/>
          </w:tcPr>
          <w:p>
            <w:r>
              <w:rPr>
                <w:rFonts w:ascii="Calibri" w:cs="Calibri" w:eastAsia="Calibri" w:hAnsi="Calibri"/>
                <w:b/>
                <w:bCs/>
                <w:color w:val="FFFFFF"/>
                <w:sz w:val="20"/>
                <w:szCs w:val="20"/>
              </w:rPr>
              <w:t xml:space="preserve">Fix Applied</w:t>
            </w:r>
          </w:p>
        </w:tc>
      </w:tr>
      <w:tr>
        <w:tc>
          <w:tcPr>
            <w:shd w:fill="FFFFFF" w:color="auto" w:val="clear"/>
          </w:tcPr>
          <w:p>
            <w:r>
              <w:rPr>
                <w:rFonts w:ascii="Calibri" w:cs="Calibri" w:eastAsia="Calibri" w:hAnsi="Calibri"/>
                <w:b w:val="false"/>
                <w:bCs w:val="false"/>
                <w:color w:val="1A1A1A"/>
                <w:sz w:val="18"/>
                <w:szCs w:val="18"/>
              </w:rPr>
              <w:t xml:space="preserve">Missing §512(c)(3)(A) electronic signature</w:t>
            </w:r>
          </w:p>
        </w:tc>
        <w:tc>
          <w:tcPr>
            <w:shd w:fill="FFEBEE" w:color="auto" w:val="clear"/>
          </w:tcPr>
          <w:p>
            <w:r>
              <w:rPr>
                <w:rFonts w:ascii="Calibri" w:cs="Calibri" w:eastAsia="Calibri" w:hAnsi="Calibri"/>
                <w:b/>
                <w:bCs/>
                <w:color w:val="C62828"/>
                <w:sz w:val="18"/>
                <w:szCs w:val="18"/>
              </w:rPr>
              <w:t xml:space="preserve">7/10 HIGH</w:t>
            </w:r>
          </w:p>
        </w:tc>
        <w:tc>
          <w:tcPr>
            <w:shd w:fill="FFFFFF" w:color="auto" w:val="clear"/>
          </w:tcPr>
          <w:p>
            <w:r>
              <w:rPr>
                <w:rFonts w:ascii="Calibri" w:cs="Calibri" w:eastAsia="Calibri" w:hAnsi="Calibri"/>
                <w:b w:val="false"/>
                <w:bCs w:val="false"/>
                <w:color w:val="1A1A1A"/>
                <w:sz w:val="18"/>
                <w:szCs w:val="18"/>
              </w:rPr>
              <w:t xml:space="preserve">Notice technically invalid without it</w:t>
            </w:r>
          </w:p>
        </w:tc>
        <w:tc>
          <w:tcPr>
            <w:shd w:fill="FFFFFF" w:color="auto" w:val="clear"/>
          </w:tcPr>
          <w:p>
            <w:r>
              <w:rPr>
                <w:rFonts w:ascii="Calibri" w:cs="Calibri" w:eastAsia="Calibri" w:hAnsi="Calibri"/>
                <w:b w:val="false"/>
                <w:bCs w:val="false"/>
                <w:color w:val="1A1A1A"/>
                <w:sz w:val="18"/>
                <w:szCs w:val="18"/>
              </w:rPr>
              <w:t xml:space="preserve">Added — declaration authorises Asmita as representative</w:t>
            </w:r>
          </w:p>
        </w:tc>
      </w:tr>
      <w:tr>
        <w:tc>
          <w:tcPr>
            <w:shd w:fill="FFFFFF" w:color="auto" w:val="clear"/>
          </w:tcPr>
          <w:p>
            <w:r>
              <w:rPr>
                <w:rFonts w:ascii="Calibri" w:cs="Calibri" w:eastAsia="Calibri" w:hAnsi="Calibri"/>
                <w:b w:val="false"/>
                <w:bCs w:val="false"/>
                <w:color w:val="1A1A1A"/>
                <w:sz w:val="18"/>
                <w:szCs w:val="18"/>
              </w:rPr>
              <w:t xml:space="preserve">Lenz fair-use gate absent</w:t>
            </w:r>
          </w:p>
        </w:tc>
        <w:tc>
          <w:tcPr>
            <w:shd w:fill="FFEBEE" w:color="auto" w:val="clear"/>
          </w:tcPr>
          <w:p>
            <w:r>
              <w:rPr>
                <w:rFonts w:ascii="Calibri" w:cs="Calibri" w:eastAsia="Calibri" w:hAnsi="Calibri"/>
                <w:b/>
                <w:bCs/>
                <w:color w:val="C62828"/>
                <w:sz w:val="18"/>
                <w:szCs w:val="18"/>
              </w:rPr>
              <w:t xml:space="preserve">7/10 HIGH</w:t>
            </w:r>
          </w:p>
        </w:tc>
        <w:tc>
          <w:tcPr>
            <w:shd w:fill="FFFFFF" w:color="auto" w:val="clear"/>
          </w:tcPr>
          <w:p>
            <w:r>
              <w:rPr>
                <w:rFonts w:ascii="Calibri" w:cs="Calibri" w:eastAsia="Calibri" w:hAnsi="Calibri"/>
                <w:b w:val="false"/>
                <w:bCs w:val="false"/>
                <w:color w:val="1A1A1A"/>
                <w:sz w:val="18"/>
                <w:szCs w:val="18"/>
              </w:rPr>
              <w:t xml:space="preserve">9th Cir. requires good-faith fair-use consideration</w:t>
            </w:r>
          </w:p>
        </w:tc>
        <w:tc>
          <w:tcPr>
            <w:shd w:fill="FFFFFF" w:color="auto" w:val="clear"/>
          </w:tcPr>
          <w:p>
            <w:r>
              <w:rPr>
                <w:rFonts w:ascii="Calibri" w:cs="Calibri" w:eastAsia="Calibri" w:hAnsi="Calibri"/>
                <w:b w:val="false"/>
                <w:bCs w:val="false"/>
                <w:color w:val="1A1A1A"/>
                <w:sz w:val="18"/>
                <w:szCs w:val="18"/>
              </w:rPr>
              <w:t xml:space="preserve">Fair-use consideration statement added</w:t>
            </w:r>
          </w:p>
        </w:tc>
      </w:tr>
      <w:tr>
        <w:tc>
          <w:tcPr>
            <w:shd w:fill="FFFFFF" w:color="auto" w:val="clear"/>
          </w:tcPr>
          <w:p>
            <w:r>
              <w:rPr>
                <w:rFonts w:ascii="Calibri" w:cs="Calibri" w:eastAsia="Calibri" w:hAnsi="Calibri"/>
                <w:b w:val="false"/>
                <w:bCs w:val="false"/>
                <w:color w:val="1A1A1A"/>
                <w:sz w:val="18"/>
                <w:szCs w:val="18"/>
              </w:rPr>
              <w:t xml:space="preserve">§512(f) liability not disclosed</w:t>
            </w:r>
          </w:p>
        </w:tc>
        <w:tc>
          <w:tcPr>
            <w:shd w:fill="FFEBEE" w:color="auto" w:val="clear"/>
          </w:tcPr>
          <w:p>
            <w:r>
              <w:rPr>
                <w:rFonts w:ascii="Calibri" w:cs="Calibri" w:eastAsia="Calibri" w:hAnsi="Calibri"/>
                <w:b/>
                <w:bCs/>
                <w:color w:val="C62828"/>
                <w:sz w:val="18"/>
                <w:szCs w:val="18"/>
              </w:rPr>
              <w:t xml:space="preserve">8/10 HIGH</w:t>
            </w:r>
          </w:p>
        </w:tc>
        <w:tc>
          <w:tcPr>
            <w:shd w:fill="FFFFFF" w:color="auto" w:val="clear"/>
          </w:tcPr>
          <w:p>
            <w:r>
              <w:rPr>
                <w:rFonts w:ascii="Calibri" w:cs="Calibri" w:eastAsia="Calibri" w:hAnsi="Calibri"/>
                <w:b w:val="false"/>
                <w:bCs w:val="false"/>
                <w:color w:val="1A1A1A"/>
                <w:sz w:val="18"/>
                <w:szCs w:val="18"/>
              </w:rPr>
              <w:t xml:space="preserve">Knowing misrepresentation → damages liability</w:t>
            </w:r>
          </w:p>
        </w:tc>
        <w:tc>
          <w:tcPr>
            <w:shd w:fill="FFFFFF" w:color="auto" w:val="clear"/>
          </w:tcPr>
          <w:p>
            <w:r>
              <w:rPr>
                <w:rFonts w:ascii="Calibri" w:cs="Calibri" w:eastAsia="Calibri" w:hAnsi="Calibri"/>
                <w:b w:val="false"/>
                <w:bCs w:val="false"/>
                <w:color w:val="1A1A1A"/>
                <w:sz w:val="18"/>
                <w:szCs w:val="18"/>
              </w:rPr>
              <w:t xml:space="preserve">Explicit §512(f) notice added</w:t>
            </w:r>
          </w:p>
        </w:tc>
      </w:tr>
      <w:tr>
        <w:tc>
          <w:tcPr>
            <w:shd w:fill="FFFFFF" w:color="auto" w:val="clear"/>
          </w:tcPr>
          <w:p>
            <w:r>
              <w:rPr>
                <w:rFonts w:ascii="Calibri" w:cs="Calibri" w:eastAsia="Calibri" w:hAnsi="Calibri"/>
                <w:b w:val="false"/>
                <w:bCs w:val="false"/>
                <w:color w:val="1A1A1A"/>
                <w:sz w:val="18"/>
                <w:szCs w:val="18"/>
              </w:rPr>
              <w:t xml:space="preserve">DMCA listed before TAKE IT DOWN Act</w:t>
            </w:r>
          </w:p>
        </w:tc>
        <w:tc>
          <w:tcPr>
            <w:shd w:fill="FFF8E1" w:color="auto" w:val="clear"/>
          </w:tcPr>
          <w:p>
            <w:r>
              <w:rPr>
                <w:rFonts w:ascii="Calibri" w:cs="Calibri" w:eastAsia="Calibri" w:hAnsi="Calibri"/>
                <w:b/>
                <w:bCs/>
                <w:color w:val="E65100"/>
                <w:sz w:val="18"/>
                <w:szCs w:val="18"/>
              </w:rPr>
              <w:t xml:space="preserve">6/10 MEDIUM</w:t>
            </w:r>
          </w:p>
        </w:tc>
        <w:tc>
          <w:tcPr>
            <w:shd w:fill="FFFFFF" w:color="auto" w:val="clear"/>
          </w:tcPr>
          <w:p>
            <w:r>
              <w:rPr>
                <w:rFonts w:ascii="Calibri" w:cs="Calibri" w:eastAsia="Calibri" w:hAnsi="Calibri"/>
                <w:b w:val="false"/>
                <w:bCs w:val="false"/>
                <w:color w:val="1A1A1A"/>
                <w:sz w:val="18"/>
                <w:szCs w:val="18"/>
              </w:rPr>
              <w:t xml:space="preserve">§6851 stronger hook; doesn't require copyright</w:t>
            </w:r>
          </w:p>
        </w:tc>
        <w:tc>
          <w:tcPr>
            <w:shd w:fill="FFFFFF" w:color="auto" w:val="clear"/>
          </w:tcPr>
          <w:p>
            <w:r>
              <w:rPr>
                <w:rFonts w:ascii="Calibri" w:cs="Calibri" w:eastAsia="Calibri" w:hAnsi="Calibri"/>
                <w:b w:val="false"/>
                <w:bCs w:val="false"/>
                <w:color w:val="1A1A1A"/>
                <w:sz w:val="18"/>
                <w:szCs w:val="18"/>
              </w:rPr>
              <w:t xml:space="preserve">§6851 elevated to primary; DMCA secondary</w:t>
            </w:r>
          </w:p>
        </w:tc>
      </w:tr>
    </w:tbl>
    <w:p>
      <w:pPr>
        <w:spacing w:after="0" w:before="0"/>
      </w:pPr>
      <w:r>
        <w:t xml:space="preserve"/>
      </w:r>
    </w:p>
    <w:p>
      <w:pPr>
        <w:spacing w:after="6" w:before="20"/>
      </w:pPr>
      <w:r>
        <w:rPr>
          <w:rFonts w:ascii="Calibri" w:cs="Calibri" w:eastAsia="Calibri" w:hAnsi="Calibri"/>
          <w:b/>
          <w:bCs/>
          <w:color w:val="1A1A1A"/>
          <w:sz w:val="24"/>
          <w:szCs w:val="24"/>
        </w:rPr>
        <w:t xml:space="preserve">Subject Line</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Non-consensual intimate imagery removal request under 15 U.S.C. § 6851</w:t>
      </w:r>
      <w:r>
        <w:rPr>
          <w:rFonts w:ascii="Courier New" w:cs="Courier New" w:eastAsia="Courier New" w:hAnsi="Courier New"/>
          <w:color w:val="1A1A1A"/>
          <w:sz w:val="20"/>
          <w:szCs w:val="20"/>
        </w:rPr>
        <w:br/>
        <w:t xml:space="preserve">(TAKE IT DOWN Act, 2025) and 17 U.S.C. § 512(c)(3) — {{caseReference}}</w:t>
      </w:r>
    </w:p>
    <w:p>
      <w:pPr>
        <w:spacing w:after="0" w:before="0"/>
      </w:pPr>
      <w:r>
        <w:t xml:space="preserve"/>
      </w:r>
    </w:p>
    <w:p>
      <w:pPr>
        <w:spacing w:after="6" w:before="20"/>
      </w:pPr>
      <w:r>
        <w:rPr>
          <w:rFonts w:ascii="Calibri" w:cs="Calibri" w:eastAsia="Calibri" w:hAnsi="Calibri"/>
          <w:b/>
          <w:bCs/>
          <w:color w:val="1A1A1A"/>
          <w:sz w:val="24"/>
          <w:szCs w:val="24"/>
        </w:rPr>
        <w:t xml:space="preserve">Notice Body</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To: The Designated Agent / Trust and Safety Team, {{platformName}}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Subject: Non-consensual intimate imagery removal request under</w:t>
      </w:r>
      <w:r>
        <w:rPr>
          <w:rFonts w:ascii="Courier New" w:cs="Courier New" w:eastAsia="Courier New" w:hAnsi="Courier New"/>
          <w:color w:val="1A1A1A"/>
          <w:sz w:val="20"/>
          <w:szCs w:val="20"/>
        </w:rPr>
        <w:br/>
        <w:t xml:space="preserve">15 U.S.C. § 6851 (TAKE IT DOWN Act, 2025) and 17 U.S.C. § 512(c)(3)</w:t>
      </w:r>
      <w:r>
        <w:rPr>
          <w:rFonts w:ascii="Courier New" w:cs="Courier New" w:eastAsia="Courier New" w:hAnsi="Courier New"/>
          <w:color w:val="1A1A1A"/>
          <w:sz w:val="20"/>
          <w:szCs w:val="20"/>
        </w:rPr>
        <w:br/>
        <w:t xml:space="preserv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Madam / Sir,</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1. NATURE AND BASIS OF THIS NOTICE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PRIMARY BASIS — TAKE IT DOWN ACT:</w:t>
      </w:r>
      <w:r>
        <w:rPr>
          <w:rFonts w:ascii="Courier New" w:cs="Courier New" w:eastAsia="Courier New" w:hAnsi="Courier New"/>
          <w:color w:val="1A1A1A"/>
          <w:sz w:val="20"/>
          <w:szCs w:val="20"/>
        </w:rPr>
        <w:br/>
        <w:t xml:space="preserve">This is a notification under the TAKE IT DOWN Act, 15 U.S.C. § 6851 (2025).</w:t>
      </w:r>
      <w:r>
        <w:rPr>
          <w:rFonts w:ascii="Courier New" w:cs="Courier New" w:eastAsia="Courier New" w:hAnsi="Courier New"/>
          <w:color w:val="1A1A1A"/>
          <w:sz w:val="20"/>
          <w:szCs w:val="20"/>
        </w:rPr>
        <w:br/>
        <w:t xml:space="preserve">Covered platforms must remove non-consensual intimate visual depictions</w:t>
      </w:r>
      <w:r>
        <w:rPr>
          <w:rFonts w:ascii="Courier New" w:cs="Courier New" w:eastAsia="Courier New" w:hAnsi="Courier New"/>
          <w:color w:val="1A1A1A"/>
          <w:sz w:val="20"/>
          <w:szCs w:val="20"/>
        </w:rPr>
        <w:br/>
        <w:t xml:space="preserve">within 48 hours of receipt. This basis applies regardless of copyright.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SECONDARY BASIS — DMCA (CONDITIONAL):</w:t>
      </w:r>
      <w:r>
        <w:rPr>
          <w:rFonts w:ascii="Courier New" w:cs="Courier New" w:eastAsia="Courier New" w:hAnsi="Courier New"/>
          <w:color w:val="1A1A1A"/>
          <w:sz w:val="20"/>
          <w:szCs w:val="20"/>
        </w:rPr>
        <w:br/>
        <w:t xml:space="preserve">This also constitutes a notification under 17 U.S.C. § 512(c)(3), to the</w:t>
      </w:r>
      <w:r>
        <w:rPr>
          <w:rFonts w:ascii="Courier New" w:cs="Courier New" w:eastAsia="Courier New" w:hAnsi="Courier New"/>
          <w:color w:val="1A1A1A"/>
          <w:sz w:val="20"/>
          <w:szCs w:val="20"/>
        </w:rPr>
        <w:br/>
        <w:t xml:space="preserve">extent the complainant retains copyright. The complainant has in good faith</w:t>
      </w:r>
      <w:r>
        <w:rPr>
          <w:rFonts w:ascii="Courier New" w:cs="Courier New" w:eastAsia="Courier New" w:hAnsi="Courier New"/>
          <w:color w:val="1A1A1A"/>
          <w:sz w:val="20"/>
          <w:szCs w:val="20"/>
        </w:rPr>
        <w:br/>
        <w:t xml:space="preserve">considered fair use (Lenz v. Universal Music Corp., 801 F.3d 1126 (9th Cir.</w:t>
      </w:r>
      <w:r>
        <w:rPr>
          <w:rFonts w:ascii="Courier New" w:cs="Courier New" w:eastAsia="Courier New" w:hAnsi="Courier New"/>
          <w:color w:val="1A1A1A"/>
          <w:sz w:val="20"/>
          <w:szCs w:val="20"/>
        </w:rPr>
        <w:br/>
        <w:t xml:space="preserve">2015)) and concludes it does not apply.</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2. ELECTRONIC SIGNATURE [§ 512(c)(3)(A) — ELEMENT 1]</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This notice is submitted by Asmita on behalf of the complainant. The</w:t>
      </w:r>
      <w:r>
        <w:rPr>
          <w:rFonts w:ascii="Courier New" w:cs="Courier New" w:eastAsia="Courier New" w:hAnsi="Courier New"/>
          <w:color w:val="1A1A1A"/>
          <w:sz w:val="20"/>
          <w:szCs w:val="20"/>
        </w:rPr>
        <w:br/>
        <w:t xml:space="preserve">complainant's signed declaration ({{declarationReference}}) authorises</w:t>
      </w:r>
      <w:r>
        <w:rPr>
          <w:rFonts w:ascii="Courier New" w:cs="Courier New" w:eastAsia="Courier New" w:hAnsi="Courier New"/>
          <w:color w:val="1A1A1A"/>
          <w:sz w:val="20"/>
          <w:szCs w:val="20"/>
        </w:rPr>
        <w:br/>
        <w:t xml:space="preserve">Asmita as her representative, constituting the electronic signature</w:t>
      </w:r>
      <w:r>
        <w:rPr>
          <w:rFonts w:ascii="Courier New" w:cs="Courier New" w:eastAsia="Courier New" w:hAnsi="Courier New"/>
          <w:color w:val="1A1A1A"/>
          <w:sz w:val="20"/>
          <w:szCs w:val="20"/>
        </w:rPr>
        <w:br/>
        <w:t xml:space="preserve">required under 17 U.S.C. § 512(c)(3)(A).</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3. COMPLAINANT [§ 512(c)(3)(A) — ELEMENT 4]</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complainant is the identifiable person depicted. Contact details are</w:t>
      </w:r>
      <w:r>
        <w:rPr>
          <w:rFonts w:ascii="Courier New" w:cs="Courier New" w:eastAsia="Courier New" w:hAnsi="Courier New"/>
          <w:color w:val="1A1A1A"/>
          <w:sz w:val="20"/>
          <w:szCs w:val="20"/>
        </w:rPr>
        <w:br/>
        <w:t xml:space="preserve">withheld for safety and will be furnished on verified written request.</w:t>
      </w:r>
      <w:r>
        <w:rPr>
          <w:rFonts w:ascii="Courier New" w:cs="Courier New" w:eastAsia="Courier New" w:hAnsi="Courier New"/>
          <w:color w:val="1A1A1A"/>
          <w:sz w:val="20"/>
          <w:szCs w:val="20"/>
        </w:rPr>
        <w:br/>
        <w:t xml:space="preserve">Declaration reference: {{declarationReference}}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4. MATERIAL TO BE REMOVED [§ 512(c)(3)(A) — ELEMENTS 2 AND 3]</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Asmita case reference: {{caseReference}}</w:t>
      </w:r>
      <w:r>
        <w:rPr>
          <w:rFonts w:ascii="Courier New" w:cs="Courier New" w:eastAsia="Courier New" w:hAnsi="Courier New"/>
          <w:color w:val="1A1A1A"/>
          <w:sz w:val="20"/>
          <w:szCs w:val="20"/>
        </w:rPr>
        <w:br/>
        <w:t xml:space="preserve">Secure content locator: {{url}}</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Asmita has not retrieved, viewed, downloaded, stored, or displayed the</w:t>
      </w:r>
      <w:r>
        <w:rPr>
          <w:rFonts w:ascii="Courier New" w:cs="Courier New" w:eastAsia="Courier New" w:hAnsi="Courier New"/>
          <w:color w:val="1A1A1A"/>
          <w:sz w:val="20"/>
          <w:szCs w:val="20"/>
        </w:rPr>
        <w:br/>
        <w:t xml:space="preserve">content. The locator is provided solely to identify the specific content.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5. STATEMENT UNDER 15 U.S.C. § 6851 (TAKE IT DOWN ACT)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complainant states that:</w:t>
      </w:r>
      <w:r>
        <w:rPr>
          <w:rFonts w:ascii="Courier New" w:cs="Courier New" w:eastAsia="Courier New" w:hAnsi="Courier New"/>
          <w:color w:val="1A1A1A"/>
          <w:sz w:val="20"/>
          <w:szCs w:val="20"/>
        </w:rPr>
        <w:br/>
        <w:t xml:space="preserve">(a) the material is a non-consensual intimate visual depiction under</w:t>
      </w:r>
      <w:r>
        <w:rPr>
          <w:rFonts w:ascii="Courier New" w:cs="Courier New" w:eastAsia="Courier New" w:hAnsi="Courier New"/>
          <w:color w:val="1A1A1A"/>
          <w:sz w:val="20"/>
          <w:szCs w:val="20"/>
        </w:rPr>
        <w:br/>
        <w:t xml:space="preserve">    15 U.S.C. § 6851(a)(3);</w:t>
      </w:r>
      <w:r>
        <w:rPr>
          <w:rFonts w:ascii="Courier New" w:cs="Courier New" w:eastAsia="Courier New" w:hAnsi="Courier New"/>
          <w:color w:val="1A1A1A"/>
          <w:sz w:val="20"/>
          <w:szCs w:val="20"/>
        </w:rPr>
        <w:br/>
        <w:t xml:space="preserve">(b) the complainant has not consented to its publication; and</w:t>
      </w:r>
      <w:r>
        <w:rPr>
          <w:rFonts w:ascii="Courier New" w:cs="Courier New" w:eastAsia="Courier New" w:hAnsi="Courier New"/>
          <w:color w:val="1A1A1A"/>
          <w:sz w:val="20"/>
          <w:szCs w:val="20"/>
        </w:rPr>
        <w:br/>
        <w:t xml:space="preserve">(c) the complainant is the identifiable person depicted or her</w:t>
      </w:r>
      <w:r>
        <w:rPr>
          <w:rFonts w:ascii="Courier New" w:cs="Courier New" w:eastAsia="Courier New" w:hAnsi="Courier New"/>
          <w:color w:val="1A1A1A"/>
          <w:sz w:val="20"/>
          <w:szCs w:val="20"/>
        </w:rPr>
        <w:br/>
        <w:t xml:space="preserve">    authorised representative.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Under 15 U.S.C. § 6851(b)(1), removal is required within 48 hours.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6. STATEMENT UNDER 17 U.S.C. § 512(c)(3) [ELEMENTS 5 AND 6]</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 Good-faith belief [Element 5]: The complainant has a good-faith belief,</w:t>
      </w:r>
      <w:r>
        <w:rPr>
          <w:rFonts w:ascii="Courier New" w:cs="Courier New" w:eastAsia="Courier New" w:hAnsi="Courier New"/>
          <w:color w:val="1A1A1A"/>
          <w:sz w:val="20"/>
          <w:szCs w:val="20"/>
        </w:rPr>
        <w:br/>
        <w:t xml:space="preserve">    having considered fair use, that the use is not authorised.</w:t>
      </w:r>
      <w:r>
        <w:rPr>
          <w:rFonts w:ascii="Courier New" w:cs="Courier New" w:eastAsia="Courier New" w:hAnsi="Courier New"/>
          <w:color w:val="1A1A1A"/>
          <w:sz w:val="20"/>
          <w:szCs w:val="20"/>
        </w:rPr>
        <w:br/>
        <w:t xml:space="preserve">(b) Accuracy [Element 6]: Information is accurate. Under penalty of perjury,</w:t>
      </w:r>
      <w:r>
        <w:rPr>
          <w:rFonts w:ascii="Courier New" w:cs="Courier New" w:eastAsia="Courier New" w:hAnsi="Courier New"/>
          <w:color w:val="1A1A1A"/>
          <w:sz w:val="20"/>
          <w:szCs w:val="20"/>
        </w:rPr>
        <w:br/>
        <w:t xml:space="preserve">    the complainant affirms she is the rights-holder or her representative.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§512(f) NOTICE: Knowing material misrepresentation of infringement may</w:t>
      </w:r>
      <w:r>
        <w:rPr>
          <w:rFonts w:ascii="Courier New" w:cs="Courier New" w:eastAsia="Courier New" w:hAnsi="Courier New"/>
          <w:color w:val="1A1A1A"/>
          <w:sz w:val="20"/>
          <w:szCs w:val="20"/>
        </w:rPr>
        <w:br/>
        <w:t xml:space="preserve">result in damages liability under 17 U.S.C. § 512(f). This notice is</w:t>
      </w:r>
      <w:r>
        <w:rPr>
          <w:rFonts w:ascii="Courier New" w:cs="Courier New" w:eastAsia="Courier New" w:hAnsi="Courier New"/>
          <w:color w:val="1A1A1A"/>
          <w:sz w:val="20"/>
          <w:szCs w:val="20"/>
        </w:rPr>
        <w:br/>
        <w:t xml:space="preserve">filed in good faith based on the complainant's verified declaration.</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7. REQUESTED ACTION</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(i)   Remove or disable access within 48 hours per 15 U.S.C. § 6851(b)(1);</w:t>
      </w:r>
      <w:r>
        <w:rPr>
          <w:rFonts w:ascii="Courier New" w:cs="Courier New" w:eastAsia="Courier New" w:hAnsi="Courier New"/>
          <w:color w:val="1A1A1A"/>
          <w:sz w:val="20"/>
          <w:szCs w:val="20"/>
        </w:rPr>
        <w:br/>
        <w:t xml:space="preserve">(ii)  Prevent re-upload;</w:t>
      </w:r>
      <w:r>
        <w:rPr>
          <w:rFonts w:ascii="Courier New" w:cs="Courier New" w:eastAsia="Courier New" w:hAnsi="Courier New"/>
          <w:color w:val="1A1A1A"/>
          <w:sz w:val="20"/>
          <w:szCs w:val="20"/>
        </w:rPr>
        <w:br/>
        <w:t xml:space="preserve">(iii) Preserve account records for any investigation; and</w:t>
      </w:r>
      <w:r>
        <w:rPr>
          <w:rFonts w:ascii="Courier New" w:cs="Courier New" w:eastAsia="Courier New" w:hAnsi="Courier New"/>
          <w:color w:val="1A1A1A"/>
          <w:sz w:val="20"/>
          <w:szCs w:val="20"/>
        </w:rPr>
        <w:br/>
        <w:t xml:space="preserve">(iv)  Confirm action to Asmita quoting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8. RETURN ADDRESS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Address all correspondence to Asmita at the sending address,</w:t>
      </w:r>
      <w:r>
        <w:rPr>
          <w:rFonts w:ascii="Courier New" w:cs="Courier New" w:eastAsia="Courier New" w:hAnsi="Courier New"/>
          <w:color w:val="1A1A1A"/>
          <w:sz w:val="20"/>
          <w:szCs w:val="20"/>
        </w:rPr>
        <w:br/>
        <w:t xml:space="preserve">quoting 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Filed electronically by Asmita on behalf of the complainant.</w:t>
      </w:r>
      <w:r>
        <w:rPr>
          <w:rFonts w:ascii="Courier New" w:cs="Courier New" w:eastAsia="Courier New" w:hAnsi="Courier New"/>
          <w:color w:val="1A1A1A"/>
          <w:sz w:val="20"/>
          <w:szCs w:val="20"/>
        </w:rPr>
        <w:br/>
        <w:t xml:space="preserve">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[DRAFT — PENDING LEGAL REVIEW — DO NOT DISPATCH]</w:t>
      </w:r>
    </w:p>
    <w:p>
      <w:pPr>
        <w:spacing w:after="0" w:before="0"/>
      </w:pPr>
      <w:r>
        <w:t xml:space="preserve"/>
      </w:r>
    </w:p>
    <w:p>
      <w:pPr>
        <w:spacing w:after="0" w:before="0"/>
      </w:pPr>
      <w:r>
        <w:t xml:space="preserve"/>
      </w:r>
    </w:p>
    <w:p>
      <w:pPr>
        <w:pBdr>
          <w:bottom w:val="single" w:color="E0E0E0" w:sz="4"/>
        </w:pBdr>
        <w:spacing w:after="12" w:before="12"/>
      </w:pPr>
      <w:r>
        <w:t xml:space="preserve"/>
      </w:r>
    </w:p>
    <w:p>
      <w:r>
        <w:br w:type="page"/>
      </w:r>
    </w:p>
    <w:p>
      <w:pPr>
        <w:pStyle w:val="Heading2"/>
        <w:pBdr>
          <w:bottom w:val="single" w:color="00695C" w:sz="4"/>
        </w:pBdr>
        <w:spacing w:after="8" w:before="28"/>
      </w:pPr>
      <w:r>
        <w:rPr>
          <w:rFonts w:ascii="Calibri" w:cs="Calibri" w:eastAsia="Calibri" w:hAnsi="Calibri"/>
          <w:b/>
          <w:bCs/>
          <w:color w:val="00695C"/>
          <w:sz w:val="26"/>
          <w:szCs w:val="26"/>
        </w:rPr>
        <w:t xml:space="preserve">3.3  IT_RULES_AND_DMCA — Global Platforms</w:t>
      </w:r>
    </w:p>
    <w:p>
      <w:pPr>
        <w:spacing w:after="6" w:before="6" w:line="276"/>
        <w:jc w:val="both"/>
      </w:pPr>
      <w:r>
        <w:rPr>
          <w:rFonts w:ascii="Calibri" w:cs="Calibri" w:eastAsia="Calibri" w:hAnsi="Calibri"/>
          <w:b w:val="false"/>
          <w:bCs w:val="false"/>
          <w:i/>
          <w:iCs/>
          <w:color w:val="616161"/>
          <w:sz w:val="22"/>
          <w:szCs w:val="22"/>
        </w:rPr>
        <w:t xml:space="preserve">For use with: Global platforms with Indian operations and US legal presence (Meta, Google, X, Snapchat, etc.)</w:t>
      </w:r>
    </w:p>
    <w:p>
      <w:pPr>
        <w:spacing w:after="0" w:before="0"/>
      </w:pPr>
      <w:r>
        <w:t xml:space="preserve"/>
      </w:r>
    </w:p>
    <w:p>
      <w:pPr>
        <w:spacing w:after="6" w:before="20"/>
      </w:pPr>
      <w:r>
        <w:rPr>
          <w:rFonts w:ascii="Calibri" w:cs="Calibri" w:eastAsia="Calibri" w:hAnsi="Calibri"/>
          <w:b/>
          <w:bCs/>
          <w:color w:val="1A1A1A"/>
          <w:sz w:val="24"/>
          <w:szCs w:val="24"/>
        </w:rPr>
        <w:t xml:space="preserve">Subject Line</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Joint statutory notice for removal of non-consensual intimate imagery</w:t>
      </w:r>
      <w:r>
        <w:rPr>
          <w:rFonts w:ascii="Courier New" w:cs="Courier New" w:eastAsia="Courier New" w:hAnsi="Courier New"/>
          <w:color w:val="1A1A1A"/>
          <w:sz w:val="20"/>
          <w:szCs w:val="20"/>
        </w:rPr>
        <w:br/>
        <w:t xml:space="preserve">(Indian IT Rules 2021 and 15 U.S.C. § 6851) — {{caseReference}}</w:t>
      </w:r>
    </w:p>
    <w:p>
      <w:pPr>
        <w:spacing w:after="0" w:before="0"/>
      </w:pPr>
      <w:r>
        <w:t xml:space="preserve"/>
      </w:r>
    </w:p>
    <w:p>
      <w:pPr>
        <w:spacing w:after="6" w:before="20"/>
      </w:pPr>
      <w:r>
        <w:rPr>
          <w:rFonts w:ascii="Calibri" w:cs="Calibri" w:eastAsia="Calibri" w:hAnsi="Calibri"/>
          <w:b/>
          <w:bCs/>
          <w:color w:val="1A1A1A"/>
          <w:sz w:val="24"/>
          <w:szCs w:val="24"/>
        </w:rPr>
        <w:t xml:space="preserve">Notice Body</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To: The Resident Grievance Officer (India) and the Designated Agent /</w:t>
      </w:r>
      <w:r>
        <w:rPr>
          <w:rFonts w:ascii="Courier New" w:cs="Courier New" w:eastAsia="Courier New" w:hAnsi="Courier New"/>
          <w:color w:val="1A1A1A"/>
          <w:sz w:val="20"/>
          <w:szCs w:val="20"/>
        </w:rPr>
        <w:br/>
        <w:t xml:space="preserve">Trust and Safety Team, {{platformName}}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Subject: Joint statutory notice for removal of non-consensual intimate</w:t>
      </w:r>
      <w:r>
        <w:rPr>
          <w:rFonts w:ascii="Courier New" w:cs="Courier New" w:eastAsia="Courier New" w:hAnsi="Courier New"/>
          <w:color w:val="1A1A1A"/>
          <w:sz w:val="20"/>
          <w:szCs w:val="20"/>
        </w:rPr>
        <w:br/>
        <w:t xml:space="preserve">imagery under IT Rules 2021 and 15 U.S.C. § 6851 (TAKE IT DOWN Act,</w:t>
      </w:r>
      <w:r>
        <w:rPr>
          <w:rFonts w:ascii="Courier New" w:cs="Courier New" w:eastAsia="Courier New" w:hAnsi="Courier New"/>
          <w:color w:val="1A1A1A"/>
          <w:sz w:val="20"/>
          <w:szCs w:val="20"/>
        </w:rPr>
        <w:br/>
        <w:t xml:space="preserve">2025) —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Madam / Sir,</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1. PURPOSE OF JOINT NOTICE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This joint notice enables your respective teams to act on whichever legal</w:t>
      </w:r>
      <w:r>
        <w:rPr>
          <w:rFonts w:ascii="Courier New" w:cs="Courier New" w:eastAsia="Courier New" w:hAnsi="Courier New"/>
          <w:color w:val="1A1A1A"/>
          <w:sz w:val="20"/>
          <w:szCs w:val="20"/>
        </w:rPr>
        <w:br/>
        <w:t xml:space="preserve">basis is procedurally cleanest, without requiring the complainant to file</w:t>
      </w:r>
      <w:r>
        <w:rPr>
          <w:rFonts w:ascii="Courier New" w:cs="Courier New" w:eastAsia="Courier New" w:hAnsi="Courier New"/>
          <w:color w:val="1A1A1A"/>
          <w:sz w:val="20"/>
          <w:szCs w:val="20"/>
        </w:rPr>
        <w:br/>
        <w:t xml:space="preserve">parallel notices.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2. COMPLAINANT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Verified adult Indian resident. PII withheld per DPDP Act 2023.</w:t>
      </w:r>
      <w:r>
        <w:rPr>
          <w:rFonts w:ascii="Courier New" w:cs="Courier New" w:eastAsia="Courier New" w:hAnsi="Courier New"/>
          <w:color w:val="1A1A1A"/>
          <w:sz w:val="20"/>
          <w:szCs w:val="20"/>
        </w:rPr>
        <w:br/>
        <w:t xml:space="preserve">Declaration reference: {{declarationReference}}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3. CONTENT TO BE REMOVED</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Case reference: {{caseReference}}</w:t>
      </w:r>
      <w:r>
        <w:rPr>
          <w:rFonts w:ascii="Courier New" w:cs="Courier New" w:eastAsia="Courier New" w:hAnsi="Courier New"/>
          <w:color w:val="1A1A1A"/>
          <w:sz w:val="20"/>
          <w:szCs w:val="20"/>
        </w:rPr>
        <w:br/>
        <w:t xml:space="preserve">Secure content locator: {{url}}</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4. STATUTORY BASIS — INDIAN LAW</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PRIMARY: Rule 3(2)(b), IT Rules 2021 — mandatory 24-hour removal.</w:t>
      </w:r>
      <w:r>
        <w:rPr>
          <w:rFonts w:ascii="Courier New" w:cs="Courier New" w:eastAsia="Courier New" w:hAnsi="Courier New"/>
          <w:color w:val="1A1A1A"/>
          <w:sz w:val="20"/>
          <w:szCs w:val="20"/>
        </w:rPr>
        <w:br/>
        <w:t xml:space="preserve">Filed per MeitY NCII SOP v.1 (Oct 2025), Madras HC WP 25017/2025.</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ADDITIONAL: s.66E, s.67, s.67A IT Act 2000; s.79(3)(b) IT Act 2000;</w:t>
      </w:r>
      <w:r>
        <w:rPr>
          <w:rFonts w:ascii="Courier New" w:cs="Courier New" w:eastAsia="Courier New" w:hAnsi="Courier New"/>
          <w:color w:val="1A1A1A"/>
          <w:sz w:val="20"/>
          <w:szCs w:val="20"/>
        </w:rPr>
        <w:br/>
        <w:t xml:space="preserve">s.77 BNS 2023 (voyeurism); Indecent Representation of Women Act 1986;</w:t>
      </w:r>
      <w:r>
        <w:rPr>
          <w:rFonts w:ascii="Courier New" w:cs="Courier New" w:eastAsia="Courier New" w:hAnsi="Courier New"/>
          <w:color w:val="1A1A1A"/>
          <w:sz w:val="20"/>
          <w:szCs w:val="20"/>
        </w:rPr>
        <w:br/>
        <w:t xml:space="preserve">Rule 4(4) IT Rules 2021 (re-upload prevention; I4C Sahyog Portal).</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5. STATUTORY BASIS — US LAW</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PRIMARY: 15 U.S.C. § 6851 (TAKE IT DOWN Act 2025) — 48h removal.</w:t>
      </w:r>
      <w:r>
        <w:rPr>
          <w:rFonts w:ascii="Courier New" w:cs="Courier New" w:eastAsia="Courier New" w:hAnsi="Courier New"/>
          <w:color w:val="1A1A1A"/>
          <w:sz w:val="20"/>
          <w:szCs w:val="20"/>
        </w:rPr>
        <w:br/>
        <w:t xml:space="preserve">SECONDARY (conditional): 17 U.S.C. § 512(c)(3) (DMCA) — fair-use</w:t>
      </w:r>
      <w:r>
        <w:rPr>
          <w:rFonts w:ascii="Courier New" w:cs="Courier New" w:eastAsia="Courier New" w:hAnsi="Courier New"/>
          <w:color w:val="1A1A1A"/>
          <w:sz w:val="20"/>
          <w:szCs w:val="20"/>
        </w:rPr>
        <w:br/>
        <w:t xml:space="preserve">considered (Lenz, 9th Cir. 2015); §512(f) misrepresentation risk noted.</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6. REQUESTED ACTION</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(i)   Acknowledge within 24h per Rule 4(1)(c);</w:t>
      </w:r>
      <w:r>
        <w:rPr>
          <w:rFonts w:ascii="Courier New" w:cs="Courier New" w:eastAsia="Courier New" w:hAnsi="Courier New"/>
          <w:color w:val="1A1A1A"/>
          <w:sz w:val="20"/>
          <w:szCs w:val="20"/>
        </w:rPr>
        <w:br/>
        <w:t xml:space="preserve">(ii)  Remove within 24h (Indian law) or 48h (US law) — whichever shorter;</w:t>
      </w:r>
      <w:r>
        <w:rPr>
          <w:rFonts w:ascii="Courier New" w:cs="Courier New" w:eastAsia="Courier New" w:hAnsi="Courier New"/>
          <w:color w:val="1A1A1A"/>
          <w:sz w:val="20"/>
          <w:szCs w:val="20"/>
        </w:rPr>
        <w:br/>
        <w:t xml:space="preserve">(iii) Prevent re-upload for 72h per Rule 4(4);</w:t>
      </w:r>
      <w:r>
        <w:rPr>
          <w:rFonts w:ascii="Courier New" w:cs="Courier New" w:eastAsia="Courier New" w:hAnsi="Courier New"/>
          <w:color w:val="1A1A1A"/>
          <w:sz w:val="20"/>
          <w:szCs w:val="20"/>
        </w:rPr>
        <w:br/>
        <w:t xml:space="preserve">(iv)  Preserve records; and</w:t>
      </w:r>
      <w:r>
        <w:rPr>
          <w:rFonts w:ascii="Courier New" w:cs="Courier New" w:eastAsia="Courier New" w:hAnsi="Courier New"/>
          <w:color w:val="1A1A1A"/>
          <w:sz w:val="20"/>
          <w:szCs w:val="20"/>
        </w:rPr>
        <w:br/>
        <w:t xml:space="preserve">(v)   Confirm action quoting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7. GRIEVANCE APPELLATE COMMITTEE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GAC appeal within 30 days at www.gac.gov.in; NCRP at cybercrime.gov.in</w:t>
      </w:r>
      <w:r>
        <w:rPr>
          <w:rFonts w:ascii="Courier New" w:cs="Courier New" w:eastAsia="Courier New" w:hAnsi="Courier New"/>
          <w:color w:val="1A1A1A"/>
          <w:sz w:val="20"/>
          <w:szCs w:val="20"/>
        </w:rPr>
        <w:br/>
        <w:t xml:space="preserve">/ 1930 per MeitY NCII SOP v.1.</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Filed electronically by Asmita on behalf of the complainant.</w:t>
      </w:r>
      <w:r>
        <w:rPr>
          <w:rFonts w:ascii="Courier New" w:cs="Courier New" w:eastAsia="Courier New" w:hAnsi="Courier New"/>
          <w:color w:val="1A1A1A"/>
          <w:sz w:val="20"/>
          <w:szCs w:val="20"/>
        </w:rPr>
        <w:br/>
        <w:t xml:space="preserve">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[DRAFT — PENDING LEGAL REVIEW — DO NOT DISPATCH]</w:t>
      </w:r>
    </w:p>
    <w:p>
      <w:pPr>
        <w:spacing w:after="0" w:before="0"/>
      </w:pPr>
      <w:r>
        <w:t xml:space="preserve"/>
      </w:r>
    </w:p>
    <w:p>
      <w:pPr>
        <w:spacing w:after="0" w:before="0"/>
      </w:pPr>
      <w:r>
        <w:t xml:space="preserve"/>
      </w:r>
    </w:p>
    <w:p>
      <w:pPr>
        <w:pBdr>
          <w:bottom w:val="single" w:color="E0E0E0" w:sz="4"/>
        </w:pBdr>
        <w:spacing w:after="12" w:before="12"/>
      </w:pPr>
      <w:r>
        <w:t xml:space="preserve"/>
      </w:r>
    </w:p>
    <w:p>
      <w:r>
        <w:br w:type="page"/>
      </w:r>
    </w:p>
    <w:p>
      <w:pPr>
        <w:pStyle w:val="Heading2"/>
        <w:pBdr>
          <w:bottom w:val="single" w:color="00695C" w:sz="4"/>
        </w:pBdr>
        <w:spacing w:after="8" w:before="28"/>
      </w:pPr>
      <w:r>
        <w:rPr>
          <w:rFonts w:ascii="Calibri" w:cs="Calibri" w:eastAsia="Calibri" w:hAnsi="Calibri"/>
          <w:b/>
          <w:bCs/>
          <w:color w:val="00695C"/>
          <w:sz w:val="26"/>
          <w:szCs w:val="26"/>
        </w:rPr>
        <w:t xml:space="preserve">3.4  HASH_ADVISORY — Perceptual Hash Blocking Request</w:t>
      </w:r>
    </w:p>
    <w:p>
      <w:pPr>
        <w:spacing w:after="6" w:before="6" w:line="276"/>
        <w:jc w:val="both"/>
      </w:pPr>
      <w:r>
        <w:rPr>
          <w:rFonts w:ascii="Calibri" w:cs="Calibri" w:eastAsia="Calibri" w:hAnsi="Calibri"/>
          <w:b w:val="false"/>
          <w:bCs w:val="false"/>
          <w:i/>
          <w:iCs/>
          <w:color w:val="616161"/>
          <w:sz w:val="22"/>
          <w:szCs w:val="22"/>
        </w:rPr>
        <w:t xml:space="preserve">For use with: Any platform when the complainant has submitted PDQ perceptual hashes. The hash annex (PDQ fingerprints) is appended below the notice body at dispatch.</w:t>
      </w:r>
    </w:p>
    <w:p>
      <w:pPr>
        <w:spacing w:after="0" w:before="0"/>
      </w:pPr>
      <w:r>
        <w:t xml:space="preserve"/>
      </w:r>
    </w:p>
    <w:p>
      <w:pPr>
        <w:spacing w:after="6" w:before="20"/>
      </w:pPr>
      <w:r>
        <w:rPr>
          <w:rFonts w:ascii="Calibri" w:cs="Calibri" w:eastAsia="Calibri" w:hAnsi="Calibri"/>
          <w:b/>
          <w:bCs/>
          <w:color w:val="1A1A1A"/>
          <w:sz w:val="24"/>
          <w:szCs w:val="24"/>
        </w:rPr>
        <w:t xml:space="preserve">Subject Line</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NCII proactive blocking request — perceptual hash advisory under</w:t>
      </w:r>
      <w:r>
        <w:rPr>
          <w:rFonts w:ascii="Courier New" w:cs="Courier New" w:eastAsia="Courier New" w:hAnsi="Courier New"/>
          <w:color w:val="1A1A1A"/>
          <w:sz w:val="20"/>
          <w:szCs w:val="20"/>
        </w:rPr>
        <w:br/>
        <w:t xml:space="preserve">Rule 3(2)(b) and Rule 4(4) of the IT Rules, 2021 and MeitY NCII</w:t>
      </w:r>
      <w:r>
        <w:rPr>
          <w:rFonts w:ascii="Courier New" w:cs="Courier New" w:eastAsia="Courier New" w:hAnsi="Courier New"/>
          <w:color w:val="1A1A1A"/>
          <w:sz w:val="20"/>
          <w:szCs w:val="20"/>
        </w:rPr>
        <w:br/>
        <w:t xml:space="preserve">SOP v.1 (Oct 2025) — {{caseReference}}</w:t>
      </w:r>
    </w:p>
    <w:p>
      <w:pPr>
        <w:spacing w:after="0" w:before="0"/>
      </w:pPr>
      <w:r>
        <w:t xml:space="preserve"/>
      </w:r>
    </w:p>
    <w:p>
      <w:pPr>
        <w:spacing w:after="6" w:before="20"/>
      </w:pPr>
      <w:r>
        <w:rPr>
          <w:rFonts w:ascii="Calibri" w:cs="Calibri" w:eastAsia="Calibri" w:hAnsi="Calibri"/>
          <w:b/>
          <w:bCs/>
          <w:color w:val="1A1A1A"/>
          <w:sz w:val="24"/>
          <w:szCs w:val="24"/>
        </w:rPr>
        <w:t xml:space="preserve">Notice Body</w:t>
      </w:r>
    </w:p>
    <w:p>
      <w:pPr>
        <w:pBdr>
          <w:top w:val="single" w:color="E0E0E0" w:sz="4"/>
          <w:bottom w:val="single" w:color="E0E0E0" w:sz="4"/>
          <w:left w:val="single" w:color="00695C" w:sz="16"/>
          <w:right w:val="single" w:color="E0E0E0" w:sz="4"/>
        </w:pBdr>
        <w:shd w:fill="F9F9F9" w:color="auto" w:val="clear"/>
        <w:spacing w:after="12" w:before="12" w:line="300"/>
      </w:pPr>
      <w:r>
        <w:rPr>
          <w:rFonts w:ascii="Courier New" w:cs="Courier New" w:eastAsia="Courier New" w:hAnsi="Courier New"/>
          <w:color w:val="1A1A1A"/>
          <w:sz w:val="20"/>
          <w:szCs w:val="20"/>
        </w:rPr>
        <w:t xml:space="preserve">To: The Resident Grievance Officer / Trust and Safety Team, {{platformName}}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Subject: NCII proactive blocking request — perceptual hash advisory under</w:t>
      </w:r>
      <w:r>
        <w:rPr>
          <w:rFonts w:ascii="Courier New" w:cs="Courier New" w:eastAsia="Courier New" w:hAnsi="Courier New"/>
          <w:color w:val="1A1A1A"/>
          <w:sz w:val="20"/>
          <w:szCs w:val="20"/>
        </w:rPr>
        <w:br/>
        <w:t xml:space="preserve">Rule 3(2)(b) and Rule 4(4) of the IT Rules, 2021 and MeitY NCII SOP v.1</w:t>
      </w:r>
      <w:r>
        <w:rPr>
          <w:rFonts w:ascii="Courier New" w:cs="Courier New" w:eastAsia="Courier New" w:hAnsi="Courier New"/>
          <w:color w:val="1A1A1A"/>
          <w:sz w:val="20"/>
          <w:szCs w:val="20"/>
        </w:rPr>
        <w:br/>
        <w:t xml:space="preserve">(October 2025) —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Madam / Sir,</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1. PURPOSE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Asmita requests proactive blocking of NCII. The complainant has reported</w:t>
      </w:r>
      <w:r>
        <w:rPr>
          <w:rFonts w:ascii="Courier New" w:cs="Courier New" w:eastAsia="Courier New" w:hAnsi="Courier New"/>
          <w:color w:val="1A1A1A"/>
          <w:sz w:val="20"/>
          <w:szCs w:val="20"/>
        </w:rPr>
        <w:br/>
        <w:t xml:space="preserve">that intimate content depicting her has been shared, or is imminently</w:t>
      </w:r>
      <w:r>
        <w:rPr>
          <w:rFonts w:ascii="Courier New" w:cs="Courier New" w:eastAsia="Courier New" w:hAnsi="Courier New"/>
          <w:color w:val="1A1A1A"/>
          <w:sz w:val="20"/>
          <w:szCs w:val="20"/>
        </w:rPr>
        <w:br/>
        <w:t xml:space="preserve">threatened to be shared, without her consent. Perceptual hashes are enclosed</w:t>
      </w:r>
      <w:r>
        <w:rPr>
          <w:rFonts w:ascii="Courier New" w:cs="Courier New" w:eastAsia="Courier New" w:hAnsi="Courier New"/>
          <w:color w:val="1A1A1A"/>
          <w:sz w:val="20"/>
          <w:szCs w:val="20"/>
        </w:rPr>
        <w:br/>
        <w:t xml:space="preserve">to enable detection without further dissemination of the material.</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2. COMPLAINANT</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Verified adult Indian resident. PII withheld per DPDP Act 2023.</w:t>
      </w:r>
      <w:r>
        <w:rPr>
          <w:rFonts w:ascii="Courier New" w:cs="Courier New" w:eastAsia="Courier New" w:hAnsi="Courier New"/>
          <w:color w:val="1A1A1A"/>
          <w:sz w:val="20"/>
          <w:szCs w:val="20"/>
        </w:rPr>
        <w:br/>
        <w:t xml:space="preserve">Declaration reference: {{declarationReference}}</w:t>
      </w:r>
      <w:r>
        <w:rPr>
          <w:rFonts w:ascii="Courier New" w:cs="Courier New" w:eastAsia="Courier New" w:hAnsi="Courier New"/>
          <w:color w:val="1A1A1A"/>
          <w:sz w:val="20"/>
          <w:szCs w:val="20"/>
        </w:rPr>
        <w:br/>
        <w:t xml:space="preserve">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complainant's signed declaration expressly covers the perceptual hashes</w:t>
      </w:r>
      <w:r>
        <w:rPr>
          <w:rFonts w:ascii="Courier New" w:cs="Courier New" w:eastAsia="Courier New" w:hAnsi="Courier New"/>
          <w:color w:val="1A1A1A"/>
          <w:sz w:val="20"/>
          <w:szCs w:val="20"/>
        </w:rPr>
        <w:br/>
        <w:t xml:space="preserve">in the annex, confirming they represent content in which she appears.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3. NATURE OF THE PERCEPTUAL HASHES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Generated on the complainant's own device using the PDQ perceptual hashing</w:t>
      </w:r>
      <w:r>
        <w:rPr>
          <w:rFonts w:ascii="Courier New" w:cs="Courier New" w:eastAsia="Courier New" w:hAnsi="Courier New"/>
          <w:color w:val="1A1A1A"/>
          <w:sz w:val="20"/>
          <w:szCs w:val="20"/>
        </w:rPr>
        <w:br/>
        <w:t xml:space="preserve">algorithm (Meta ThreatExchange, open-source). Asmita has not received,</w:t>
      </w:r>
      <w:r>
        <w:rPr>
          <w:rFonts w:ascii="Courier New" w:cs="Courier New" w:eastAsia="Courier New" w:hAnsi="Courier New"/>
          <w:color w:val="1A1A1A"/>
          <w:sz w:val="20"/>
          <w:szCs w:val="20"/>
        </w:rPr>
        <w:br/>
        <w:t xml:space="preserve">retrieved, viewed, stored, or transmitted the underlying media. PDQ hashes</w:t>
      </w:r>
      <w:r>
        <w:rPr>
          <w:rFonts w:ascii="Courier New" w:cs="Courier New" w:eastAsia="Courier New" w:hAnsi="Courier New"/>
          <w:color w:val="1A1A1A"/>
          <w:sz w:val="20"/>
          <w:szCs w:val="20"/>
        </w:rPr>
        <w:br/>
        <w:t xml:space="preserve">are one-way fingerprints — they cannot be reversed to reconstruct the image.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4. STATUTORY BASIS</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PRIMARY: Rule 3(2)(b), IT Rules 2021 — mandatory 24-hour removal of any</w:t>
      </w:r>
      <w:r>
        <w:rPr>
          <w:rFonts w:ascii="Courier New" w:cs="Courier New" w:eastAsia="Courier New" w:hAnsi="Courier New"/>
          <w:color w:val="1A1A1A"/>
          <w:sz w:val="20"/>
          <w:szCs w:val="20"/>
        </w:rPr>
        <w:br/>
        <w:t xml:space="preserve">matching content already on service.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PROACTIVE DUTY (Rule 4(4) + MeitY NCII SOP v.1, Oct 2025):</w:t>
      </w:r>
      <w:r>
        <w:rPr>
          <w:rFonts w:ascii="Courier New" w:cs="Courier New" w:eastAsia="Courier New" w:hAnsi="Courier New"/>
          <w:color w:val="1A1A1A"/>
          <w:sz w:val="20"/>
          <w:szCs w:val="20"/>
        </w:rPr>
        <w:br/>
        <w:t xml:space="preserve">SSMIs must:</w:t>
      </w:r>
      <w:r>
        <w:rPr>
          <w:rFonts w:ascii="Courier New" w:cs="Courier New" w:eastAsia="Courier New" w:hAnsi="Courier New"/>
          <w:color w:val="1A1A1A"/>
          <w:sz w:val="20"/>
          <w:szCs w:val="20"/>
        </w:rPr>
        <w:br/>
        <w:t xml:space="preserve">  (a) deploy crawler/hash detection to identify and block re-uploads;</w:t>
      </w:r>
      <w:r>
        <w:rPr>
          <w:rFonts w:ascii="Courier New" w:cs="Courier New" w:eastAsia="Courier New" w:hAnsi="Courier New"/>
          <w:color w:val="1A1A1A"/>
          <w:sz w:val="20"/>
          <w:szCs w:val="20"/>
        </w:rPr>
        <w:br/>
        <w:t xml:space="preserve">  (b) share reported hashes with the I4C Sahyog Portal (national hash bank);</w:t>
      </w:r>
      <w:r>
        <w:rPr>
          <w:rFonts w:ascii="Courier New" w:cs="Courier New" w:eastAsia="Courier New" w:hAnsi="Courier New"/>
          <w:color w:val="1A1A1A"/>
          <w:sz w:val="20"/>
          <w:szCs w:val="20"/>
        </w:rPr>
        <w:br/>
        <w:t xml:space="preserve">  (c) (search engines) de-index matching content within 24h.</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ADDITIONAL: s.66E, s.67, s.67A IT Act 2000; s.79(3)(b) IT Act 2000;</w:t>
      </w:r>
      <w:r>
        <w:rPr>
          <w:rFonts w:ascii="Courier New" w:cs="Courier New" w:eastAsia="Courier New" w:hAnsi="Courier New"/>
          <w:color w:val="1A1A1A"/>
          <w:sz w:val="20"/>
          <w:szCs w:val="20"/>
        </w:rPr>
        <w:br/>
        <w:t xml:space="preserve">s.77 BNS 2023; Indecent Representation of Women Act 1986;</w:t>
      </w:r>
      <w:r>
        <w:rPr>
          <w:rFonts w:ascii="Courier New" w:cs="Courier New" w:eastAsia="Courier New" w:hAnsi="Courier New"/>
          <w:color w:val="1A1A1A"/>
          <w:sz w:val="20"/>
          <w:szCs w:val="20"/>
        </w:rPr>
        <w:br/>
        <w:t xml:space="preserve">Rule 3(1)(b)(iv) IT Rules 2021.</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5. REQUESTED ACTION</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(i)   Acknowledge within 24h;</w:t>
      </w:r>
      <w:r>
        <w:rPr>
          <w:rFonts w:ascii="Courier New" w:cs="Courier New" w:eastAsia="Courier New" w:hAnsi="Courier New"/>
          <w:color w:val="1A1A1A"/>
          <w:sz w:val="20"/>
          <w:szCs w:val="20"/>
        </w:rPr>
        <w:br/>
        <w:t xml:space="preserve">(ii)  Ingest hashes into proactive detection systems per Rule 4(4);</w:t>
      </w:r>
      <w:r>
        <w:rPr>
          <w:rFonts w:ascii="Courier New" w:cs="Courier New" w:eastAsia="Courier New" w:hAnsi="Courier New"/>
          <w:color w:val="1A1A1A"/>
          <w:sz w:val="20"/>
          <w:szCs w:val="20"/>
        </w:rPr>
        <w:br/>
        <w:t xml:space="preserve">(iii) Share hashes with I4C Sahyog Portal per MeitY NCII SOP v.1;</w:t>
      </w:r>
      <w:r>
        <w:rPr>
          <w:rFonts w:ascii="Courier New" w:cs="Courier New" w:eastAsia="Courier New" w:hAnsi="Courier New"/>
          <w:color w:val="1A1A1A"/>
          <w:sz w:val="20"/>
          <w:szCs w:val="20"/>
        </w:rPr>
        <w:br/>
        <w:t xml:space="preserve">(iv)  Remove matching content already on service within 24h per Rule 3(2)(b);</w:t>
      </w:r>
      <w:r>
        <w:rPr>
          <w:rFonts w:ascii="Courier New" w:cs="Courier New" w:eastAsia="Courier New" w:hAnsi="Courier New"/>
          <w:color w:val="1A1A1A"/>
          <w:sz w:val="20"/>
          <w:szCs w:val="20"/>
        </w:rPr>
        <w:br/>
        <w:t xml:space="preserve">(v)   Prevent re-upload for 72h per Rule 4(4);</w:t>
      </w:r>
      <w:r>
        <w:rPr>
          <w:rFonts w:ascii="Courier New" w:cs="Courier New" w:eastAsia="Courier New" w:hAnsi="Courier New"/>
          <w:color w:val="1A1A1A"/>
          <w:sz w:val="20"/>
          <w:szCs w:val="20"/>
        </w:rPr>
        <w:br/>
        <w:t xml:space="preserve">(vi)  (If applicable) de-index matching content within 24h per MeitY SOP;</w:t>
      </w:r>
      <w:r>
        <w:rPr>
          <w:rFonts w:ascii="Courier New" w:cs="Courier New" w:eastAsia="Courier New" w:hAnsi="Courier New"/>
          <w:color w:val="1A1A1A"/>
          <w:sz w:val="20"/>
          <w:szCs w:val="20"/>
        </w:rPr>
        <w:br/>
        <w:t xml:space="preserve">(vii) Preserve records; and</w:t>
      </w:r>
      <w:r>
        <w:rPr>
          <w:rFonts w:ascii="Courier New" w:cs="Courier New" w:eastAsia="Courier New" w:hAnsi="Courier New"/>
          <w:color w:val="1A1A1A"/>
          <w:sz w:val="20"/>
          <w:szCs w:val="20"/>
        </w:rPr>
        <w:br/>
        <w:t xml:space="preserve">(viii)Confirm action quoting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6. GRIEVANCE APPELLATE COMMITTEE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GAC appeal within 30 days at www.gac.gov.in; NCRP at cybercrime.gov.in / 1930.</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Filed electronically by Asmita on behalf of the complainant.</w:t>
      </w:r>
      <w:r>
        <w:rPr>
          <w:rFonts w:ascii="Courier New" w:cs="Courier New" w:eastAsia="Courier New" w:hAnsi="Courier New"/>
          <w:color w:val="1A1A1A"/>
          <w:sz w:val="20"/>
          <w:szCs w:val="20"/>
        </w:rPr>
        <w:br/>
        <w:t xml:space="preserve">Case reference: {{caseReference}}</w:t>
      </w:r>
      <w:r>
        <w:rPr>
          <w:rFonts w:ascii="Courier New" w:cs="Courier New" w:eastAsia="Courier New" w:hAnsi="Courier New"/>
          <w:color w:val="1A1A1A"/>
          <w:sz w:val="20"/>
          <w:szCs w:val="20"/>
        </w:rPr>
        <w:br/>
        <w:t xml:space="preserve"/>
      </w:r>
      <w:r>
        <w:rPr>
          <w:rFonts w:ascii="Courier New" w:cs="Courier New" w:eastAsia="Courier New" w:hAnsi="Courier New"/>
          <w:color w:val="1A1A1A"/>
          <w:sz w:val="20"/>
          <w:szCs w:val="20"/>
        </w:rPr>
        <w:br/>
        <w:t xml:space="preserve">[The perceptual hash annex is appended below this notice body.]</w:t>
      </w:r>
      <w:r>
        <w:rPr>
          <w:rFonts w:ascii="Courier New" w:cs="Courier New" w:eastAsia="Courier New" w:hAnsi="Courier New"/>
          <w:color w:val="1A1A1A"/>
          <w:sz w:val="20"/>
          <w:szCs w:val="20"/>
        </w:rPr>
        <w:br/>
        <w:t xml:space="preserve">[DRAFT — PENDING LEGAL REVIEW — DO NOT DISPATCH]</w:t>
      </w:r>
    </w:p>
    <w:p>
      <w:pPr>
        <w:spacing w:after="0" w:before="0"/>
      </w:pPr>
      <w:r>
        <w:t xml:space="preserve"/>
      </w:r>
    </w:p>
    <w:p>
      <w:pPr>
        <w:spacing w:after="0" w:before="0"/>
      </w:pPr>
      <w:r>
        <w:t xml:space="preserve"/>
      </w:r>
    </w:p>
    <w:p>
      <w:pPr>
        <w:pBdr>
          <w:bottom w:val="single" w:color="E0E0E0" w:sz="4"/>
        </w:pBdr>
        <w:spacing w:after="12" w:before="12"/>
      </w:pPr>
      <w:r>
        <w:t xml:space="preserve"/>
      </w:r>
    </w:p>
    <w:p>
      <w:r>
        <w:br w:type="page"/>
      </w:r>
    </w:p>
    <w:p>
      <w:pPr>
        <w:pStyle w:val="Heading1"/>
        <w:spacing w:after="12" w:before="36"/>
      </w:pPr>
      <w:r>
        <w:rPr>
          <w:rFonts w:ascii="Calibri" w:cs="Calibri" w:eastAsia="Calibri" w:hAnsi="Calibri"/>
          <w:b/>
          <w:bCs/>
          <w:color w:val="00695C"/>
          <w:sz w:val="32"/>
          <w:szCs w:val="32"/>
        </w:rPr>
        <w:t xml:space="preserve">4. CHANGES FROM ORIGINAL DRAFTS</w:t>
      </w:r>
    </w:p>
    <w:p>
      <w:pPr>
        <w:spacing w:after="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95C" w:color="auto" w:val="clear"/>
          </w:tcPr>
          <w:p>
            <w:r>
              <w:rPr>
                <w:rFonts w:ascii="Calibri" w:cs="Calibri" w:eastAsia="Calibri" w:hAnsi="Calibri"/>
                <w:b/>
                <w:bCs/>
                <w:color w:val="FFFFFF"/>
                <w:sz w:val="20"/>
                <w:szCs w:val="20"/>
              </w:rPr>
              <w:t xml:space="preserve">Template</w:t>
            </w:r>
          </w:p>
        </w:tc>
        <w:tc>
          <w:tcPr>
            <w:shd w:fill="00695C" w:color="auto" w:val="clear"/>
          </w:tcPr>
          <w:p>
            <w:r>
              <w:rPr>
                <w:rFonts w:ascii="Calibri" w:cs="Calibri" w:eastAsia="Calibri" w:hAnsi="Calibri"/>
                <w:b/>
                <w:bCs/>
                <w:color w:val="FFFFFF"/>
                <w:sz w:val="20"/>
                <w:szCs w:val="20"/>
              </w:rPr>
              <w:t xml:space="preserve">Addition</w:t>
            </w:r>
          </w:p>
        </w:tc>
        <w:tc>
          <w:tcPr>
            <w:shd w:fill="00695C" w:color="auto" w:val="clear"/>
          </w:tcPr>
          <w:p>
            <w:r>
              <w:rPr>
                <w:rFonts w:ascii="Calibri" w:cs="Calibri" w:eastAsia="Calibri" w:hAnsi="Calibri"/>
                <w:b/>
                <w:bCs/>
                <w:color w:val="FFFFFF"/>
                <w:sz w:val="20"/>
                <w:szCs w:val="20"/>
              </w:rPr>
              <w:t xml:space="preserve">Source</w:t>
            </w:r>
          </w:p>
        </w:tc>
      </w:tr>
      <w:tr>
        <w:tc>
          <w:tcPr>
            <w:shd w:fill="F5F5F5" w:color="auto" w:val="clear"/>
          </w:tcPr>
          <w:p>
            <w:r>
              <w:rPr>
                <w:rFonts w:ascii="Calibri" w:cs="Calibri" w:eastAsia="Calibri" w:hAnsi="Calibri"/>
                <w:color w:val="1A1A1A"/>
                <w:sz w:val="18"/>
                <w:szCs w:val="18"/>
              </w:rPr>
              <w:t xml:space="preserve">All Indian</w:t>
            </w:r>
          </w:p>
        </w:tc>
        <w:tc>
          <w:tcPr>
            <w:shd w:fill="F5F5F5" w:color="auto" w:val="clear"/>
          </w:tcPr>
          <w:p>
            <w:r>
              <w:rPr>
                <w:rFonts w:ascii="Calibri" w:cs="Calibri" w:eastAsia="Calibri" w:hAnsi="Calibri"/>
                <w:color w:val="1A1A1A"/>
                <w:sz w:val="18"/>
                <w:szCs w:val="18"/>
              </w:rPr>
              <w:t xml:space="preserve">MeitY NCII SOP v.1 (Oct 2025); Madras HC WP 25017/2025</w:t>
            </w:r>
          </w:p>
        </w:tc>
        <w:tc>
          <w:tcPr>
            <w:shd w:fill="F5F5F5" w:color="auto" w:val="clear"/>
          </w:tcPr>
          <w:p>
            <w:r>
              <w:rPr>
                <w:rFonts w:ascii="Calibri" w:cs="Calibri" w:eastAsia="Calibri" w:hAnsi="Calibri"/>
                <w:color w:val="1A1A1A"/>
                <w:sz w:val="18"/>
                <w:szCs w:val="18"/>
              </w:rPr>
              <w:t xml:space="preserve">indian-legal-notice skill</w:t>
            </w:r>
          </w:p>
        </w:tc>
      </w:tr>
      <w:tr>
        <w:tc>
          <w:tcPr>
            <w:shd w:fill="FFFFFF" w:color="auto" w:val="clear"/>
          </w:tcPr>
          <w:p>
            <w:r>
              <w:rPr>
                <w:rFonts w:ascii="Calibri" w:cs="Calibri" w:eastAsia="Calibri" w:hAnsi="Calibri"/>
                <w:color w:val="1A1A1A"/>
                <w:sz w:val="18"/>
                <w:szCs w:val="18"/>
              </w:rPr>
              <w:t xml:space="preserve">All Indian</w:t>
            </w:r>
          </w:p>
        </w:tc>
        <w:tc>
          <w:tcPr>
            <w:shd w:fill="FFFFFF" w:color="auto" w:val="clear"/>
          </w:tcPr>
          <w:p>
            <w:r>
              <w:rPr>
                <w:rFonts w:ascii="Calibri" w:cs="Calibri" w:eastAsia="Calibri" w:hAnsi="Calibri"/>
                <w:color w:val="1A1A1A"/>
                <w:sz w:val="18"/>
                <w:szCs w:val="18"/>
              </w:rPr>
              <w:t xml:space="preserve">Indecent Representation of Women (Prohibition) Act, 1986</w:t>
            </w:r>
          </w:p>
        </w:tc>
        <w:tc>
          <w:tcPr>
            <w:shd w:fill="FFFFFF" w:color="auto" w:val="clear"/>
          </w:tcPr>
          <w:p>
            <w:r>
              <w:rPr>
                <w:rFonts w:ascii="Calibri" w:cs="Calibri" w:eastAsia="Calibri" w:hAnsi="Calibri"/>
                <w:color w:val="1A1A1A"/>
                <w:sz w:val="18"/>
                <w:szCs w:val="18"/>
              </w:rPr>
              <w:t xml:space="preserve">MeitY SOP v.1</w:t>
            </w:r>
          </w:p>
        </w:tc>
      </w:tr>
      <w:tr>
        <w:tc>
          <w:tcPr>
            <w:shd w:fill="F5F5F5" w:color="auto" w:val="clear"/>
          </w:tcPr>
          <w:p>
            <w:r>
              <w:rPr>
                <w:rFonts w:ascii="Calibri" w:cs="Calibri" w:eastAsia="Calibri" w:hAnsi="Calibri"/>
                <w:color w:val="1A1A1A"/>
                <w:sz w:val="18"/>
                <w:szCs w:val="18"/>
              </w:rPr>
              <w:t xml:space="preserve">All Indian</w:t>
            </w:r>
          </w:p>
        </w:tc>
        <w:tc>
          <w:tcPr>
            <w:shd w:fill="F5F5F5" w:color="auto" w:val="clear"/>
          </w:tcPr>
          <w:p>
            <w:r>
              <w:rPr>
                <w:rFonts w:ascii="Calibri" w:cs="Calibri" w:eastAsia="Calibri" w:hAnsi="Calibri"/>
                <w:color w:val="1A1A1A"/>
                <w:sz w:val="18"/>
                <w:szCs w:val="18"/>
              </w:rPr>
              <w:t xml:space="preserve">GAC appeal URL (www.gac.gov.in) + NCRP (cybercrime.gov.in / 1930)</w:t>
            </w:r>
          </w:p>
        </w:tc>
        <w:tc>
          <w:tcPr>
            <w:shd w:fill="F5F5F5" w:color="auto" w:val="clear"/>
          </w:tcPr>
          <w:p>
            <w:r>
              <w:rPr>
                <w:rFonts w:ascii="Calibri" w:cs="Calibri" w:eastAsia="Calibri" w:hAnsi="Calibri"/>
                <w:color w:val="1A1A1A"/>
                <w:sz w:val="18"/>
                <w:szCs w:val="18"/>
              </w:rPr>
              <w:t xml:space="preserve">indian-legal-notice skill</w:t>
            </w:r>
          </w:p>
        </w:tc>
      </w:tr>
      <w:tr>
        <w:tc>
          <w:tcPr>
            <w:shd w:fill="FFFFFF" w:color="auto" w:val="clear"/>
          </w:tcPr>
          <w:p>
            <w:r>
              <w:rPr>
                <w:rFonts w:ascii="Calibri" w:cs="Calibri" w:eastAsia="Calibri" w:hAnsi="Calibri"/>
                <w:color w:val="1A1A1A"/>
                <w:sz w:val="18"/>
                <w:szCs w:val="18"/>
              </w:rPr>
              <w:t xml:space="preserve">All Indian</w:t>
            </w:r>
          </w:p>
        </w:tc>
        <w:tc>
          <w:tcPr>
            <w:shd w:fill="FFFFFF" w:color="auto" w:val="clear"/>
          </w:tcPr>
          <w:p>
            <w:r>
              <w:rPr>
                <w:rFonts w:ascii="Calibri" w:cs="Calibri" w:eastAsia="Calibri" w:hAnsi="Calibri"/>
                <w:color w:val="1A1A1A"/>
                <w:sz w:val="18"/>
                <w:szCs w:val="18"/>
              </w:rPr>
              <w:t xml:space="preserve">s.79 two-track distinction: 36h govt-notification vs 24h grievance</w:t>
            </w:r>
          </w:p>
        </w:tc>
        <w:tc>
          <w:tcPr>
            <w:shd w:fill="FFFFFF" w:color="auto" w:val="clear"/>
          </w:tcPr>
          <w:p>
            <w:r>
              <w:rPr>
                <w:rFonts w:ascii="Calibri" w:cs="Calibri" w:eastAsia="Calibri" w:hAnsi="Calibri"/>
                <w:color w:val="1A1A1A"/>
                <w:sz w:val="18"/>
                <w:szCs w:val="18"/>
              </w:rPr>
              <w:t xml:space="preserve">indian-legal-notice skill</w:t>
            </w:r>
          </w:p>
        </w:tc>
      </w:tr>
      <w:tr>
        <w:tc>
          <w:tcPr>
            <w:shd w:fill="F5F5F5" w:color="auto" w:val="clear"/>
          </w:tcPr>
          <w:p>
            <w:r>
              <w:rPr>
                <w:rFonts w:ascii="Calibri" w:cs="Calibri" w:eastAsia="Calibri" w:hAnsi="Calibri"/>
                <w:color w:val="1A1A1A"/>
                <w:sz w:val="18"/>
                <w:szCs w:val="18"/>
              </w:rPr>
              <w:t xml:space="preserve">DMCA</w:t>
            </w:r>
          </w:p>
        </w:tc>
        <w:tc>
          <w:tcPr>
            <w:shd w:fill="F5F5F5" w:color="auto" w:val="clear"/>
          </w:tcPr>
          <w:p>
            <w:r>
              <w:rPr>
                <w:rFonts w:ascii="Calibri" w:cs="Calibri" w:eastAsia="Calibri" w:hAnsi="Calibri"/>
                <w:color w:val="1A1A1A"/>
                <w:sz w:val="18"/>
                <w:szCs w:val="18"/>
              </w:rPr>
              <w:t xml:space="preserve">§512(c)(3)(A) electronic signature element</w:t>
            </w:r>
          </w:p>
        </w:tc>
        <w:tc>
          <w:tcPr>
            <w:shd w:fill="F5F5F5" w:color="auto" w:val="clear"/>
          </w:tcPr>
          <w:p>
            <w:r>
              <w:rPr>
                <w:rFonts w:ascii="Calibri" w:cs="Calibri" w:eastAsia="Calibri" w:hAnsi="Calibri"/>
                <w:color w:val="1A1A1A"/>
                <w:sz w:val="18"/>
                <w:szCs w:val="18"/>
              </w:rPr>
              <w:t xml:space="preserve">ip-legal:takedown</w:t>
            </w:r>
          </w:p>
        </w:tc>
      </w:tr>
      <w:tr>
        <w:tc>
          <w:tcPr>
            <w:shd w:fill="FFFFFF" w:color="auto" w:val="clear"/>
          </w:tcPr>
          <w:p>
            <w:r>
              <w:rPr>
                <w:rFonts w:ascii="Calibri" w:cs="Calibri" w:eastAsia="Calibri" w:hAnsi="Calibri"/>
                <w:color w:val="1A1A1A"/>
                <w:sz w:val="18"/>
                <w:szCs w:val="18"/>
              </w:rPr>
              <w:t xml:space="preserve">DMCA</w:t>
            </w:r>
          </w:p>
        </w:tc>
        <w:tc>
          <w:tcPr>
            <w:shd w:fill="FFFFFF" w:color="auto" w:val="clear"/>
          </w:tcPr>
          <w:p>
            <w:r>
              <w:rPr>
                <w:rFonts w:ascii="Calibri" w:cs="Calibri" w:eastAsia="Calibri" w:hAnsi="Calibri"/>
                <w:color w:val="1A1A1A"/>
                <w:sz w:val="18"/>
                <w:szCs w:val="18"/>
              </w:rPr>
              <w:t xml:space="preserve">Lenz v. Universal fair-use gate</w:t>
            </w:r>
          </w:p>
        </w:tc>
        <w:tc>
          <w:tcPr>
            <w:shd w:fill="FFFFFF" w:color="auto" w:val="clear"/>
          </w:tcPr>
          <w:p>
            <w:r>
              <w:rPr>
                <w:rFonts w:ascii="Calibri" w:cs="Calibri" w:eastAsia="Calibri" w:hAnsi="Calibri"/>
                <w:color w:val="1A1A1A"/>
                <w:sz w:val="18"/>
                <w:szCs w:val="18"/>
              </w:rPr>
              <w:t xml:space="preserve">ip-legal:takedown</w:t>
            </w:r>
          </w:p>
        </w:tc>
      </w:tr>
      <w:tr>
        <w:tc>
          <w:tcPr>
            <w:shd w:fill="F5F5F5" w:color="auto" w:val="clear"/>
          </w:tcPr>
          <w:p>
            <w:r>
              <w:rPr>
                <w:rFonts w:ascii="Calibri" w:cs="Calibri" w:eastAsia="Calibri" w:hAnsi="Calibri"/>
                <w:color w:val="1A1A1A"/>
                <w:sz w:val="18"/>
                <w:szCs w:val="18"/>
              </w:rPr>
              <w:t xml:space="preserve">DMCA</w:t>
            </w:r>
          </w:p>
        </w:tc>
        <w:tc>
          <w:tcPr>
            <w:shd w:fill="F5F5F5" w:color="auto" w:val="clear"/>
          </w:tcPr>
          <w:p>
            <w:r>
              <w:rPr>
                <w:rFonts w:ascii="Calibri" w:cs="Calibri" w:eastAsia="Calibri" w:hAnsi="Calibri"/>
                <w:color w:val="1A1A1A"/>
                <w:sz w:val="18"/>
                <w:szCs w:val="18"/>
              </w:rPr>
              <w:t xml:space="preserve">§512(f) misrepresentation liability disclosure</w:t>
            </w:r>
          </w:p>
        </w:tc>
        <w:tc>
          <w:tcPr>
            <w:shd w:fill="F5F5F5" w:color="auto" w:val="clear"/>
          </w:tcPr>
          <w:p>
            <w:r>
              <w:rPr>
                <w:rFonts w:ascii="Calibri" w:cs="Calibri" w:eastAsia="Calibri" w:hAnsi="Calibri"/>
                <w:color w:val="1A1A1A"/>
                <w:sz w:val="18"/>
                <w:szCs w:val="18"/>
              </w:rPr>
              <w:t xml:space="preserve">ip-legal:takedown</w:t>
            </w:r>
          </w:p>
        </w:tc>
      </w:tr>
      <w:tr>
        <w:tc>
          <w:tcPr>
            <w:shd w:fill="FFFFFF" w:color="auto" w:val="clear"/>
          </w:tcPr>
          <w:p>
            <w:r>
              <w:rPr>
                <w:rFonts w:ascii="Calibri" w:cs="Calibri" w:eastAsia="Calibri" w:hAnsi="Calibri"/>
                <w:color w:val="1A1A1A"/>
                <w:sz w:val="18"/>
                <w:szCs w:val="18"/>
              </w:rPr>
              <w:t xml:space="preserve">DMCA</w:t>
            </w:r>
          </w:p>
        </w:tc>
        <w:tc>
          <w:tcPr>
            <w:shd w:fill="FFFFFF" w:color="auto" w:val="clear"/>
          </w:tcPr>
          <w:p>
            <w:r>
              <w:rPr>
                <w:rFonts w:ascii="Calibri" w:cs="Calibri" w:eastAsia="Calibri" w:hAnsi="Calibri"/>
                <w:color w:val="1A1A1A"/>
                <w:sz w:val="18"/>
                <w:szCs w:val="18"/>
              </w:rPr>
              <w:t xml:space="preserve">§6851 elevated to primary; DMCA secondary/conditional</w:t>
            </w:r>
          </w:p>
        </w:tc>
        <w:tc>
          <w:tcPr>
            <w:shd w:fill="FFFFFF" w:color="auto" w:val="clear"/>
          </w:tcPr>
          <w:p>
            <w:r>
              <w:rPr>
                <w:rFonts w:ascii="Calibri" w:cs="Calibri" w:eastAsia="Calibri" w:hAnsi="Calibri"/>
                <w:color w:val="1A1A1A"/>
                <w:sz w:val="18"/>
                <w:szCs w:val="18"/>
              </w:rPr>
              <w:t xml:space="preserve">legal-risks + ip-legal:takedown</w:t>
            </w:r>
          </w:p>
        </w:tc>
      </w:tr>
      <w:tr>
        <w:tc>
          <w:tcPr>
            <w:shd w:fill="F5F5F5" w:color="auto" w:val="clear"/>
          </w:tcPr>
          <w:p>
            <w:r>
              <w:rPr>
                <w:rFonts w:ascii="Calibri" w:cs="Calibri" w:eastAsia="Calibri" w:hAnsi="Calibri"/>
                <w:color w:val="1A1A1A"/>
                <w:sz w:val="18"/>
                <w:szCs w:val="18"/>
              </w:rPr>
              <w:t xml:space="preserve">Hash advisory</w:t>
            </w:r>
          </w:p>
        </w:tc>
        <w:tc>
          <w:tcPr>
            <w:shd w:fill="F5F5F5" w:color="auto" w:val="clear"/>
          </w:tcPr>
          <w:p>
            <w:r>
              <w:rPr>
                <w:rFonts w:ascii="Calibri" w:cs="Calibri" w:eastAsia="Calibri" w:hAnsi="Calibri"/>
                <w:color w:val="1A1A1A"/>
                <w:sz w:val="18"/>
                <w:szCs w:val="18"/>
              </w:rPr>
              <w:t xml:space="preserve">I4C Sahyog Portal sharing obligation</w:t>
            </w:r>
          </w:p>
        </w:tc>
        <w:tc>
          <w:tcPr>
            <w:shd w:fill="F5F5F5" w:color="auto" w:val="clear"/>
          </w:tcPr>
          <w:p>
            <w:r>
              <w:rPr>
                <w:rFonts w:ascii="Calibri" w:cs="Calibri" w:eastAsia="Calibri" w:hAnsi="Calibri"/>
                <w:color w:val="1A1A1A"/>
                <w:sz w:val="18"/>
                <w:szCs w:val="18"/>
              </w:rPr>
              <w:t xml:space="preserve">MeitY SOP v.1</w:t>
            </w:r>
          </w:p>
        </w:tc>
      </w:tr>
      <w:tr>
        <w:tc>
          <w:tcPr>
            <w:shd w:fill="FFFFFF" w:color="auto" w:val="clear"/>
          </w:tcPr>
          <w:p>
            <w:r>
              <w:rPr>
                <w:rFonts w:ascii="Calibri" w:cs="Calibri" w:eastAsia="Calibri" w:hAnsi="Calibri"/>
                <w:color w:val="1A1A1A"/>
                <w:sz w:val="18"/>
                <w:szCs w:val="18"/>
              </w:rPr>
              <w:t xml:space="preserve">Hash advisory</w:t>
            </w:r>
          </w:p>
        </w:tc>
        <w:tc>
          <w:tcPr>
            <w:shd w:fill="FFFFFF" w:color="auto" w:val="clear"/>
          </w:tcPr>
          <w:p>
            <w:r>
              <w:rPr>
                <w:rFonts w:ascii="Calibri" w:cs="Calibri" w:eastAsia="Calibri" w:hAnsi="Calibri"/>
                <w:color w:val="1A1A1A"/>
                <w:sz w:val="18"/>
                <w:szCs w:val="18"/>
              </w:rPr>
              <w:t xml:space="preserve">Search engine de-indexing duty (24h)</w:t>
            </w:r>
          </w:p>
        </w:tc>
        <w:tc>
          <w:tcPr>
            <w:shd w:fill="FFFFFF" w:color="auto" w:val="clear"/>
          </w:tcPr>
          <w:p>
            <w:r>
              <w:rPr>
                <w:rFonts w:ascii="Calibri" w:cs="Calibri" w:eastAsia="Calibri" w:hAnsi="Calibri"/>
                <w:color w:val="1A1A1A"/>
                <w:sz w:val="18"/>
                <w:szCs w:val="18"/>
              </w:rPr>
              <w:t xml:space="preserve">MeitY SOP v.1</w:t>
            </w:r>
          </w:p>
        </w:tc>
      </w:tr>
      <w:tr>
        <w:tc>
          <w:tcPr>
            <w:shd w:fill="F5F5F5" w:color="auto" w:val="clear"/>
          </w:tcPr>
          <w:p>
            <w:r>
              <w:rPr>
                <w:rFonts w:ascii="Calibri" w:cs="Calibri" w:eastAsia="Calibri" w:hAnsi="Calibri"/>
                <w:color w:val="1A1A1A"/>
                <w:sz w:val="18"/>
                <w:szCs w:val="18"/>
              </w:rPr>
              <w:t xml:space="preserve">Hash advisory</w:t>
            </w:r>
          </w:p>
        </w:tc>
        <w:tc>
          <w:tcPr>
            <w:shd w:fill="F5F5F5" w:color="auto" w:val="clear"/>
          </w:tcPr>
          <w:p>
            <w:r>
              <w:rPr>
                <w:rFonts w:ascii="Calibri" w:cs="Calibri" w:eastAsia="Calibri" w:hAnsi="Calibri"/>
                <w:color w:val="1A1A1A"/>
                <w:sz w:val="18"/>
                <w:szCs w:val="18"/>
              </w:rPr>
              <w:t xml:space="preserve">Declaration explicitly covers hash annex</w:t>
            </w:r>
          </w:p>
        </w:tc>
        <w:tc>
          <w:tcPr>
            <w:shd w:fill="F5F5F5" w:color="auto" w:val="clear"/>
          </w:tcPr>
          <w:p>
            <w:r>
              <w:rPr>
                <w:rFonts w:ascii="Calibri" w:cs="Calibri" w:eastAsia="Calibri" w:hAnsi="Calibri"/>
                <w:color w:val="1A1A1A"/>
                <w:sz w:val="18"/>
                <w:szCs w:val="18"/>
              </w:rPr>
              <w:t xml:space="preserve">indian-legal-notice skill §2.4</w:t>
            </w:r>
          </w:p>
        </w:tc>
      </w:tr>
    </w:tbl>
    <w:p>
      <w:pPr>
        <w:spacing w:after="0" w:before="0"/>
      </w:pPr>
      <w:r>
        <w:t xml:space="preserve"/>
      </w:r>
    </w:p>
    <w:p>
      <w:pPr>
        <w:spacing w:after="0" w:before="0"/>
      </w:pPr>
      <w:r>
        <w:t xml:space="preserve"/>
      </w:r>
    </w:p>
    <w:p>
      <w:pPr>
        <w:pBdr>
          <w:bottom w:val="single" w:color="E0E0E0" w:sz="4"/>
        </w:pBdr>
        <w:spacing w:after="12" w:before="12"/>
      </w:pPr>
      <w:r>
        <w:t xml:space="preserve"/>
      </w:r>
    </w:p>
    <w:p>
      <w:r>
        <w:br w:type="page"/>
      </w:r>
    </w:p>
    <w:p>
      <w:pPr>
        <w:pStyle w:val="Heading1"/>
        <w:spacing w:after="12" w:before="36"/>
      </w:pPr>
      <w:r>
        <w:rPr>
          <w:rFonts w:ascii="Calibri" w:cs="Calibri" w:eastAsia="Calibri" w:hAnsi="Calibri"/>
          <w:b/>
          <w:bCs/>
          <w:color w:val="00695C"/>
          <w:sz w:val="32"/>
          <w:szCs w:val="32"/>
        </w:rPr>
        <w:t xml:space="preserve">LEGAL DISCLAIMER</w:t>
      </w:r>
    </w:p>
    <w:p>
      <w:pPr>
        <w:pBdr>
          <w:top w:val="single" w:color="C62828" w:sz="4"/>
          <w:bottom w:val="single" w:color="C62828" w:sz="4"/>
          <w:left w:val="single" w:color="C62828" w:sz="12"/>
          <w:right w:val="single" w:color="C62828" w:sz="4"/>
        </w:pBdr>
        <w:shd w:fill="FFEBEE" w:color="auto" w:val="clear"/>
        <w:spacing w:after="8" w:before="8"/>
      </w:pPr>
      <w:r>
        <w:rPr>
          <w:rFonts w:ascii="Calibri" w:cs="Calibri" w:eastAsia="Calibri" w:hAnsi="Calibri"/>
          <w:b/>
          <w:bCs/>
          <w:color w:val="C62828"/>
          <w:sz w:val="20"/>
          <w:szCs w:val="20"/>
        </w:rPr>
        <w:t xml:space="preserve">NOT LEGAL ADVICE — REVIEWED DRAFT ONLY</w:t>
      </w:r>
    </w:p>
    <w:p>
      <w:pPr>
        <w:spacing w:after="0" w:before="0"/>
      </w:pPr>
      <w:r>
        <w:t xml:space="preserve"/>
      </w:r>
    </w:p>
    <w:p>
      <w:pPr>
        <w:spacing w:after="6" w:before="6" w:line="276"/>
        <w:jc w:val="both"/>
      </w:pPr>
      <w:r>
        <w:rPr>
          <w:rFonts w:ascii="Calibri" w:cs="Calibri" w:eastAsia="Calibri" w:hAnsi="Calibri"/>
          <w:b/>
          <w:bCs/>
          <w:i w:val="false"/>
          <w:iCs w:val="false"/>
          <w:color w:val="1A1A1A"/>
          <w:sz w:val="22"/>
          <w:szCs w:val="22"/>
        </w:rPr>
        <w:t xml:space="preserve">This document contains AI-generated legal information and analysis based on Indian law. It does NOT constitute legal advice and must not be used as the basis for dispatching any live notice without review and sign-off by an advocate enrolled with a Bar Council.</w:t>
      </w:r>
    </w:p>
    <w:p>
      <w:pPr>
        <w:spacing w:after="0" w:before="0"/>
      </w:pPr>
      <w:r>
        <w:t xml:space="preserve"/>
      </w:r>
    </w:p>
    <w:p>
      <w:pPr>
        <w:spacing w:after="6" w:before="6" w:line="276"/>
        <w:jc w:val="both"/>
      </w:pPr>
      <w:r>
        <w:rPr>
          <w:rFonts w:ascii="Calibri" w:cs="Calibri" w:eastAsia="Calibri" w:hAnsi="Calibri"/>
          <w:b w:val="false"/>
          <w:bCs w:val="false"/>
          <w:i w:val="false"/>
          <w:iCs w:val="false"/>
          <w:color w:val="1A1A1A"/>
          <w:sz w:val="22"/>
          <w:szCs w:val="22"/>
        </w:rPr>
        <w:t xml:space="preserve">Recommended reviewers: Internet Freedom Foundation (IFF) or Software Freedom Law Centre India (SFLC.in).</w:t>
      </w:r>
    </w:p>
    <w:p>
      <w:pPr>
        <w:spacing w:after="0" w:before="0"/>
      </w:pPr>
      <w:r>
        <w:t xml:space="preserve"/>
      </w:r>
    </w:p>
    <w:p>
      <w:pPr>
        <w:spacing w:after="6" w:before="20"/>
      </w:pPr>
      <w:r>
        <w:rPr>
          <w:rFonts w:ascii="Calibri" w:cs="Calibri" w:eastAsia="Calibri" w:hAnsi="Calibri"/>
          <w:b/>
          <w:bCs/>
          <w:color w:val="1A1A1A"/>
          <w:sz w:val="24"/>
          <w:szCs w:val="24"/>
        </w:rPr>
        <w:t xml:space="preserve">Key Limitations</w:t>
      </w:r>
    </w:p>
    <w:p>
      <w:pPr>
        <w:pStyle w:val="ListParagraph"/>
        <w:numPr>
          <w:ilvl w:val="0"/>
          <w:numId w:val="1"/>
        </w:numPr>
        <w:spacing w:after="4" w:before="4"/>
        <w:ind w:left="360"/>
      </w:pPr>
      <w:r>
        <w:rPr>
          <w:rFonts w:ascii="Calibri" w:cs="Calibri" w:eastAsia="Calibri" w:hAnsi="Calibri"/>
          <w:color w:val="1A1A1A"/>
          <w:sz w:val="22"/>
          <w:szCs w:val="22"/>
        </w:rPr>
        <w:t xml:space="preserve">Statutory citations must be independently verified against India Code (indiacode.nic.in) and the Gazette</w:t>
      </w:r>
    </w:p>
    <w:p>
      <w:pPr>
        <w:pStyle w:val="ListParagraph"/>
        <w:numPr>
          <w:ilvl w:val="0"/>
          <w:numId w:val="1"/>
        </w:numPr>
        <w:spacing w:after="4" w:before="4"/>
        <w:ind w:left="360"/>
      </w:pPr>
      <w:r>
        <w:rPr>
          <w:rFonts w:ascii="Calibri" w:cs="Calibri" w:eastAsia="Calibri" w:hAnsi="Calibri"/>
          <w:color w:val="1A1A1A"/>
          <w:sz w:val="22"/>
          <w:szCs w:val="22"/>
        </w:rPr>
        <w:t xml:space="preserve">MeitY NCII SOP v.1 (October 2025) citations should be verified at meity.gov.in</w:t>
      </w:r>
    </w:p>
    <w:p>
      <w:pPr>
        <w:pStyle w:val="ListParagraph"/>
        <w:numPr>
          <w:ilvl w:val="0"/>
          <w:numId w:val="1"/>
        </w:numPr>
        <w:spacing w:after="4" w:before="4"/>
        <w:ind w:left="360"/>
      </w:pPr>
      <w:r>
        <w:rPr>
          <w:rFonts w:ascii="Calibri" w:cs="Calibri" w:eastAsia="Calibri" w:hAnsi="Calibri"/>
          <w:color w:val="1A1A1A"/>
          <w:sz w:val="22"/>
          <w:szCs w:val="22"/>
        </w:rPr>
        <w:t xml:space="preserve">IT (Intermediary Guidelines) Amendment Rules 2026 references are hedged — rule numbers must be confirmed against gazette text</w:t>
      </w:r>
    </w:p>
    <w:p>
      <w:pPr>
        <w:pStyle w:val="ListParagraph"/>
        <w:numPr>
          <w:ilvl w:val="0"/>
          <w:numId w:val="1"/>
        </w:numPr>
        <w:spacing w:after="4" w:before="4"/>
        <w:ind w:left="360"/>
      </w:pPr>
      <w:r>
        <w:rPr>
          <w:rFonts w:ascii="Calibri" w:cs="Calibri" w:eastAsia="Calibri" w:hAnsi="Calibri"/>
          <w:color w:val="1A1A1A"/>
          <w:sz w:val="22"/>
          <w:szCs w:val="22"/>
        </w:rPr>
        <w:t xml:space="preserve">Recent amendments or judicial developments may not be reflected</w:t>
      </w:r>
    </w:p>
    <w:p>
      <w:pPr>
        <w:pStyle w:val="ListParagraph"/>
        <w:numPr>
          <w:ilvl w:val="0"/>
          <w:numId w:val="1"/>
        </w:numPr>
        <w:spacing w:after="4" w:before="4"/>
        <w:ind w:left="360"/>
      </w:pPr>
      <w:r>
        <w:rPr>
          <w:rFonts w:ascii="Calibri" w:cs="Calibri" w:eastAsia="Calibri" w:hAnsi="Calibri"/>
          <w:color w:val="1A1A1A"/>
          <w:sz w:val="22"/>
          <w:szCs w:val="22"/>
        </w:rPr>
        <w:t xml:space="preserve">POCSO protocol applies separately for minor complainants — these templates must NEVER be used for a minor</w:t>
      </w:r>
    </w:p>
    <w:p>
      <w:pPr>
        <w:spacing w:after="0" w:before="0"/>
      </w:pPr>
      <w:r>
        <w:t xml:space="preserve"/>
      </w:r>
    </w:p>
    <w:p>
      <w:pPr>
        <w:spacing w:after="6" w:before="20"/>
      </w:pPr>
      <w:r>
        <w:rPr>
          <w:rFonts w:ascii="Calibri" w:cs="Calibri" w:eastAsia="Calibri" w:hAnsi="Calibri"/>
          <w:b/>
          <w:bCs/>
          <w:color w:val="1A1A1A"/>
          <w:sz w:val="24"/>
          <w:szCs w:val="24"/>
        </w:rPr>
        <w:t xml:space="preserve">Before Live Dispatch</w:t>
      </w:r>
    </w:p>
    <w:p>
      <w:pPr>
        <w:pStyle w:val="ListParagraph"/>
        <w:numPr>
          <w:ilvl w:val="0"/>
          <w:numId w:val="1"/>
        </w:numPr>
        <w:spacing w:after="4" w:before="4"/>
        <w:ind w:left="360"/>
      </w:pPr>
      <w:r>
        <w:rPr>
          <w:rFonts w:ascii="Calibri" w:cs="Calibri" w:eastAsia="Calibri" w:hAnsi="Calibri"/>
          <w:color w:val="1A1A1A"/>
          <w:sz w:val="22"/>
          <w:szCs w:val="22"/>
        </w:rPr>
        <w:t xml:space="preserve">Legal reviewer must set reviewedByLegal = true in the database for each approved template</w:t>
      </w:r>
    </w:p>
    <w:p>
      <w:pPr>
        <w:pStyle w:val="ListParagraph"/>
        <w:numPr>
          <w:ilvl w:val="0"/>
          <w:numId w:val="1"/>
        </w:numPr>
        <w:spacing w:after="4" w:before="4"/>
        <w:ind w:left="360"/>
      </w:pPr>
      <w:r>
        <w:rPr>
          <w:rFonts w:ascii="Calibri" w:cs="Calibri" w:eastAsia="Calibri" w:hAnsi="Calibri"/>
          <w:color w:val="1A1A1A"/>
          <w:sz w:val="22"/>
          <w:szCs w:val="22"/>
        </w:rPr>
        <w:t xml:space="preserve">All section numbers must be independently verified</w:t>
      </w:r>
    </w:p>
    <w:p>
      <w:pPr>
        <w:pStyle w:val="ListParagraph"/>
        <w:numPr>
          <w:ilvl w:val="0"/>
          <w:numId w:val="1"/>
        </w:numPr>
        <w:spacing w:after="4" w:before="4"/>
        <w:ind w:left="360"/>
      </w:pPr>
      <w:r>
        <w:rPr>
          <w:rFonts w:ascii="Calibri" w:cs="Calibri" w:eastAsia="Calibri" w:hAnsi="Calibri"/>
          <w:color w:val="1A1A1A"/>
          <w:sz w:val="22"/>
          <w:szCs w:val="22"/>
        </w:rPr>
        <w:t xml:space="preserve">POCSO protocol must be confirmed for any case that may involve a minor</w:t>
      </w:r>
    </w:p>
    <w:p>
      <w:pPr>
        <w:pStyle w:val="ListParagraph"/>
        <w:numPr>
          <w:ilvl w:val="0"/>
          <w:numId w:val="1"/>
        </w:numPr>
        <w:spacing w:after="4" w:before="4"/>
        <w:ind w:left="360"/>
      </w:pPr>
      <w:r>
        <w:rPr>
          <w:rFonts w:ascii="Calibri" w:cs="Calibri" w:eastAsia="Calibri" w:hAnsi="Calibri"/>
          <w:color w:val="1A1A1A"/>
          <w:sz w:val="22"/>
          <w:szCs w:val="22"/>
        </w:rPr>
        <w:t xml:space="preserve">These templates are for adult complainants only</w:t>
      </w:r>
    </w:p>
    <w:p>
      <w:pPr>
        <w:spacing w:after="0" w:before="0"/>
      </w:pPr>
      <w:r>
        <w:t xml:space="preserve"/>
      </w:r>
    </w:p>
    <w:p>
      <w:pPr>
        <w:spacing w:after="0" w:before="0"/>
      </w:pPr>
      <w:r>
        <w:t xml:space="preserve"/>
      </w:r>
    </w:p>
    <w:p>
      <w:pPr>
        <w:spacing w:after="6" w:before="6" w:line="276"/>
        <w:jc w:val="center"/>
      </w:pPr>
      <w:r>
        <w:rPr>
          <w:rFonts w:ascii="Calibri" w:cs="Calibri" w:eastAsia="Calibri" w:hAnsi="Calibri"/>
          <w:b w:val="false"/>
          <w:bCs w:val="false"/>
          <w:i/>
          <w:iCs/>
          <w:color w:val="616161"/>
          <w:sz w:val="22"/>
          <w:szCs w:val="22"/>
        </w:rPr>
        <w:t xml:space="preserve">Document version: 3.0   |   Generated: 15 June 2026   |   meriasmita.org</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spacing w:before="8"/>
      <w:jc w:val="center"/>
    </w:pPr>
    <w:r>
      <w:rPr>
        <w:rFonts w:ascii="Calibri" w:cs="Calibri" w:eastAsia="Calibri" w:hAnsi="Calibri"/>
        <w:color w:val="616161"/>
        <w:sz w:val="18"/>
        <w:szCs w:val="18"/>
      </w:rPr>
      <w:t xml:space="preserve">Page </w:t>
    </w:r>
    <w:r>
      <w:rPr>
        <w:rFonts w:ascii="Calibri" w:cs="Calibri" w:eastAsia="Calibri" w:hAnsi="Calibri"/>
        <w:color w:val="616161"/>
        <w:sz w:val="18"/>
        <w:szCs w:val="18"/>
      </w:rPr>
      <w:fldChar w:fldCharType="begin"/>
      <w:instrText xml:space="preserve">PAGE</w:instrText>
      <w:fldChar w:fldCharType="separate"/>
      <w:fldChar w:fldCharType="end"/>
    </w:r>
    <w:r>
      <w:rPr>
        <w:rFonts w:ascii="Calibri" w:cs="Calibri" w:eastAsia="Calibri" w:hAnsi="Calibri"/>
        <w:color w:val="616161"/>
        <w:sz w:val="18"/>
        <w:szCs w:val="18"/>
      </w:rPr>
      <w:t xml:space="preserve"> of </w:t>
    </w:r>
    <w:r>
      <w:rPr>
        <w:rFonts w:ascii="Calibri" w:cs="Calibri" w:eastAsia="Calibri" w:hAnsi="Calibri"/>
        <w:color w:val="616161"/>
        <w:sz w:val="18"/>
        <w:szCs w:val="18"/>
      </w:rPr>
      <w:fldChar w:fldCharType="begin"/>
      <w:instrText xml:space="preserve">NUMPAGES</w:instrText>
      <w:fldChar w:fldCharType="separate"/>
      <w:fldChar w:fldCharType="end"/>
    </w:r>
    <w:r>
      <w:rPr>
        <w:rFonts w:ascii="Calibri" w:cs="Calibri" w:eastAsia="Calibri" w:hAnsi="Calibri"/>
        <w:color w:val="616161"/>
        <w:sz w:val="18"/>
        <w:szCs w:val="18"/>
      </w:rPr>
      <w:t xml:space="preserve">   |   meriasmita.org   |   DRAFT — NOT FOR DISPATCH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95C" w:sz="4"/>
      </w:pBdr>
      <w:spacing w:after="8"/>
    </w:pPr>
    <w:r>
      <w:rPr>
        <w:rFonts w:ascii="Calibri" w:cs="Calibri" w:eastAsia="Calibri" w:hAnsi="Calibri"/>
        <w:b/>
        <w:bCs/>
        <w:color w:val="00695C"/>
        <w:sz w:val="18"/>
        <w:szCs w:val="18"/>
      </w:rPr>
      <w:t xml:space="preserve">ASMITA — LEGAL NOTICE TEMPLATES</w:t>
    </w:r>
    <w:r>
      <w:rPr>
        <w:rFonts w:ascii="Calibri" w:cs="Calibri" w:eastAsia="Calibri" w:hAnsi="Calibri"/>
        <w:color w:val="616161"/>
        <w:sz w:val="18"/>
        <w:szCs w:val="18"/>
      </w:rPr>
      <w:t xml:space="preserve">   |   CONFIDENTIAL — PENDING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2026-06-15T10:38:46.746Z</dcterms:created>
  <dcterms:modified xsi:type="dcterms:W3CDTF">2026-06-15T10:38:46.747Z</dcterms:modified>
</cp:coreProperties>
</file>

<file path=docProps/custom.xml><?xml version="1.0" encoding="utf-8"?>
<Properties xmlns="http://schemas.openxmlformats.org/officeDocument/2006/custom-properties" xmlns:vt="http://schemas.openxmlformats.org/officeDocument/2006/docPropsVTypes"/>
</file>