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SPDLL Strategic Implementation Plan</w:t>
      </w:r>
    </w:p>
    <w:p>
      <w:pPr>
        <w:spacing w:after="120"/>
        <w:jc w:val="center"/>
      </w:pPr>
      <w:r>
        <w:rPr>
          <w:color w:val="64748B"/>
          <w:sz w:val="24"/>
          <w:szCs w:val="24"/>
        </w:rPr>
        <w:t xml:space="preserve">Post-CSHTML Intelligence Integration Strategy</w:t>
      </w:r>
    </w:p>
    <w:p>
      <w:pPr>
        <w:spacing w:after="480"/>
        <w:jc w:val="center"/>
      </w:pPr>
      <w:r>
        <w:rPr>
          <w:color w:val="94A3B8"/>
          <w:sz w:val="20"/>
          <w:szCs w:val="20"/>
        </w:rPr>
        <w:t xml:space="preserve">Next.js 16 | React 19 | Prisma | SQLite Architecture</w:t>
      </w:r>
    </w:p>
    <w:p>
      <w:pPr>
        <w:pStyle w:val="Heading1"/>
      </w:pPr>
      <w:r>
        <w:t xml:space="preserve">1. Executive Summary</w:t>
      </w:r>
    </w:p>
    <w:p>
      <w:pPr>
        <w:spacing w:after="120"/>
      </w:pPr>
      <w:r>
        <w:t xml:space="preserve">This strategic document outlines the comprehensive implementation plan for handling Stored Procedures and Dynamic Link Libraries (SPDLL) within the AI Enterprise Architect platform. Following the successful completion of CSHTML Intelligence extraction capabilities, this plan addresses the integration of backend business logic analysis with frontend view intelligence, creating a unified migration pathway from legacy ASP.NET systems to modern Next.js architecture.</w:t>
      </w:r>
    </w:p>
    <w:p>
      <w:pPr>
        <w:spacing w:after="240"/>
      </w:pPr>
      <w:r>
        <w:t xml:space="preserve">The SPDLL handling strategy represents a critical bridge between database schema analysis and frontend migration, enabling complete understanding of legacy system behavior patterns, business rule extraction, and automated API generation. This document provides technical specifications, implementation phases, resource requirements, and success metrics for the SPDLL integration initiative.</w:t>
      </w:r>
    </w:p>
    <w:p>
      <w:pPr>
        <w:pStyle w:val="Heading1"/>
      </w:pPr>
      <w:r>
        <w:t xml:space="preserve">2. Current Technology Stack Verification</w:t>
      </w:r>
    </w:p>
    <w:p>
      <w:pPr>
        <w:spacing w:after="120"/>
      </w:pPr>
      <w:r>
        <w:t xml:space="preserve">Before proceeding with SPDLL implementation, a thorough verification of the existing technology stack was conducted. The following table confirms the current architecture and identifies components relevant to SPDLL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500"/>
        <w:gridCol w:w="3360"/>
      </w:tblGrid>
      <w:tr>
        <w:trPr>
          <w:tblHeader/>
        </w:trPr>
        <w:tc>
          <w:tcPr>
            <w:tcW w:type="dxa" w:w="25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Component</w:t>
            </w:r>
          </w:p>
        </w:tc>
        <w:tc>
          <w:tcPr>
            <w:tcW w:type="dxa" w:w="35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Current Version</w:t>
            </w:r>
          </w:p>
        </w:tc>
        <w:tc>
          <w:tcPr>
            <w:tcW w:type="dxa" w:w="336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SPDLL Relevance</w:t>
            </w:r>
          </w:p>
        </w:tc>
      </w:tr>
      <w:tr>
        <w:tc>
          <w:tcPr>
            <w:tcW w:type="dxa" w:w="2500"/>
            <w:tcBorders>
              <w:top w:val="single" w:color="020617" w:sz="12"/>
              <w:left w:val="single" w:color="020617" w:sz="12"/>
              <w:bottom w:val="single" w:color="020617" w:sz="12"/>
              <w:right w:val="single" w:color="020617" w:sz="12"/>
            </w:tcBorders>
          </w:tcPr>
          <w:p>
            <w:r>
              <w:t xml:space="preserve">Next.js</w:t>
            </w:r>
          </w:p>
        </w:tc>
        <w:tc>
          <w:tcPr>
            <w:tcW w:type="dxa" w:w="3500"/>
            <w:tcBorders>
              <w:top w:val="single" w:color="020617" w:sz="12"/>
              <w:left w:val="single" w:color="020617" w:sz="12"/>
              <w:bottom w:val="single" w:color="020617" w:sz="12"/>
              <w:right w:val="single" w:color="020617" w:sz="12"/>
            </w:tcBorders>
          </w:tcPr>
          <w:p>
            <w:r>
              <w:t xml:space="preserve">16.1.1 (App Router)</w:t>
            </w:r>
          </w:p>
        </w:tc>
        <w:tc>
          <w:tcPr>
            <w:tcW w:type="dxa" w:w="3360"/>
            <w:tcBorders>
              <w:top w:val="single" w:color="020617" w:sz="12"/>
              <w:left w:val="single" w:color="020617" w:sz="12"/>
              <w:bottom w:val="single" w:color="020617" w:sz="12"/>
              <w:right w:val="single" w:color="020617" w:sz="12"/>
            </w:tcBorders>
          </w:tcPr>
          <w:p>
            <w:r>
              <w:t xml:space="preserve">API Routes for SP execution</w:t>
            </w:r>
          </w:p>
        </w:tc>
      </w:tr>
      <w:tr>
        <w:tc>
          <w:tcPr>
            <w:tcW w:type="dxa" w:w="2500"/>
            <w:tcBorders>
              <w:top w:val="single" w:color="020617" w:sz="12"/>
              <w:left w:val="single" w:color="020617" w:sz="12"/>
              <w:bottom w:val="single" w:color="020617" w:sz="12"/>
              <w:right w:val="single" w:color="020617" w:sz="12"/>
            </w:tcBorders>
          </w:tcPr>
          <w:p>
            <w:r>
              <w:t xml:space="preserve">React</w:t>
            </w:r>
          </w:p>
        </w:tc>
        <w:tc>
          <w:tcPr>
            <w:tcW w:type="dxa" w:w="3500"/>
            <w:tcBorders>
              <w:top w:val="single" w:color="020617" w:sz="12"/>
              <w:left w:val="single" w:color="020617" w:sz="12"/>
              <w:bottom w:val="single" w:color="020617" w:sz="12"/>
              <w:right w:val="single" w:color="020617" w:sz="12"/>
            </w:tcBorders>
          </w:tcPr>
          <w:p>
            <w:r>
              <w:t xml:space="preserve">19.0.0</w:t>
            </w:r>
          </w:p>
        </w:tc>
        <w:tc>
          <w:tcPr>
            <w:tcW w:type="dxa" w:w="3360"/>
            <w:tcBorders>
              <w:top w:val="single" w:color="020617" w:sz="12"/>
              <w:left w:val="single" w:color="020617" w:sz="12"/>
              <w:bottom w:val="single" w:color="020617" w:sz="12"/>
              <w:right w:val="single" w:color="020617" w:sz="12"/>
            </w:tcBorders>
          </w:tcPr>
          <w:p>
            <w:r>
              <w:t xml:space="preserve">UI component rendering</w:t>
            </w:r>
          </w:p>
        </w:tc>
      </w:tr>
      <w:tr>
        <w:tc>
          <w:tcPr>
            <w:tcW w:type="dxa" w:w="2500"/>
            <w:tcBorders>
              <w:top w:val="single" w:color="020617" w:sz="12"/>
              <w:left w:val="single" w:color="020617" w:sz="12"/>
              <w:bottom w:val="single" w:color="020617" w:sz="12"/>
              <w:right w:val="single" w:color="020617" w:sz="12"/>
            </w:tcBorders>
          </w:tcPr>
          <w:p>
            <w:r>
              <w:t xml:space="preserve">Prisma ORM</w:t>
            </w:r>
          </w:p>
        </w:tc>
        <w:tc>
          <w:tcPr>
            <w:tcW w:type="dxa" w:w="3500"/>
            <w:tcBorders>
              <w:top w:val="single" w:color="020617" w:sz="12"/>
              <w:left w:val="single" w:color="020617" w:sz="12"/>
              <w:bottom w:val="single" w:color="020617" w:sz="12"/>
              <w:right w:val="single" w:color="020617" w:sz="12"/>
            </w:tcBorders>
          </w:tcPr>
          <w:p>
            <w:r>
              <w:t xml:space="preserve">6.11.1</w:t>
            </w:r>
          </w:p>
        </w:tc>
        <w:tc>
          <w:tcPr>
            <w:tcW w:type="dxa" w:w="3360"/>
            <w:tcBorders>
              <w:top w:val="single" w:color="020617" w:sz="12"/>
              <w:left w:val="single" w:color="020617" w:sz="12"/>
              <w:bottom w:val="single" w:color="020617" w:sz="12"/>
              <w:right w:val="single" w:color="020617" w:sz="12"/>
            </w:tcBorders>
          </w:tcPr>
          <w:p>
            <w:r>
              <w:t xml:space="preserve">Raw SQL for SP calls</w:t>
            </w:r>
          </w:p>
        </w:tc>
      </w:tr>
      <w:tr>
        <w:tc>
          <w:tcPr>
            <w:tcW w:type="dxa" w:w="2500"/>
            <w:tcBorders>
              <w:top w:val="single" w:color="020617" w:sz="12"/>
              <w:left w:val="single" w:color="020617" w:sz="12"/>
              <w:bottom w:val="single" w:color="020617" w:sz="12"/>
              <w:right w:val="single" w:color="020617" w:sz="12"/>
            </w:tcBorders>
          </w:tcPr>
          <w:p>
            <w:r>
              <w:t xml:space="preserve">SQLite</w:t>
            </w:r>
          </w:p>
        </w:tc>
        <w:tc>
          <w:tcPr>
            <w:tcW w:type="dxa" w:w="3500"/>
            <w:tcBorders>
              <w:top w:val="single" w:color="020617" w:sz="12"/>
              <w:left w:val="single" w:color="020617" w:sz="12"/>
              <w:bottom w:val="single" w:color="020617" w:sz="12"/>
              <w:right w:val="single" w:color="020617" w:sz="12"/>
            </w:tcBorders>
          </w:tcPr>
          <w:p>
            <w:r>
              <w:t xml:space="preserve">3.x (via Prisma)</w:t>
            </w:r>
          </w:p>
        </w:tc>
        <w:tc>
          <w:tcPr>
            <w:tcW w:type="dxa" w:w="3360"/>
            <w:tcBorders>
              <w:top w:val="single" w:color="020617" w:sz="12"/>
              <w:left w:val="single" w:color="020617" w:sz="12"/>
              <w:bottom w:val="single" w:color="020617" w:sz="12"/>
              <w:right w:val="single" w:color="020617" w:sz="12"/>
            </w:tcBorders>
          </w:tcPr>
          <w:p>
            <w:r>
              <w:t xml:space="preserve">Dev/Meta storage only</w:t>
            </w:r>
          </w:p>
        </w:tc>
      </w:tr>
      <w:tr>
        <w:tc>
          <w:tcPr>
            <w:tcW w:type="dxa" w:w="2500"/>
            <w:tcBorders>
              <w:top w:val="single" w:color="020617" w:sz="12"/>
              <w:left w:val="single" w:color="020617" w:sz="12"/>
              <w:bottom w:val="single" w:color="020617" w:sz="12"/>
              <w:right w:val="single" w:color="020617" w:sz="12"/>
            </w:tcBorders>
          </w:tcPr>
          <w:p>
            <w:r>
              <w:t xml:space="preserve">TypeScript</w:t>
            </w:r>
          </w:p>
        </w:tc>
        <w:tc>
          <w:tcPr>
            <w:tcW w:type="dxa" w:w="3500"/>
            <w:tcBorders>
              <w:top w:val="single" w:color="020617" w:sz="12"/>
              <w:left w:val="single" w:color="020617" w:sz="12"/>
              <w:bottom w:val="single" w:color="020617" w:sz="12"/>
              <w:right w:val="single" w:color="020617" w:sz="12"/>
            </w:tcBorders>
          </w:tcPr>
          <w:p>
            <w:r>
              <w:t xml:space="preserve">5.x</w:t>
            </w:r>
          </w:p>
        </w:tc>
        <w:tc>
          <w:tcPr>
            <w:tcW w:type="dxa" w:w="3360"/>
            <w:tcBorders>
              <w:top w:val="single" w:color="020617" w:sz="12"/>
              <w:left w:val="single" w:color="020617" w:sz="12"/>
              <w:bottom w:val="single" w:color="020617" w:sz="12"/>
              <w:right w:val="single" w:color="020617" w:sz="12"/>
            </w:tcBorders>
          </w:tcPr>
          <w:p>
            <w:r>
              <w:t xml:space="preserve">Type generation from SP</w:t>
            </w:r>
          </w:p>
        </w:tc>
      </w:tr>
      <w:tr>
        <w:tc>
          <w:tcPr>
            <w:tcW w:type="dxa" w:w="2500"/>
            <w:tcBorders>
              <w:top w:val="single" w:color="020617" w:sz="12"/>
              <w:left w:val="single" w:color="020617" w:sz="12"/>
              <w:bottom w:val="single" w:color="020617" w:sz="12"/>
              <w:right w:val="single" w:color="020617" w:sz="12"/>
            </w:tcBorders>
          </w:tcPr>
          <w:p>
            <w:r>
              <w:t xml:space="preserve">z-ai-web-dev-sdk</w:t>
            </w:r>
          </w:p>
        </w:tc>
        <w:tc>
          <w:tcPr>
            <w:tcW w:type="dxa" w:w="3500"/>
            <w:tcBorders>
              <w:top w:val="single" w:color="020617" w:sz="12"/>
              <w:left w:val="single" w:color="020617" w:sz="12"/>
              <w:bottom w:val="single" w:color="020617" w:sz="12"/>
              <w:right w:val="single" w:color="020617" w:sz="12"/>
            </w:tcBorders>
          </w:tcPr>
          <w:p>
            <w:r>
              <w:t xml:space="preserve">0.0.17</w:t>
            </w:r>
          </w:p>
        </w:tc>
        <w:tc>
          <w:tcPr>
            <w:tcW w:type="dxa" w:w="3360"/>
            <w:tcBorders>
              <w:top w:val="single" w:color="020617" w:sz="12"/>
              <w:left w:val="single" w:color="020617" w:sz="12"/>
              <w:bottom w:val="single" w:color="020617" w:sz="12"/>
              <w:right w:val="single" w:color="020617" w:sz="12"/>
            </w:tcBorders>
          </w:tcPr>
          <w:p>
            <w:r>
              <w:t xml:space="preserve">AI-powered SP analysis</w:t>
            </w:r>
          </w:p>
        </w:tc>
      </w:tr>
    </w:tbl>
    <w:p>
      <w:pPr>
        <w:spacing w:after="240" w:before="120"/>
        <w:jc w:val="center"/>
      </w:pPr>
      <w:r>
        <w:rPr>
          <w:i/>
          <w:iCs/>
          <w:color w:val="64748B"/>
          <w:sz w:val="18"/>
          <w:szCs w:val="18"/>
        </w:rPr>
        <w:t xml:space="preserve">Table 1: Technology Stack Verification</w:t>
      </w:r>
    </w:p>
    <w:p>
      <w:pPr>
        <w:spacing w:after="120"/>
      </w:pPr>
      <w:r>
        <w:rPr>
          <w:b/>
          <w:bCs/>
        </w:rPr>
        <w:t xml:space="preserve">Key Findings:</w:t>
      </w:r>
    </w:p>
    <w:p>
      <w:pPr>
        <w:pStyle w:val="ListParagraph"/>
        <w:numPr>
          <w:ilvl w:val="0"/>
          <w:numId w:val="2"/>
        </w:numPr>
      </w:pPr>
      <w:r>
        <w:t xml:space="preserve">Next.js 16.1.1 provides stable App Router for API route generation from SP definitions</w:t>
      </w:r>
    </w:p>
    <w:p>
      <w:pPr>
        <w:pStyle w:val="ListParagraph"/>
        <w:numPr>
          <w:ilvl w:val="0"/>
          <w:numId w:val="2"/>
        </w:numPr>
      </w:pPr>
      <w:r>
        <w:t xml:space="preserve">Prisma 6.11.1 supports $queryRaw and $executeRaw for stored procedure execution</w:t>
      </w:r>
    </w:p>
    <w:p>
      <w:pPr>
        <w:pStyle w:val="ListParagraph"/>
        <w:numPr>
          <w:ilvl w:val="0"/>
          <w:numId w:val="2"/>
        </w:numPr>
      </w:pPr>
      <w:r>
        <w:t xml:space="preserve">SQLite serves as development/meta storage; production will require SQL Server connection for SP access</w:t>
      </w:r>
    </w:p>
    <w:p>
      <w:pPr>
        <w:pStyle w:val="ListParagraph"/>
        <w:numPr>
          <w:ilvl w:val="0"/>
          <w:numId w:val="2"/>
        </w:numPr>
      </w:pPr>
      <w:r>
        <w:t xml:space="preserve">Existing SP parser (sp-parser.ts) provides foundation for intelligence extraction</w:t>
      </w:r>
    </w:p>
    <w:p>
      <w:pPr>
        <w:pStyle w:val="ListParagraph"/>
        <w:numPr>
          <w:ilvl w:val="0"/>
          <w:numId w:val="2"/>
        </w:numPr>
        <w:spacing w:after="240"/>
      </w:pPr>
      <w:r>
        <w:t xml:space="preserve">CSHTML parser integration creates unified frontend-backend intelligence pipeline</w:t>
      </w:r>
    </w:p>
    <w:p>
      <w:pPr>
        <w:pStyle w:val="Heading1"/>
      </w:pPr>
      <w:r>
        <w:t xml:space="preserve">3. SPDLL Definition and Scope</w:t>
      </w:r>
    </w:p>
    <w:p>
      <w:pPr>
        <w:pStyle w:val="Heading2"/>
      </w:pPr>
      <w:r>
        <w:t xml:space="preserve">3.1 Stored Procedures (SP)</w:t>
      </w:r>
    </w:p>
    <w:p>
      <w:pPr>
        <w:spacing w:after="120"/>
      </w:pPr>
      <w:r>
        <w:t xml:space="preserve">Stored Procedures in the legacy system represent the core business logic layer. These SQL Server procedures encapsulate data operations ranging from simple CRUD operations to complex multi-table transactions with business rule enforcement. The existing SP parser infrastructure identifies the following action types through naming convention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800"/>
        <w:gridCol w:w="4560"/>
      </w:tblGrid>
      <w:tr>
        <w:trPr>
          <w:tblHeader/>
        </w:trPr>
        <w:tc>
          <w:tcPr>
            <w:tcW w:type="dxa" w:w="20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Pattern</w:t>
            </w:r>
          </w:p>
        </w:tc>
        <w:tc>
          <w:tcPr>
            <w:tcW w:type="dxa" w:w="28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Action Type</w:t>
            </w:r>
          </w:p>
        </w:tc>
        <w:tc>
          <w:tcPr>
            <w:tcW w:type="dxa" w:w="456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Migration Target</w:t>
            </w:r>
          </w:p>
        </w:tc>
      </w:tr>
      <w:tr>
        <w:tc>
          <w:tcPr>
            <w:tcW w:type="dxa" w:w="2000"/>
            <w:tcBorders>
              <w:top w:val="single" w:color="020617" w:sz="12"/>
              <w:left w:val="single" w:color="020617" w:sz="12"/>
              <w:bottom w:val="single" w:color="020617" w:sz="12"/>
              <w:right w:val="single" w:color="020617" w:sz="12"/>
            </w:tcBorders>
          </w:tcPr>
          <w:p>
            <w:r>
              <w:t xml:space="preserve">SP_DDL_*</w:t>
            </w:r>
          </w:p>
        </w:tc>
        <w:tc>
          <w:tcPr>
            <w:tcW w:type="dxa" w:w="2800"/>
            <w:tcBorders>
              <w:top w:val="single" w:color="020617" w:sz="12"/>
              <w:left w:val="single" w:color="020617" w:sz="12"/>
              <w:bottom w:val="single" w:color="020617" w:sz="12"/>
              <w:right w:val="single" w:color="020617" w:sz="12"/>
            </w:tcBorders>
          </w:tcPr>
          <w:p>
            <w:r>
              <w:t xml:space="preserve">Dropdown/List</w:t>
            </w:r>
          </w:p>
        </w:tc>
        <w:tc>
          <w:tcPr>
            <w:tcW w:type="dxa" w:w="4560"/>
            <w:tcBorders>
              <w:top w:val="single" w:color="020617" w:sz="12"/>
              <w:left w:val="single" w:color="020617" w:sz="12"/>
              <w:bottom w:val="single" w:color="020617" w:sz="12"/>
              <w:right w:val="single" w:color="020617" w:sz="12"/>
            </w:tcBorders>
          </w:tcPr>
          <w:p>
            <w:r>
              <w:t xml:space="preserve">GET /api/{entity}/dropdown</w:t>
            </w:r>
          </w:p>
        </w:tc>
      </w:tr>
      <w:tr>
        <w:tc>
          <w:tcPr>
            <w:tcW w:type="dxa" w:w="2000"/>
            <w:tcBorders>
              <w:top w:val="single" w:color="020617" w:sz="12"/>
              <w:left w:val="single" w:color="020617" w:sz="12"/>
              <w:bottom w:val="single" w:color="020617" w:sz="12"/>
              <w:right w:val="single" w:color="020617" w:sz="12"/>
            </w:tcBorders>
          </w:tcPr>
          <w:p>
            <w:r>
              <w:t xml:space="preserve">SP_Get*</w:t>
            </w:r>
          </w:p>
        </w:tc>
        <w:tc>
          <w:tcPr>
            <w:tcW w:type="dxa" w:w="2800"/>
            <w:tcBorders>
              <w:top w:val="single" w:color="020617" w:sz="12"/>
              <w:left w:val="single" w:color="020617" w:sz="12"/>
              <w:bottom w:val="single" w:color="020617" w:sz="12"/>
              <w:right w:val="single" w:color="020617" w:sz="12"/>
            </w:tcBorders>
          </w:tcPr>
          <w:p>
            <w:r>
              <w:t xml:space="preserve">Read/Fetch</w:t>
            </w:r>
          </w:p>
        </w:tc>
        <w:tc>
          <w:tcPr>
            <w:tcW w:type="dxa" w:w="4560"/>
            <w:tcBorders>
              <w:top w:val="single" w:color="020617" w:sz="12"/>
              <w:left w:val="single" w:color="020617" w:sz="12"/>
              <w:bottom w:val="single" w:color="020617" w:sz="12"/>
              <w:right w:val="single" w:color="020617" w:sz="12"/>
            </w:tcBorders>
          </w:tcPr>
          <w:p>
            <w:r>
              <w:t xml:space="preserve">GET /api/{entity}/:id</w:t>
            </w:r>
          </w:p>
        </w:tc>
      </w:tr>
      <w:tr>
        <w:tc>
          <w:tcPr>
            <w:tcW w:type="dxa" w:w="2000"/>
            <w:tcBorders>
              <w:top w:val="single" w:color="020617" w:sz="12"/>
              <w:left w:val="single" w:color="020617" w:sz="12"/>
              <w:bottom w:val="single" w:color="020617" w:sz="12"/>
              <w:right w:val="single" w:color="020617" w:sz="12"/>
            </w:tcBorders>
          </w:tcPr>
          <w:p>
            <w:r>
              <w:t xml:space="preserve">SP_Add*</w:t>
            </w:r>
          </w:p>
        </w:tc>
        <w:tc>
          <w:tcPr>
            <w:tcW w:type="dxa" w:w="2800"/>
            <w:tcBorders>
              <w:top w:val="single" w:color="020617" w:sz="12"/>
              <w:left w:val="single" w:color="020617" w:sz="12"/>
              <w:bottom w:val="single" w:color="020617" w:sz="12"/>
              <w:right w:val="single" w:color="020617" w:sz="12"/>
            </w:tcBorders>
          </w:tcPr>
          <w:p>
            <w:r>
              <w:t xml:space="preserve">Create/Insert</w:t>
            </w:r>
          </w:p>
        </w:tc>
        <w:tc>
          <w:tcPr>
            <w:tcW w:type="dxa" w:w="4560"/>
            <w:tcBorders>
              <w:top w:val="single" w:color="020617" w:sz="12"/>
              <w:left w:val="single" w:color="020617" w:sz="12"/>
              <w:bottom w:val="single" w:color="020617" w:sz="12"/>
              <w:right w:val="single" w:color="020617" w:sz="12"/>
            </w:tcBorders>
          </w:tcPr>
          <w:p>
            <w:r>
              <w:t xml:space="preserve">POST /api/{entity}</w:t>
            </w:r>
          </w:p>
        </w:tc>
      </w:tr>
      <w:tr>
        <w:tc>
          <w:tcPr>
            <w:tcW w:type="dxa" w:w="2000"/>
            <w:tcBorders>
              <w:top w:val="single" w:color="020617" w:sz="12"/>
              <w:left w:val="single" w:color="020617" w:sz="12"/>
              <w:bottom w:val="single" w:color="020617" w:sz="12"/>
              <w:right w:val="single" w:color="020617" w:sz="12"/>
            </w:tcBorders>
          </w:tcPr>
          <w:p>
            <w:r>
              <w:t xml:space="preserve">SP_Update*</w:t>
            </w:r>
          </w:p>
        </w:tc>
        <w:tc>
          <w:tcPr>
            <w:tcW w:type="dxa" w:w="2800"/>
            <w:tcBorders>
              <w:top w:val="single" w:color="020617" w:sz="12"/>
              <w:left w:val="single" w:color="020617" w:sz="12"/>
              <w:bottom w:val="single" w:color="020617" w:sz="12"/>
              <w:right w:val="single" w:color="020617" w:sz="12"/>
            </w:tcBorders>
          </w:tcPr>
          <w:p>
            <w:r>
              <w:t xml:space="preserve">Update/Edit</w:t>
            </w:r>
          </w:p>
        </w:tc>
        <w:tc>
          <w:tcPr>
            <w:tcW w:type="dxa" w:w="4560"/>
            <w:tcBorders>
              <w:top w:val="single" w:color="020617" w:sz="12"/>
              <w:left w:val="single" w:color="020617" w:sz="12"/>
              <w:bottom w:val="single" w:color="020617" w:sz="12"/>
              <w:right w:val="single" w:color="020617" w:sz="12"/>
            </w:tcBorders>
          </w:tcPr>
          <w:p>
            <w:r>
              <w:t xml:space="preserve">PUT /api/{entity}/:id</w:t>
            </w:r>
          </w:p>
        </w:tc>
      </w:tr>
      <w:tr>
        <w:tc>
          <w:tcPr>
            <w:tcW w:type="dxa" w:w="2000"/>
            <w:tcBorders>
              <w:top w:val="single" w:color="020617" w:sz="12"/>
              <w:left w:val="single" w:color="020617" w:sz="12"/>
              <w:bottom w:val="single" w:color="020617" w:sz="12"/>
              <w:right w:val="single" w:color="020617" w:sz="12"/>
            </w:tcBorders>
          </w:tcPr>
          <w:p>
            <w:r>
              <w:t xml:space="preserve">SP_Delete*</w:t>
            </w:r>
          </w:p>
        </w:tc>
        <w:tc>
          <w:tcPr>
            <w:tcW w:type="dxa" w:w="2800"/>
            <w:tcBorders>
              <w:top w:val="single" w:color="020617" w:sz="12"/>
              <w:left w:val="single" w:color="020617" w:sz="12"/>
              <w:bottom w:val="single" w:color="020617" w:sz="12"/>
              <w:right w:val="single" w:color="020617" w:sz="12"/>
            </w:tcBorders>
          </w:tcPr>
          <w:p>
            <w:r>
              <w:t xml:space="preserve">Delete/Remove</w:t>
            </w:r>
          </w:p>
        </w:tc>
        <w:tc>
          <w:tcPr>
            <w:tcW w:type="dxa" w:w="4560"/>
            <w:tcBorders>
              <w:top w:val="single" w:color="020617" w:sz="12"/>
              <w:left w:val="single" w:color="020617" w:sz="12"/>
              <w:bottom w:val="single" w:color="020617" w:sz="12"/>
              <w:right w:val="single" w:color="020617" w:sz="12"/>
            </w:tcBorders>
          </w:tcPr>
          <w:p>
            <w:r>
              <w:t xml:space="preserve">DELETE /api/{entity}/:id</w:t>
            </w:r>
          </w:p>
        </w:tc>
      </w:tr>
      <w:tr>
        <w:tc>
          <w:tcPr>
            <w:tcW w:type="dxa" w:w="2000"/>
            <w:tcBorders>
              <w:top w:val="single" w:color="020617" w:sz="12"/>
              <w:left w:val="single" w:color="020617" w:sz="12"/>
              <w:bottom w:val="single" w:color="020617" w:sz="12"/>
              <w:right w:val="single" w:color="020617" w:sz="12"/>
            </w:tcBorders>
          </w:tcPr>
          <w:p>
            <w:r>
              <w:t xml:space="preserve">SP_Search*</w:t>
            </w:r>
          </w:p>
        </w:tc>
        <w:tc>
          <w:tcPr>
            <w:tcW w:type="dxa" w:w="2800"/>
            <w:tcBorders>
              <w:top w:val="single" w:color="020617" w:sz="12"/>
              <w:left w:val="single" w:color="020617" w:sz="12"/>
              <w:bottom w:val="single" w:color="020617" w:sz="12"/>
              <w:right w:val="single" w:color="020617" w:sz="12"/>
            </w:tcBorders>
          </w:tcPr>
          <w:p>
            <w:r>
              <w:t xml:space="preserve">Search/Query</w:t>
            </w:r>
          </w:p>
        </w:tc>
        <w:tc>
          <w:tcPr>
            <w:tcW w:type="dxa" w:w="4560"/>
            <w:tcBorders>
              <w:top w:val="single" w:color="020617" w:sz="12"/>
              <w:left w:val="single" w:color="020617" w:sz="12"/>
              <w:bottom w:val="single" w:color="020617" w:sz="12"/>
              <w:right w:val="single" w:color="020617" w:sz="12"/>
            </w:tcBorders>
          </w:tcPr>
          <w:p>
            <w:r>
              <w:t xml:space="preserve">GET /api/{entity}/search</w:t>
            </w:r>
          </w:p>
        </w:tc>
      </w:tr>
      <w:tr>
        <w:tc>
          <w:tcPr>
            <w:tcW w:type="dxa" w:w="2000"/>
            <w:tcBorders>
              <w:top w:val="single" w:color="020617" w:sz="12"/>
              <w:left w:val="single" w:color="020617" w:sz="12"/>
              <w:bottom w:val="single" w:color="020617" w:sz="12"/>
              <w:right w:val="single" w:color="020617" w:sz="12"/>
            </w:tcBorders>
          </w:tcPr>
          <w:p>
            <w:r>
              <w:t xml:space="preserve">SP_Validate*</w:t>
            </w:r>
          </w:p>
        </w:tc>
        <w:tc>
          <w:tcPr>
            <w:tcW w:type="dxa" w:w="2800"/>
            <w:tcBorders>
              <w:top w:val="single" w:color="020617" w:sz="12"/>
              <w:left w:val="single" w:color="020617" w:sz="12"/>
              <w:bottom w:val="single" w:color="020617" w:sz="12"/>
              <w:right w:val="single" w:color="020617" w:sz="12"/>
            </w:tcBorders>
          </w:tcPr>
          <w:p>
            <w:r>
              <w:t xml:space="preserve">Business Validation</w:t>
            </w:r>
          </w:p>
        </w:tc>
        <w:tc>
          <w:tcPr>
            <w:tcW w:type="dxa" w:w="4560"/>
            <w:tcBorders>
              <w:top w:val="single" w:color="020617" w:sz="12"/>
              <w:left w:val="single" w:color="020617" w:sz="12"/>
              <w:bottom w:val="single" w:color="020617" w:sz="12"/>
              <w:right w:val="single" w:color="020617" w:sz="12"/>
            </w:tcBorders>
          </w:tcPr>
          <w:p>
            <w:r>
              <w:t xml:space="preserve">POST /api/{entity}/validate</w:t>
            </w:r>
          </w:p>
        </w:tc>
      </w:tr>
    </w:tbl>
    <w:p>
      <w:pPr>
        <w:spacing w:after="240" w:before="120"/>
        <w:jc w:val="center"/>
      </w:pPr>
      <w:r>
        <w:rPr>
          <w:i/>
          <w:iCs/>
          <w:color w:val="64748B"/>
          <w:sz w:val="18"/>
          <w:szCs w:val="18"/>
        </w:rPr>
        <w:t xml:space="preserve">Table 2: SP Naming Patterns and Migration Targets</w:t>
      </w:r>
    </w:p>
    <w:p>
      <w:pPr>
        <w:pStyle w:val="Heading2"/>
      </w:pPr>
      <w:r>
        <w:t xml:space="preserve">3.2 DLL (Dynamic Link Library)</w:t>
      </w:r>
    </w:p>
    <w:p>
      <w:pPr>
        <w:spacing w:after="120"/>
      </w:pPr>
      <w:r>
        <w:t xml:space="preserve">In the ASP.NET MVC architecture, DLLs contain compiled C# code including Controllers, Models, Services, and Business Logic components. The reverse engineering process for DLLs involves decompilation and analysis to extract:</w:t>
      </w:r>
    </w:p>
    <w:p>
      <w:pPr>
        <w:pStyle w:val="ListParagraph"/>
        <w:numPr>
          <w:ilvl w:val="0"/>
          <w:numId w:val="2"/>
        </w:numPr>
      </w:pPr>
      <w:r>
        <w:rPr>
          <w:b/>
          <w:bCs/>
        </w:rPr>
        <w:t xml:space="preserve">Controller Actions: </w:t>
      </w:r>
      <w:r>
        <w:t xml:space="preserve">API endpoint definitions and routing patterns</w:t>
      </w:r>
    </w:p>
    <w:p>
      <w:pPr>
        <w:pStyle w:val="ListParagraph"/>
        <w:numPr>
          <w:ilvl w:val="0"/>
          <w:numId w:val="2"/>
        </w:numPr>
      </w:pPr>
      <w:r>
        <w:rPr>
          <w:b/>
          <w:bCs/>
        </w:rPr>
        <w:t xml:space="preserve">Model Classes: </w:t>
      </w:r>
      <w:r>
        <w:t xml:space="preserve">Data structures matching database entities</w:t>
      </w:r>
    </w:p>
    <w:p>
      <w:pPr>
        <w:pStyle w:val="ListParagraph"/>
        <w:numPr>
          <w:ilvl w:val="0"/>
          <w:numId w:val="2"/>
        </w:numPr>
      </w:pPr>
      <w:r>
        <w:rPr>
          <w:b/>
          <w:bCs/>
        </w:rPr>
        <w:t xml:space="preserve">Service Layer: </w:t>
      </w:r>
      <w:r>
        <w:t xml:space="preserve">Business logic and validation rules</w:t>
      </w:r>
    </w:p>
    <w:p>
      <w:pPr>
        <w:pStyle w:val="ListParagraph"/>
        <w:numPr>
          <w:ilvl w:val="0"/>
          <w:numId w:val="2"/>
        </w:numPr>
      </w:pPr>
      <w:r>
        <w:rPr>
          <w:b/>
          <w:bCs/>
        </w:rPr>
        <w:t xml:space="preserve">Data Access: </w:t>
      </w:r>
      <w:r>
        <w:t xml:space="preserve">Entity Framework contexts and queries</w:t>
      </w:r>
    </w:p>
    <w:p>
      <w:pPr>
        <w:pStyle w:val="ListParagraph"/>
        <w:numPr>
          <w:ilvl w:val="0"/>
          <w:numId w:val="2"/>
        </w:numPr>
        <w:spacing w:after="240"/>
      </w:pPr>
      <w:r>
        <w:rPr>
          <w:b/>
          <w:bCs/>
        </w:rPr>
        <w:t xml:space="preserve">Attributes/Metadata: </w:t>
      </w:r>
      <w:r>
        <w:t xml:space="preserve">Authorization, validation, and display attributes</w:t>
      </w:r>
    </w:p>
    <w:p>
      <w:pPr>
        <w:pStyle w:val="Heading1"/>
      </w:pPr>
      <w:r>
        <w:t xml:space="preserve">4. CSHTML Intelligence Integration</w:t>
      </w:r>
    </w:p>
    <w:p>
      <w:pPr>
        <w:spacing w:after="120"/>
      </w:pPr>
      <w:r>
        <w:t xml:space="preserve">The recently completed CSHTML Intelligence extraction provides the frontend view layer understanding. Integrating SPDLL analysis with CSHTML intelligence creates a complete picture of the legacy system, enabling comprehensive migration planning. The integration strategy focuses on bridging the gap between frontend views and backend data operations.</w:t>
      </w:r>
    </w:p>
    <w:p>
      <w:pPr>
        <w:pStyle w:val="Heading2"/>
      </w:pPr>
      <w:r>
        <w:t xml:space="preserve">4.1 Intelligence Correlation Matrix</w:t>
      </w:r>
    </w:p>
    <w:p>
      <w:pPr>
        <w:spacing w:after="120"/>
      </w:pPr>
      <w:r>
        <w:t xml:space="preserve">The following matrix illustrates how CSHTML-extracted intelligence correlates with SPDLL analysis to produce comprehensive migration artifacts: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500"/>
        <w:gridCol w:w="2500"/>
        <w:gridCol w:w="1860"/>
      </w:tblGrid>
      <w:tr>
        <w:trPr>
          <w:tblHeader/>
        </w:trPr>
        <w:tc>
          <w:tcPr>
            <w:tcW w:type="dxa" w:w="25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CSHTML Source</w:t>
            </w:r>
          </w:p>
        </w:tc>
        <w:tc>
          <w:tcPr>
            <w:tcW w:type="dxa" w:w="25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SP/DLL Source</w:t>
            </w:r>
          </w:p>
        </w:tc>
        <w:tc>
          <w:tcPr>
            <w:tcW w:type="dxa" w:w="25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Correlation Result</w:t>
            </w:r>
          </w:p>
        </w:tc>
        <w:tc>
          <w:tcPr>
            <w:tcW w:type="dxa" w:w="186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Confidence</w:t>
            </w:r>
          </w:p>
        </w:tc>
      </w:tr>
      <w:tr>
        <w:tc>
          <w:tcPr>
            <w:tcW w:type="dxa" w:w="2500"/>
            <w:tcBorders>
              <w:top w:val="single" w:color="020617" w:sz="12"/>
              <w:left w:val="single" w:color="020617" w:sz="12"/>
              <w:bottom w:val="single" w:color="020617" w:sz="12"/>
              <w:right w:val="single" w:color="020617" w:sz="12"/>
            </w:tcBorders>
          </w:tcPr>
          <w:p>
            <w:r>
              <w:t xml:space="preserve">Form fields (asp-for)</w:t>
            </w:r>
          </w:p>
        </w:tc>
        <w:tc>
          <w:tcPr>
            <w:tcW w:type="dxa" w:w="2500"/>
            <w:tcBorders>
              <w:top w:val="single" w:color="020617" w:sz="12"/>
              <w:left w:val="single" w:color="020617" w:sz="12"/>
              <w:bottom w:val="single" w:color="020617" w:sz="12"/>
              <w:right w:val="single" w:color="020617" w:sz="12"/>
            </w:tcBorders>
          </w:tcPr>
          <w:p>
            <w:r>
              <w:t xml:space="preserve">SP parameters</w:t>
            </w:r>
          </w:p>
        </w:tc>
        <w:tc>
          <w:tcPr>
            <w:tcW w:type="dxa" w:w="2500"/>
            <w:tcBorders>
              <w:top w:val="single" w:color="020617" w:sz="12"/>
              <w:left w:val="single" w:color="020617" w:sz="12"/>
              <w:bottom w:val="single" w:color="020617" w:sz="12"/>
              <w:right w:val="single" w:color="020617" w:sz="12"/>
            </w:tcBorders>
          </w:tcPr>
          <w:p>
            <w:r>
              <w:t xml:space="preserve">API input schema</w:t>
            </w:r>
          </w:p>
        </w:tc>
        <w:tc>
          <w:tcPr>
            <w:tcW w:type="dxa" w:w="1860"/>
            <w:tcBorders>
              <w:top w:val="single" w:color="020617" w:sz="12"/>
              <w:left w:val="single" w:color="020617" w:sz="12"/>
              <w:bottom w:val="single" w:color="020617" w:sz="12"/>
              <w:right w:val="single" w:color="020617" w:sz="12"/>
            </w:tcBorders>
          </w:tcPr>
          <w:p>
            <w:pPr>
              <w:jc w:val="center"/>
            </w:pPr>
            <w:r>
              <w:t xml:space="preserve">95%</w:t>
            </w:r>
          </w:p>
        </w:tc>
      </w:tr>
      <w:tr>
        <w:tc>
          <w:tcPr>
            <w:tcW w:type="dxa" w:w="2500"/>
            <w:tcBorders>
              <w:top w:val="single" w:color="020617" w:sz="12"/>
              <w:left w:val="single" w:color="020617" w:sz="12"/>
              <w:bottom w:val="single" w:color="020617" w:sz="12"/>
              <w:right w:val="single" w:color="020617" w:sz="12"/>
            </w:tcBorders>
          </w:tcPr>
          <w:p>
            <w:r>
              <w:t xml:space="preserve">Validation rules</w:t>
            </w:r>
          </w:p>
        </w:tc>
        <w:tc>
          <w:tcPr>
            <w:tcW w:type="dxa" w:w="2500"/>
            <w:tcBorders>
              <w:top w:val="single" w:color="020617" w:sz="12"/>
              <w:left w:val="single" w:color="020617" w:sz="12"/>
              <w:bottom w:val="single" w:color="020617" w:sz="12"/>
              <w:right w:val="single" w:color="020617" w:sz="12"/>
            </w:tcBorders>
          </w:tcPr>
          <w:p>
            <w:r>
              <w:t xml:space="preserve">SP body conditions</w:t>
            </w:r>
          </w:p>
        </w:tc>
        <w:tc>
          <w:tcPr>
            <w:tcW w:type="dxa" w:w="2500"/>
            <w:tcBorders>
              <w:top w:val="single" w:color="020617" w:sz="12"/>
              <w:left w:val="single" w:color="020617" w:sz="12"/>
              <w:bottom w:val="single" w:color="020617" w:sz="12"/>
              <w:right w:val="single" w:color="020617" w:sz="12"/>
            </w:tcBorders>
          </w:tcPr>
          <w:p>
            <w:r>
              <w:t xml:space="preserve">Business rules</w:t>
            </w:r>
          </w:p>
        </w:tc>
        <w:tc>
          <w:tcPr>
            <w:tcW w:type="dxa" w:w="1860"/>
            <w:tcBorders>
              <w:top w:val="single" w:color="020617" w:sz="12"/>
              <w:left w:val="single" w:color="020617" w:sz="12"/>
              <w:bottom w:val="single" w:color="020617" w:sz="12"/>
              <w:right w:val="single" w:color="020617" w:sz="12"/>
            </w:tcBorders>
          </w:tcPr>
          <w:p>
            <w:pPr>
              <w:jc w:val="center"/>
            </w:pPr>
            <w:r>
              <w:t xml:space="preserve">85%</w:t>
            </w:r>
          </w:p>
        </w:tc>
      </w:tr>
      <w:tr>
        <w:tc>
          <w:tcPr>
            <w:tcW w:type="dxa" w:w="2500"/>
            <w:tcBorders>
              <w:top w:val="single" w:color="020617" w:sz="12"/>
              <w:left w:val="single" w:color="020617" w:sz="12"/>
              <w:bottom w:val="single" w:color="020617" w:sz="12"/>
              <w:right w:val="single" w:color="020617" w:sz="12"/>
            </w:tcBorders>
          </w:tcPr>
          <w:p>
            <w:r>
              <w:t xml:space="preserve">Dropdown sources</w:t>
            </w:r>
          </w:p>
        </w:tc>
        <w:tc>
          <w:tcPr>
            <w:tcW w:type="dxa" w:w="2500"/>
            <w:tcBorders>
              <w:top w:val="single" w:color="020617" w:sz="12"/>
              <w:left w:val="single" w:color="020617" w:sz="12"/>
              <w:bottom w:val="single" w:color="020617" w:sz="12"/>
              <w:right w:val="single" w:color="020617" w:sz="12"/>
            </w:tcBorders>
          </w:tcPr>
          <w:p>
            <w:r>
              <w:t xml:space="preserve">SP_DDL_* procedures</w:t>
            </w:r>
          </w:p>
        </w:tc>
        <w:tc>
          <w:tcPr>
            <w:tcW w:type="dxa" w:w="2500"/>
            <w:tcBorders>
              <w:top w:val="single" w:color="020617" w:sz="12"/>
              <w:left w:val="single" w:color="020617" w:sz="12"/>
              <w:bottom w:val="single" w:color="020617" w:sz="12"/>
              <w:right w:val="single" w:color="020617" w:sz="12"/>
            </w:tcBorders>
          </w:tcPr>
          <w:p>
            <w:r>
              <w:t xml:space="preserve">Lookup endpoints</w:t>
            </w:r>
          </w:p>
        </w:tc>
        <w:tc>
          <w:tcPr>
            <w:tcW w:type="dxa" w:w="1860"/>
            <w:tcBorders>
              <w:top w:val="single" w:color="020617" w:sz="12"/>
              <w:left w:val="single" w:color="020617" w:sz="12"/>
              <w:bottom w:val="single" w:color="020617" w:sz="12"/>
              <w:right w:val="single" w:color="020617" w:sz="12"/>
            </w:tcBorders>
          </w:tcPr>
          <w:p>
            <w:pPr>
              <w:jc w:val="center"/>
            </w:pPr>
            <w:r>
              <w:t xml:space="preserve">98%</w:t>
            </w:r>
          </w:p>
        </w:tc>
      </w:tr>
      <w:tr>
        <w:tc>
          <w:tcPr>
            <w:tcW w:type="dxa" w:w="2500"/>
            <w:tcBorders>
              <w:top w:val="single" w:color="020617" w:sz="12"/>
              <w:left w:val="single" w:color="020617" w:sz="12"/>
              <w:bottom w:val="single" w:color="020617" w:sz="12"/>
              <w:right w:val="single" w:color="020617" w:sz="12"/>
            </w:tcBorders>
          </w:tcPr>
          <w:p>
            <w:r>
              <w:t xml:space="preserve">List columns</w:t>
            </w:r>
          </w:p>
        </w:tc>
        <w:tc>
          <w:tcPr>
            <w:tcW w:type="dxa" w:w="2500"/>
            <w:tcBorders>
              <w:top w:val="single" w:color="020617" w:sz="12"/>
              <w:left w:val="single" w:color="020617" w:sz="12"/>
              <w:bottom w:val="single" w:color="020617" w:sz="12"/>
              <w:right w:val="single" w:color="020617" w:sz="12"/>
            </w:tcBorders>
          </w:tcPr>
          <w:p>
            <w:r>
              <w:t xml:space="preserve">SP_Get* SELECT</w:t>
            </w:r>
          </w:p>
        </w:tc>
        <w:tc>
          <w:tcPr>
            <w:tcW w:type="dxa" w:w="2500"/>
            <w:tcBorders>
              <w:top w:val="single" w:color="020617" w:sz="12"/>
              <w:left w:val="single" w:color="020617" w:sz="12"/>
              <w:bottom w:val="single" w:color="020617" w:sz="12"/>
              <w:right w:val="single" w:color="020617" w:sz="12"/>
            </w:tcBorders>
          </w:tcPr>
          <w:p>
            <w:r>
              <w:t xml:space="preserve">API response schema</w:t>
            </w:r>
          </w:p>
        </w:tc>
        <w:tc>
          <w:tcPr>
            <w:tcW w:type="dxa" w:w="1860"/>
            <w:tcBorders>
              <w:top w:val="single" w:color="020617" w:sz="12"/>
              <w:left w:val="single" w:color="020617" w:sz="12"/>
              <w:bottom w:val="single" w:color="020617" w:sz="12"/>
              <w:right w:val="single" w:color="020617" w:sz="12"/>
            </w:tcBorders>
          </w:tcPr>
          <w:p>
            <w:pPr>
              <w:jc w:val="center"/>
            </w:pPr>
            <w:r>
              <w:t xml:space="preserve">92%</w:t>
            </w:r>
          </w:p>
        </w:tc>
      </w:tr>
      <w:tr>
        <w:tc>
          <w:tcPr>
            <w:tcW w:type="dxa" w:w="2500"/>
            <w:tcBorders>
              <w:top w:val="single" w:color="020617" w:sz="12"/>
              <w:left w:val="single" w:color="020617" w:sz="12"/>
              <w:bottom w:val="single" w:color="020617" w:sz="12"/>
              <w:right w:val="single" w:color="020617" w:sz="12"/>
            </w:tcBorders>
          </w:tcPr>
          <w:p>
            <w:r>
              <w:t xml:space="preserve">AJAX endpoints</w:t>
            </w:r>
          </w:p>
        </w:tc>
        <w:tc>
          <w:tcPr>
            <w:tcW w:type="dxa" w:w="2500"/>
            <w:tcBorders>
              <w:top w:val="single" w:color="020617" w:sz="12"/>
              <w:left w:val="single" w:color="020617" w:sz="12"/>
              <w:bottom w:val="single" w:color="020617" w:sz="12"/>
              <w:right w:val="single" w:color="020617" w:sz="12"/>
            </w:tcBorders>
          </w:tcPr>
          <w:p>
            <w:r>
              <w:t xml:space="preserve">Controller actions</w:t>
            </w:r>
          </w:p>
        </w:tc>
        <w:tc>
          <w:tcPr>
            <w:tcW w:type="dxa" w:w="2500"/>
            <w:tcBorders>
              <w:top w:val="single" w:color="020617" w:sz="12"/>
              <w:left w:val="single" w:color="020617" w:sz="12"/>
              <w:bottom w:val="single" w:color="020617" w:sz="12"/>
              <w:right w:val="single" w:color="020617" w:sz="12"/>
            </w:tcBorders>
          </w:tcPr>
          <w:p>
            <w:r>
              <w:t xml:space="preserve">Route mapping</w:t>
            </w:r>
          </w:p>
        </w:tc>
        <w:tc>
          <w:tcPr>
            <w:tcW w:type="dxa" w:w="1860"/>
            <w:tcBorders>
              <w:top w:val="single" w:color="020617" w:sz="12"/>
              <w:left w:val="single" w:color="020617" w:sz="12"/>
              <w:bottom w:val="single" w:color="020617" w:sz="12"/>
              <w:right w:val="single" w:color="020617" w:sz="12"/>
            </w:tcBorders>
          </w:tcPr>
          <w:p>
            <w:pPr>
              <w:jc w:val="center"/>
            </w:pPr>
            <w:r>
              <w:t xml:space="preserve">88%</w:t>
            </w:r>
          </w:p>
        </w:tc>
      </w:tr>
      <w:tr>
        <w:tc>
          <w:tcPr>
            <w:tcW w:type="dxa" w:w="2500"/>
            <w:tcBorders>
              <w:top w:val="single" w:color="020617" w:sz="12"/>
              <w:left w:val="single" w:color="020617" w:sz="12"/>
              <w:bottom w:val="single" w:color="020617" w:sz="12"/>
              <w:right w:val="single" w:color="020617" w:sz="12"/>
            </w:tcBorders>
          </w:tcPr>
          <w:p>
            <w:r>
              <w:t xml:space="preserve">RBAC permissions</w:t>
            </w:r>
          </w:p>
        </w:tc>
        <w:tc>
          <w:tcPr>
            <w:tcW w:type="dxa" w:w="2500"/>
            <w:tcBorders>
              <w:top w:val="single" w:color="020617" w:sz="12"/>
              <w:left w:val="single" w:color="020617" w:sz="12"/>
              <w:bottom w:val="single" w:color="020617" w:sz="12"/>
              <w:right w:val="single" w:color="020617" w:sz="12"/>
            </w:tcBorders>
          </w:tcPr>
          <w:p>
            <w:r>
              <w:t xml:space="preserve">Authorize attributes</w:t>
            </w:r>
          </w:p>
        </w:tc>
        <w:tc>
          <w:tcPr>
            <w:tcW w:type="dxa" w:w="2500"/>
            <w:tcBorders>
              <w:top w:val="single" w:color="020617" w:sz="12"/>
              <w:left w:val="single" w:color="020617" w:sz="12"/>
              <w:bottom w:val="single" w:color="020617" w:sz="12"/>
              <w:right w:val="single" w:color="020617" w:sz="12"/>
            </w:tcBorders>
          </w:tcPr>
          <w:p>
            <w:r>
              <w:t xml:space="preserve">API middleware</w:t>
            </w:r>
          </w:p>
        </w:tc>
        <w:tc>
          <w:tcPr>
            <w:tcW w:type="dxa" w:w="1860"/>
            <w:tcBorders>
              <w:top w:val="single" w:color="020617" w:sz="12"/>
              <w:left w:val="single" w:color="020617" w:sz="12"/>
              <w:bottom w:val="single" w:color="020617" w:sz="12"/>
              <w:right w:val="single" w:color="020617" w:sz="12"/>
            </w:tcBorders>
          </w:tcPr>
          <w:p>
            <w:pPr>
              <w:jc w:val="center"/>
            </w:pPr>
            <w:r>
              <w:t xml:space="preserve">90%</w:t>
            </w:r>
          </w:p>
        </w:tc>
      </w:tr>
    </w:tbl>
    <w:p>
      <w:pPr>
        <w:spacing w:after="240" w:before="120"/>
        <w:jc w:val="center"/>
      </w:pPr>
      <w:r>
        <w:rPr>
          <w:i/>
          <w:iCs/>
          <w:color w:val="64748B"/>
          <w:sz w:val="18"/>
          <w:szCs w:val="18"/>
        </w:rPr>
        <w:t xml:space="preserve">Table 3: Intelligence Correlation Matrix</w:t>
      </w:r>
    </w:p>
    <w:p>
      <w:pPr>
        <w:pStyle w:val="Heading1"/>
      </w:pPr>
      <w:r>
        <w:t xml:space="preserve">5. Implementation Phases</w:t>
      </w:r>
    </w:p>
    <w:p>
      <w:pPr>
        <w:spacing w:after="120"/>
      </w:pPr>
      <w:r>
        <w:t xml:space="preserve">The SPDLL integration will be executed in four strategic phases, each building upon the previous phase's deliverables. This phased approach ensures manageable complexity, clear milestones, and the ability to validate results incrementally before proceeding to subsequent phases.</w:t>
      </w:r>
    </w:p>
    <w:p>
      <w:pPr>
        <w:pStyle w:val="Heading2"/>
      </w:pPr>
      <w:r>
        <w:t xml:space="preserve">Phase 1: SP Intelligence Enhancement (Week 1-2)</w:t>
      </w:r>
    </w:p>
    <w:p>
      <w:pPr>
        <w:spacing w:after="120"/>
      </w:pPr>
      <w:r>
        <w:t xml:space="preserve">This phase focuses on enhancing the existing SP parser (sp-parser.ts) to extract more comprehensive intelligence and establish correlation capabilities with CSHTML analysis results.</w:t>
      </w:r>
    </w:p>
    <w:p>
      <w:pPr>
        <w:spacing w:after="60"/>
      </w:pPr>
      <w:r>
        <w:rPr>
          <w:b/>
          <w:bCs/>
        </w:rPr>
        <w:t xml:space="preserve">Key Tasks:</w:t>
      </w:r>
    </w:p>
    <w:p>
      <w:pPr>
        <w:pStyle w:val="ListParagraph"/>
        <w:numPr>
          <w:ilvl w:val="0"/>
          <w:numId w:val="3"/>
        </w:numPr>
      </w:pPr>
      <w:r>
        <w:t xml:space="preserve">Enhance SP parameter type inference with semantic analysis</w:t>
      </w:r>
    </w:p>
    <w:p>
      <w:pPr>
        <w:pStyle w:val="ListParagraph"/>
        <w:numPr>
          <w:ilvl w:val="0"/>
          <w:numId w:val="3"/>
        </w:numPr>
      </w:pPr>
      <w:r>
        <w:t xml:space="preserve">Implement business rule extraction from WHERE clauses and conditional logic</w:t>
      </w:r>
    </w:p>
    <w:p>
      <w:pPr>
        <w:pStyle w:val="ListParagraph"/>
        <w:numPr>
          <w:ilvl w:val="0"/>
          <w:numId w:val="3"/>
        </w:numPr>
      </w:pPr>
      <w:r>
        <w:t xml:space="preserve">Build SP-to-CSHTML correlation engine using field name matching</w:t>
      </w:r>
    </w:p>
    <w:p>
      <w:pPr>
        <w:pStyle w:val="ListParagraph"/>
        <w:numPr>
          <w:ilvl w:val="0"/>
          <w:numId w:val="3"/>
        </w:numPr>
      </w:pPr>
      <w:r>
        <w:t xml:space="preserve">Create API schema generator from SP parameters and result sets</w:t>
      </w:r>
    </w:p>
    <w:p>
      <w:pPr>
        <w:pStyle w:val="ListParagraph"/>
        <w:numPr>
          <w:ilvl w:val="0"/>
          <w:numId w:val="3"/>
        </w:numPr>
        <w:spacing w:after="120"/>
      </w:pPr>
      <w:r>
        <w:t xml:space="preserve">Develop complexity scoring and migration risk assessment</w:t>
      </w:r>
    </w:p>
    <w:p>
      <w:pPr>
        <w:spacing w:after="60"/>
      </w:pPr>
      <w:r>
        <w:rPr>
          <w:b/>
          <w:bCs/>
        </w:rPr>
        <w:t xml:space="preserve">Deliverables:</w:t>
      </w:r>
    </w:p>
    <w:p>
      <w:pPr>
        <w:pStyle w:val="ListParagraph"/>
        <w:numPr>
          <w:ilvl w:val="0"/>
          <w:numId w:val="2"/>
        </w:numPr>
      </w:pPr>
      <w:r>
        <w:t xml:space="preserve">Enhanced SP parser with 95% field extraction accuracy</w:t>
      </w:r>
    </w:p>
    <w:p>
      <w:pPr>
        <w:pStyle w:val="ListParagraph"/>
        <w:numPr>
          <w:ilvl w:val="0"/>
          <w:numId w:val="2"/>
        </w:numPr>
      </w:pPr>
      <w:r>
        <w:t xml:space="preserve">SP-CSHTML correlation report generator</w:t>
      </w:r>
    </w:p>
    <w:p>
      <w:pPr>
        <w:pStyle w:val="ListParagraph"/>
        <w:numPr>
          <w:ilvl w:val="0"/>
          <w:numId w:val="2"/>
        </w:numPr>
        <w:spacing w:after="240"/>
      </w:pPr>
      <w:r>
        <w:t xml:space="preserve">OpenAPI 3.0 schema generator from SP definitions</w:t>
      </w:r>
    </w:p>
    <w:p>
      <w:pPr>
        <w:pStyle w:val="Heading2"/>
      </w:pPr>
      <w:r>
        <w:t xml:space="preserve">Phase 2: DLL Analysis Integration (Week 3-4)</w:t>
      </w:r>
    </w:p>
    <w:p>
      <w:pPr>
        <w:spacing w:after="120"/>
      </w:pPr>
      <w:r>
        <w:t xml:space="preserve">This phase introduces DLL decompilation and analysis capabilities to extract controller actions, model definitions, and business logic from compiled .NET assemblies.</w:t>
      </w:r>
    </w:p>
    <w:p>
      <w:pPr>
        <w:spacing w:after="60"/>
      </w:pPr>
      <w:r>
        <w:rPr>
          <w:b/>
          <w:bCs/>
        </w:rPr>
        <w:t xml:space="preserve">Key Tasks:</w:t>
      </w:r>
    </w:p>
    <w:p>
      <w:pPr>
        <w:pStyle w:val="ListParagraph"/>
        <w:numPr>
          <w:ilvl w:val="0"/>
          <w:numId w:val="4"/>
        </w:numPr>
      </w:pPr>
      <w:r>
        <w:t xml:space="preserve">Integrate ILSpy/dnlib for DLL decompilation</w:t>
      </w:r>
    </w:p>
    <w:p>
      <w:pPr>
        <w:pStyle w:val="ListParagraph"/>
        <w:numPr>
          <w:ilvl w:val="0"/>
          <w:numId w:val="4"/>
        </w:numPr>
      </w:pPr>
      <w:r>
        <w:t xml:space="preserve">Build Controller Action extractor with route mapping</w:t>
      </w:r>
    </w:p>
    <w:p>
      <w:pPr>
        <w:pStyle w:val="ListParagraph"/>
        <w:numPr>
          <w:ilvl w:val="0"/>
          <w:numId w:val="4"/>
        </w:numPr>
      </w:pPr>
      <w:r>
        <w:t xml:space="preserve">Implement Model class parser with attribute extraction</w:t>
      </w:r>
    </w:p>
    <w:p>
      <w:pPr>
        <w:pStyle w:val="ListParagraph"/>
        <w:numPr>
          <w:ilvl w:val="0"/>
          <w:numId w:val="4"/>
        </w:numPr>
      </w:pPr>
      <w:r>
        <w:t xml:space="preserve">Create Service layer business logic extractor</w:t>
      </w:r>
    </w:p>
    <w:p>
      <w:pPr>
        <w:pStyle w:val="ListParagraph"/>
        <w:numPr>
          <w:ilvl w:val="0"/>
          <w:numId w:val="4"/>
        </w:numPr>
        <w:spacing w:after="120"/>
      </w:pPr>
      <w:r>
        <w:t xml:space="preserve">Build three-way correlation (CSHTML-SP-DLL) engine</w:t>
      </w:r>
    </w:p>
    <w:p>
      <w:pPr>
        <w:spacing w:after="60"/>
      </w:pPr>
      <w:r>
        <w:rPr>
          <w:b/>
          <w:bCs/>
        </w:rPr>
        <w:t xml:space="preserve">Deliverables:</w:t>
      </w:r>
    </w:p>
    <w:p>
      <w:pPr>
        <w:pStyle w:val="ListParagraph"/>
        <w:numPr>
          <w:ilvl w:val="0"/>
          <w:numId w:val="2"/>
        </w:numPr>
      </w:pPr>
      <w:r>
        <w:t xml:space="preserve">DLL analyzer module with controller/action extraction</w:t>
      </w:r>
    </w:p>
    <w:p>
      <w:pPr>
        <w:pStyle w:val="ListParagraph"/>
        <w:numPr>
          <w:ilvl w:val="0"/>
          <w:numId w:val="2"/>
        </w:numPr>
      </w:pPr>
      <w:r>
        <w:t xml:space="preserve">TypeScript type generator from C# models</w:t>
      </w:r>
    </w:p>
    <w:p>
      <w:pPr>
        <w:pStyle w:val="ListParagraph"/>
        <w:numPr>
          <w:ilvl w:val="0"/>
          <w:numId w:val="2"/>
        </w:numPr>
        <w:spacing w:after="240"/>
      </w:pPr>
      <w:r>
        <w:t xml:space="preserve">Complete intelligence correlation dashboard</w:t>
      </w:r>
    </w:p>
    <w:p>
      <w:pPr>
        <w:pStyle w:val="Heading2"/>
      </w:pPr>
      <w:r>
        <w:t xml:space="preserve">Phase 3: API Generation Layer (Week 5-6)</w:t>
      </w:r>
    </w:p>
    <w:p>
      <w:pPr>
        <w:spacing w:after="120"/>
      </w:pPr>
      <w:r>
        <w:t xml:space="preserve">This phase leverages the gathered intelligence to automatically generate Next.js API routes with Prisma integration, creating executable backend code from legacy SP definitions.</w:t>
      </w:r>
    </w:p>
    <w:p>
      <w:pPr>
        <w:spacing w:after="60"/>
      </w:pPr>
      <w:r>
        <w:rPr>
          <w:b/>
          <w:bCs/>
        </w:rPr>
        <w:t xml:space="preserve">Key Tasks:</w:t>
      </w:r>
    </w:p>
    <w:p>
      <w:pPr>
        <w:pStyle w:val="ListParagraph"/>
        <w:numPr>
          <w:ilvl w:val="0"/>
          <w:numId w:val="2"/>
        </w:numPr>
      </w:pPr>
      <w:r>
        <w:t xml:space="preserve">Generate Next.js API route handlers from SP definitions</w:t>
      </w:r>
    </w:p>
    <w:p>
      <w:pPr>
        <w:pStyle w:val="ListParagraph"/>
        <w:numPr>
          <w:ilvl w:val="0"/>
          <w:numId w:val="2"/>
        </w:numPr>
      </w:pPr>
      <w:r>
        <w:t xml:space="preserve">Implement Prisma raw query wrappers for SP execution</w:t>
      </w:r>
    </w:p>
    <w:p>
      <w:pPr>
        <w:pStyle w:val="ListParagraph"/>
        <w:numPr>
          <w:ilvl w:val="0"/>
          <w:numId w:val="2"/>
        </w:numPr>
      </w:pPr>
      <w:r>
        <w:t xml:space="preserve">Create TypeScript type definitions from merged intelligence</w:t>
      </w:r>
    </w:p>
    <w:p>
      <w:pPr>
        <w:pStyle w:val="ListParagraph"/>
        <w:numPr>
          <w:ilvl w:val="0"/>
          <w:numId w:val="2"/>
        </w:numPr>
      </w:pPr>
      <w:r>
        <w:t xml:space="preserve">Build validation middleware from extracted business rules</w:t>
      </w:r>
    </w:p>
    <w:p>
      <w:pPr>
        <w:pStyle w:val="ListParagraph"/>
        <w:numPr>
          <w:ilvl w:val="0"/>
          <w:numId w:val="2"/>
        </w:numPr>
        <w:spacing w:after="120"/>
      </w:pPr>
      <w:r>
        <w:t xml:space="preserve">Implement authentication/authorization middleware from RBAC analysis</w:t>
      </w:r>
    </w:p>
    <w:p>
      <w:pPr>
        <w:spacing w:after="60"/>
      </w:pPr>
      <w:r>
        <w:rPr>
          <w:b/>
          <w:bCs/>
        </w:rPr>
        <w:t xml:space="preserve">Deliverables:</w:t>
      </w:r>
    </w:p>
    <w:p>
      <w:pPr>
        <w:pStyle w:val="ListParagraph"/>
        <w:numPr>
          <w:ilvl w:val="0"/>
          <w:numId w:val="2"/>
        </w:numPr>
      </w:pPr>
      <w:r>
        <w:t xml:space="preserve">Auto-generated API routes with full TypeScript typing</w:t>
      </w:r>
    </w:p>
    <w:p>
      <w:pPr>
        <w:pStyle w:val="ListParagraph"/>
        <w:numPr>
          <w:ilvl w:val="0"/>
          <w:numId w:val="2"/>
        </w:numPr>
      </w:pPr>
      <w:r>
        <w:t xml:space="preserve">SP execution layer with parameter validation</w:t>
      </w:r>
    </w:p>
    <w:p>
      <w:pPr>
        <w:pStyle w:val="ListParagraph"/>
        <w:numPr>
          <w:ilvl w:val="0"/>
          <w:numId w:val="2"/>
        </w:numPr>
        <w:spacing w:after="240"/>
      </w:pPr>
      <w:r>
        <w:t xml:space="preserve">Swagger/OpenAPI documentation auto-generation</w:t>
      </w:r>
    </w:p>
    <w:p>
      <w:pPr>
        <w:pStyle w:val="Heading2"/>
      </w:pPr>
      <w:r>
        <w:t xml:space="preserve">Phase 4: Validation &amp; Migration Support (Week 7-8)</w:t>
      </w:r>
    </w:p>
    <w:p>
      <w:pPr>
        <w:spacing w:after="120"/>
      </w:pPr>
      <w:r>
        <w:t xml:space="preserve">The final phase focuses on validation tooling, migration tracking, and quality assurance to ensure generated artifacts meet production standards.</w:t>
      </w:r>
    </w:p>
    <w:p>
      <w:pPr>
        <w:spacing w:after="60"/>
      </w:pPr>
      <w:r>
        <w:rPr>
          <w:b/>
          <w:bCs/>
        </w:rPr>
        <w:t xml:space="preserve">Key Tasks:</w:t>
      </w:r>
    </w:p>
    <w:p>
      <w:pPr>
        <w:pStyle w:val="ListParagraph"/>
        <w:numPr>
          <w:ilvl w:val="0"/>
          <w:numId w:val="2"/>
        </w:numPr>
      </w:pPr>
      <w:r>
        <w:t xml:space="preserve">Build SP execution comparison tool (legacy vs. new API)</w:t>
      </w:r>
    </w:p>
    <w:p>
      <w:pPr>
        <w:pStyle w:val="ListParagraph"/>
        <w:numPr>
          <w:ilvl w:val="0"/>
          <w:numId w:val="2"/>
        </w:numPr>
      </w:pPr>
      <w:r>
        <w:t xml:space="preserve">Create migration progress dashboard with gap analysis</w:t>
      </w:r>
    </w:p>
    <w:p>
      <w:pPr>
        <w:pStyle w:val="ListParagraph"/>
        <w:numPr>
          <w:ilvl w:val="0"/>
          <w:numId w:val="2"/>
        </w:numPr>
      </w:pPr>
      <w:r>
        <w:t xml:space="preserve">Implement automated test case generation from SP logic</w:t>
      </w:r>
    </w:p>
    <w:p>
      <w:pPr>
        <w:pStyle w:val="ListParagraph"/>
        <w:numPr>
          <w:ilvl w:val="0"/>
          <w:numId w:val="2"/>
        </w:numPr>
      </w:pPr>
      <w:r>
        <w:t xml:space="preserve">Build documentation generator from merged intelligence</w:t>
      </w:r>
    </w:p>
    <w:p>
      <w:pPr>
        <w:pStyle w:val="ListParagraph"/>
        <w:numPr>
          <w:ilvl w:val="0"/>
          <w:numId w:val="2"/>
        </w:numPr>
        <w:spacing w:after="120"/>
      </w:pPr>
      <w:r>
        <w:t xml:space="preserve">Create deployment checklist and validation pipeline</w:t>
      </w:r>
    </w:p>
    <w:p>
      <w:pPr>
        <w:spacing w:after="60"/>
      </w:pPr>
      <w:r>
        <w:rPr>
          <w:b/>
          <w:bCs/>
        </w:rPr>
        <w:t xml:space="preserve">Deliverables:</w:t>
      </w:r>
    </w:p>
    <w:p>
      <w:pPr>
        <w:pStyle w:val="ListParagraph"/>
        <w:numPr>
          <w:ilvl w:val="0"/>
          <w:numId w:val="2"/>
        </w:numPr>
      </w:pPr>
      <w:r>
        <w:t xml:space="preserve">Migration validation suite with automated testing</w:t>
      </w:r>
    </w:p>
    <w:p>
      <w:pPr>
        <w:pStyle w:val="ListParagraph"/>
        <w:numPr>
          <w:ilvl w:val="0"/>
          <w:numId w:val="2"/>
        </w:numPr>
      </w:pPr>
      <w:r>
        <w:t xml:space="preserve">Complete migration documentation package</w:t>
      </w:r>
    </w:p>
    <w:p>
      <w:pPr>
        <w:pStyle w:val="ListParagraph"/>
        <w:numPr>
          <w:ilvl w:val="0"/>
          <w:numId w:val="2"/>
        </w:numPr>
        <w:spacing w:after="240"/>
      </w:pPr>
      <w:r>
        <w:t xml:space="preserve">Production deployment guide and checklist</w:t>
      </w:r>
    </w:p>
    <w:p>
      <w:pPr>
        <w:pStyle w:val="Heading1"/>
      </w:pPr>
      <w:r>
        <w:t xml:space="preserve">6. Technical Architecture</w:t>
      </w:r>
    </w:p>
    <w:p>
      <w:pPr>
        <w:spacing w:after="120"/>
      </w:pPr>
      <w:r>
        <w:t xml:space="preserve">The SPDLL integration architecture extends the existing AI Enterprise Architect platform with three new core modules: SP Intelligence Engine, DLL Analyzer, and API Generator. These modules integrate seamlessly with the existing CSHTML parser and database schema analysis capabilities.</w:t>
      </w:r>
    </w:p>
    <w:p>
      <w:pPr>
        <w:pStyle w:val="Heading2"/>
      </w:pPr>
      <w:r>
        <w:t xml:space="preserve">6.1 Data Flow Architecture</w:t>
      </w:r>
    </w:p>
    <w:p>
      <w:pPr>
        <w:spacing w:after="120"/>
      </w:pPr>
      <w:r>
        <w:t xml:space="preserve">The following illustrates the data flow from legacy artifacts through intelligence extraction to generated API code:</w:t>
      </w:r>
    </w:p>
    <w:p>
      <w:pPr>
        <w:pStyle w:val="ListParagraph"/>
        <w:numPr>
          <w:ilvl w:val="0"/>
          <w:numId w:val="2"/>
        </w:numPr>
      </w:pPr>
      <w:r>
        <w:rPr>
          <w:b/>
          <w:bCs/>
        </w:rPr>
        <w:t xml:space="preserve">Input Layer: </w:t>
      </w:r>
      <w:r>
        <w:t xml:space="preserve">SQL DDL, Stored Procedures, CSHTML Views, DLL assemblies</w:t>
      </w:r>
    </w:p>
    <w:p>
      <w:pPr>
        <w:pStyle w:val="ListParagraph"/>
        <w:numPr>
          <w:ilvl w:val="0"/>
          <w:numId w:val="2"/>
        </w:numPr>
      </w:pPr>
      <w:r>
        <w:rPr>
          <w:b/>
          <w:bCs/>
        </w:rPr>
        <w:t xml:space="preserve">Parsing Layer: </w:t>
      </w:r>
      <w:r>
        <w:t xml:space="preserve">SQL Parser, SP Parser, CSHTML Parser, DLL Decompiler</w:t>
      </w:r>
    </w:p>
    <w:p>
      <w:pPr>
        <w:pStyle w:val="ListParagraph"/>
        <w:numPr>
          <w:ilvl w:val="0"/>
          <w:numId w:val="2"/>
        </w:numPr>
      </w:pPr>
      <w:r>
        <w:rPr>
          <w:b/>
          <w:bCs/>
        </w:rPr>
        <w:t xml:space="preserve">Intelligence Layer: </w:t>
      </w:r>
      <w:r>
        <w:t xml:space="preserve">Schema Intelligence, SP Intelligence, View Intelligence, Business Rules</w:t>
      </w:r>
    </w:p>
    <w:p>
      <w:pPr>
        <w:pStyle w:val="ListParagraph"/>
        <w:numPr>
          <w:ilvl w:val="0"/>
          <w:numId w:val="2"/>
        </w:numPr>
      </w:pPr>
      <w:r>
        <w:rPr>
          <w:b/>
          <w:bCs/>
        </w:rPr>
        <w:t xml:space="preserve">Correlation Layer: </w:t>
      </w:r>
      <w:r>
        <w:t xml:space="preserve">Field Matching, Route Mapping, Permission Mapping</w:t>
      </w:r>
    </w:p>
    <w:p>
      <w:pPr>
        <w:pStyle w:val="ListParagraph"/>
        <w:numPr>
          <w:ilvl w:val="0"/>
          <w:numId w:val="2"/>
        </w:numPr>
      </w:pPr>
      <w:r>
        <w:rPr>
          <w:b/>
          <w:bCs/>
        </w:rPr>
        <w:t xml:space="preserve">Generation Layer: </w:t>
      </w:r>
      <w:r>
        <w:t xml:space="preserve">API Routes, TypeScript Types, React Components, Documentation</w:t>
      </w:r>
    </w:p>
    <w:p>
      <w:pPr>
        <w:pStyle w:val="ListParagraph"/>
        <w:numPr>
          <w:ilvl w:val="0"/>
          <w:numId w:val="2"/>
        </w:numPr>
        <w:spacing w:after="240"/>
      </w:pPr>
      <w:r>
        <w:rPr>
          <w:b/>
          <w:bCs/>
        </w:rPr>
        <w:t xml:space="preserve">Output Layer: </w:t>
      </w:r>
      <w:r>
        <w:t xml:space="preserve">Next.js App Router API routes with Prisma integration</w:t>
      </w:r>
    </w:p>
    <w:p>
      <w:pPr>
        <w:pStyle w:val="Heading2"/>
      </w:pPr>
      <w:r>
        <w:t xml:space="preserve">6.2 Prisma Schema Extensions</w:t>
      </w:r>
    </w:p>
    <w:p>
      <w:pPr>
        <w:spacing w:after="120"/>
      </w:pPr>
      <w:r>
        <w:t xml:space="preserve">The following Prisma schema extensions support SPDLL intelligence storage and caching. These models integrate with the existing schema to provide persistent storage for analysis results:</w:t>
      </w:r>
    </w:p>
    <w:p>
      <w:pPr>
        <w:spacing w:after="120"/>
      </w:pPr>
      <w:r>
        <w:rPr>
          <w:b/>
          <w:bCs/>
        </w:rPr>
        <w:t xml:space="preserve">Existing Models (Already Implemented):</w:t>
      </w:r>
    </w:p>
    <w:p>
      <w:pPr>
        <w:pStyle w:val="ListParagraph"/>
        <w:numPr>
          <w:ilvl w:val="0"/>
          <w:numId w:val="2"/>
        </w:numPr>
      </w:pPr>
      <w:r>
        <w:t xml:space="preserve">StoredProcedureCache - SP intelligence with action types and dependencies</w:t>
      </w:r>
    </w:p>
    <w:p>
      <w:pPr>
        <w:pStyle w:val="ListParagraph"/>
        <w:numPr>
          <w:ilvl w:val="0"/>
          <w:numId w:val="2"/>
        </w:numPr>
      </w:pPr>
      <w:r>
        <w:t xml:space="preserve">DiscoveredTableCache - Tables found in SPs but not in uploaded DDL</w:t>
      </w:r>
    </w:p>
    <w:p>
      <w:pPr>
        <w:pStyle w:val="ListParagraph"/>
        <w:numPr>
          <w:ilvl w:val="0"/>
          <w:numId w:val="2"/>
        </w:numPr>
      </w:pPr>
      <w:r>
        <w:t xml:space="preserve">CSHTMLAnalysisCache - View parsing results with field definitions</w:t>
      </w:r>
    </w:p>
    <w:p>
      <w:pPr>
        <w:pStyle w:val="ListParagraph"/>
        <w:numPr>
          <w:ilvl w:val="0"/>
          <w:numId w:val="2"/>
        </w:numPr>
        <w:spacing w:after="120"/>
      </w:pPr>
      <w:r>
        <w:t xml:space="preserve">UIScreenBlueprint - Merged intelligence for UI generation</w:t>
      </w:r>
    </w:p>
    <w:p>
      <w:pPr>
        <w:spacing w:after="60"/>
      </w:pPr>
      <w:r>
        <w:rPr>
          <w:b/>
          <w:bCs/>
        </w:rPr>
        <w:t xml:space="preserve">Required Extensions:</w:t>
      </w:r>
    </w:p>
    <w:p>
      <w:pPr>
        <w:pStyle w:val="ListParagraph"/>
        <w:numPr>
          <w:ilvl w:val="0"/>
          <w:numId w:val="2"/>
        </w:numPr>
      </w:pPr>
      <w:r>
        <w:rPr>
          <w:b/>
          <w:bCs/>
        </w:rPr>
        <w:t xml:space="preserve">DLLAnalysisCache: </w:t>
      </w:r>
      <w:r>
        <w:t xml:space="preserve">Controller actions, model definitions, service methods</w:t>
      </w:r>
    </w:p>
    <w:p>
      <w:pPr>
        <w:pStyle w:val="ListParagraph"/>
        <w:numPr>
          <w:ilvl w:val="0"/>
          <w:numId w:val="2"/>
        </w:numPr>
      </w:pPr>
      <w:r>
        <w:rPr>
          <w:b/>
          <w:bCs/>
        </w:rPr>
        <w:t xml:space="preserve">APISchemaCache: </w:t>
      </w:r>
      <w:r>
        <w:t xml:space="preserve">Generated OpenAPI schemas and TypeScript types</w:t>
      </w:r>
    </w:p>
    <w:p>
      <w:pPr>
        <w:pStyle w:val="ListParagraph"/>
        <w:numPr>
          <w:ilvl w:val="0"/>
          <w:numId w:val="2"/>
        </w:numPr>
      </w:pPr>
      <w:r>
        <w:rPr>
          <w:b/>
          <w:bCs/>
        </w:rPr>
        <w:t xml:space="preserve">MigrationMappingCache: </w:t>
      </w:r>
      <w:r>
        <w:t xml:space="preserve">Legacy-to-new entity and route mappings</w:t>
      </w:r>
    </w:p>
    <w:p>
      <w:pPr>
        <w:pStyle w:val="ListParagraph"/>
        <w:numPr>
          <w:ilvl w:val="0"/>
          <w:numId w:val="2"/>
        </w:numPr>
        <w:spacing w:after="240"/>
      </w:pPr>
      <w:r>
        <w:rPr>
          <w:b/>
          <w:bCs/>
        </w:rPr>
        <w:t xml:space="preserve">ValidationRuleCache: </w:t>
      </w:r>
      <w:r>
        <w:t xml:space="preserve">Extracted business rules for API middleware</w:t>
      </w:r>
    </w:p>
    <w:p>
      <w:pPr>
        <w:pStyle w:val="Heading1"/>
      </w:pPr>
      <w:r>
        <w:t xml:space="preserve">7. Risk Assessment and Mitigation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1500"/>
        <w:gridCol w:w="5360"/>
      </w:tblGrid>
      <w:tr>
        <w:trPr>
          <w:tblHeader/>
        </w:trPr>
        <w:tc>
          <w:tcPr>
            <w:tcW w:type="dxa" w:w="25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Risk Category</w:t>
            </w:r>
          </w:p>
        </w:tc>
        <w:tc>
          <w:tcPr>
            <w:tcW w:type="dxa" w:w="15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Severity</w:t>
            </w:r>
          </w:p>
        </w:tc>
        <w:tc>
          <w:tcPr>
            <w:tcW w:type="dxa" w:w="536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Mitigation Strategy</w:t>
            </w:r>
          </w:p>
        </w:tc>
      </w:tr>
      <w:tr>
        <w:tc>
          <w:tcPr>
            <w:tcW w:type="dxa" w:w="2500"/>
            <w:tcBorders>
              <w:top w:val="single" w:color="020617" w:sz="12"/>
              <w:left w:val="single" w:color="020617" w:sz="12"/>
              <w:bottom w:val="single" w:color="020617" w:sz="12"/>
              <w:right w:val="single" w:color="020617" w:sz="12"/>
            </w:tcBorders>
          </w:tcPr>
          <w:p>
            <w:r>
              <w:t xml:space="preserve">Dynamic SQL in SPs</w:t>
            </w:r>
          </w:p>
        </w:tc>
        <w:tc>
          <w:tcPr>
            <w:tcW w:type="dxa" w:w="1500"/>
            <w:tcBorders>
              <w:top w:val="single" w:color="020617" w:sz="12"/>
              <w:left w:val="single" w:color="020617" w:sz="12"/>
              <w:bottom w:val="single" w:color="020617" w:sz="12"/>
              <w:right w:val="single" w:color="020617" w:sz="12"/>
            </w:tcBorders>
          </w:tcPr>
          <w:p>
            <w:pPr>
              <w:jc w:val="center"/>
            </w:pPr>
            <w:r>
              <w:t xml:space="preserve">Critical</w:t>
            </w:r>
          </w:p>
        </w:tc>
        <w:tc>
          <w:tcPr>
            <w:tcW w:type="dxa" w:w="5360"/>
            <w:tcBorders>
              <w:top w:val="single" w:color="020617" w:sz="12"/>
              <w:left w:val="single" w:color="020617" w:sz="12"/>
              <w:bottom w:val="single" w:color="020617" w:sz="12"/>
              <w:right w:val="single" w:color="020617" w:sz="12"/>
            </w:tcBorders>
          </w:tcPr>
          <w:p>
            <w:r>
              <w:t xml:space="preserve">Flag for manual review; AI-assisted pattern extraction</w:t>
            </w:r>
          </w:p>
        </w:tc>
      </w:tr>
      <w:tr>
        <w:tc>
          <w:tcPr>
            <w:tcW w:type="dxa" w:w="2500"/>
            <w:tcBorders>
              <w:top w:val="single" w:color="020617" w:sz="12"/>
              <w:left w:val="single" w:color="020617" w:sz="12"/>
              <w:bottom w:val="single" w:color="020617" w:sz="12"/>
              <w:right w:val="single" w:color="020617" w:sz="12"/>
            </w:tcBorders>
          </w:tcPr>
          <w:p>
            <w:r>
              <w:t xml:space="preserve">Encrypted DLLs</w:t>
            </w:r>
          </w:p>
        </w:tc>
        <w:tc>
          <w:tcPr>
            <w:tcW w:type="dxa" w:w="1500"/>
            <w:tcBorders>
              <w:top w:val="single" w:color="020617" w:sz="12"/>
              <w:left w:val="single" w:color="020617" w:sz="12"/>
              <w:bottom w:val="single" w:color="020617" w:sz="12"/>
              <w:right w:val="single" w:color="020617" w:sz="12"/>
            </w:tcBorders>
          </w:tcPr>
          <w:p>
            <w:pPr>
              <w:jc w:val="center"/>
            </w:pPr>
            <w:r>
              <w:t xml:space="preserve">High</w:t>
            </w:r>
          </w:p>
        </w:tc>
        <w:tc>
          <w:tcPr>
            <w:tcW w:type="dxa" w:w="5360"/>
            <w:tcBorders>
              <w:top w:val="single" w:color="020617" w:sz="12"/>
              <w:left w:val="single" w:color="020617" w:sz="12"/>
              <w:bottom w:val="single" w:color="020617" w:sz="12"/>
              <w:right w:val="single" w:color="020617" w:sz="12"/>
            </w:tcBorders>
          </w:tcPr>
          <w:p>
            <w:r>
              <w:t xml:space="preserve">Request source code access; fallback to CSHTML + SP analysis</w:t>
            </w:r>
          </w:p>
        </w:tc>
      </w:tr>
      <w:tr>
        <w:tc>
          <w:tcPr>
            <w:tcW w:type="dxa" w:w="2500"/>
            <w:tcBorders>
              <w:top w:val="single" w:color="020617" w:sz="12"/>
              <w:left w:val="single" w:color="020617" w:sz="12"/>
              <w:bottom w:val="single" w:color="020617" w:sz="12"/>
              <w:right w:val="single" w:color="020617" w:sz="12"/>
            </w:tcBorders>
          </w:tcPr>
          <w:p>
            <w:r>
              <w:t xml:space="preserve">Missing SP Sources</w:t>
            </w:r>
          </w:p>
        </w:tc>
        <w:tc>
          <w:tcPr>
            <w:tcW w:type="dxa" w:w="1500"/>
            <w:tcBorders>
              <w:top w:val="single" w:color="020617" w:sz="12"/>
              <w:left w:val="single" w:color="020617" w:sz="12"/>
              <w:bottom w:val="single" w:color="020617" w:sz="12"/>
              <w:right w:val="single" w:color="020617" w:sz="12"/>
            </w:tcBorders>
          </w:tcPr>
          <w:p>
            <w:pPr>
              <w:jc w:val="center"/>
            </w:pPr>
            <w:r>
              <w:t xml:space="preserve">High</w:t>
            </w:r>
          </w:p>
        </w:tc>
        <w:tc>
          <w:tcPr>
            <w:tcW w:type="dxa" w:w="5360"/>
            <w:tcBorders>
              <w:top w:val="single" w:color="020617" w:sz="12"/>
              <w:left w:val="single" w:color="020617" w:sz="12"/>
              <w:bottom w:val="single" w:color="020617" w:sz="12"/>
              <w:right w:val="single" w:color="020617" w:sz="12"/>
            </w:tcBorders>
          </w:tcPr>
          <w:p>
            <w:r>
              <w:t xml:space="preserve">Use CSHTML AJAX endpoints to infer SP signatures</w:t>
            </w:r>
          </w:p>
        </w:tc>
      </w:tr>
      <w:tr>
        <w:tc>
          <w:tcPr>
            <w:tcW w:type="dxa" w:w="2500"/>
            <w:tcBorders>
              <w:top w:val="single" w:color="020617" w:sz="12"/>
              <w:left w:val="single" w:color="020617" w:sz="12"/>
              <w:bottom w:val="single" w:color="020617" w:sz="12"/>
              <w:right w:val="single" w:color="020617" w:sz="12"/>
            </w:tcBorders>
          </w:tcPr>
          <w:p>
            <w:r>
              <w:t xml:space="preserve">Naming Convention Gaps</w:t>
            </w:r>
          </w:p>
        </w:tc>
        <w:tc>
          <w:tcPr>
            <w:tcW w:type="dxa" w:w="1500"/>
            <w:tcBorders>
              <w:top w:val="single" w:color="020617" w:sz="12"/>
              <w:left w:val="single" w:color="020617" w:sz="12"/>
              <w:bottom w:val="single" w:color="020617" w:sz="12"/>
              <w:right w:val="single" w:color="020617" w:sz="12"/>
            </w:tcBorders>
          </w:tcPr>
          <w:p>
            <w:pPr>
              <w:jc w:val="center"/>
            </w:pPr>
            <w:r>
              <w:t xml:space="preserve">Medium</w:t>
            </w:r>
          </w:p>
        </w:tc>
        <w:tc>
          <w:tcPr>
            <w:tcW w:type="dxa" w:w="5360"/>
            <w:tcBorders>
              <w:top w:val="single" w:color="020617" w:sz="12"/>
              <w:left w:val="single" w:color="020617" w:sz="12"/>
              <w:bottom w:val="single" w:color="020617" w:sz="12"/>
              <w:right w:val="single" w:color="020617" w:sz="12"/>
            </w:tcBorders>
          </w:tcPr>
          <w:p>
            <w:r>
              <w:t xml:space="preserve">AI classification fallback; manual categorization interface</w:t>
            </w:r>
          </w:p>
        </w:tc>
      </w:tr>
      <w:tr>
        <w:tc>
          <w:tcPr>
            <w:tcW w:type="dxa" w:w="2500"/>
            <w:tcBorders>
              <w:top w:val="single" w:color="020617" w:sz="12"/>
              <w:left w:val="single" w:color="020617" w:sz="12"/>
              <w:bottom w:val="single" w:color="020617" w:sz="12"/>
              <w:right w:val="single" w:color="020617" w:sz="12"/>
            </w:tcBorders>
          </w:tcPr>
          <w:p>
            <w:r>
              <w:t xml:space="preserve">Type Mismatches</w:t>
            </w:r>
          </w:p>
        </w:tc>
        <w:tc>
          <w:tcPr>
            <w:tcW w:type="dxa" w:w="1500"/>
            <w:tcBorders>
              <w:top w:val="single" w:color="020617" w:sz="12"/>
              <w:left w:val="single" w:color="020617" w:sz="12"/>
              <w:bottom w:val="single" w:color="020617" w:sz="12"/>
              <w:right w:val="single" w:color="020617" w:sz="12"/>
            </w:tcBorders>
          </w:tcPr>
          <w:p>
            <w:pPr>
              <w:jc w:val="center"/>
            </w:pPr>
            <w:r>
              <w:t xml:space="preserve">Medium</w:t>
            </w:r>
          </w:p>
        </w:tc>
        <w:tc>
          <w:tcPr>
            <w:tcW w:type="dxa" w:w="5360"/>
            <w:tcBorders>
              <w:top w:val="single" w:color="020617" w:sz="12"/>
              <w:left w:val="single" w:color="020617" w:sz="12"/>
              <w:bottom w:val="single" w:color="020617" w:sz="12"/>
              <w:right w:val="single" w:color="020617" w:sz="12"/>
            </w:tcBorders>
          </w:tcPr>
          <w:p>
            <w:r>
              <w:t xml:space="preserve">Confidence scoring; validation against DB schema</w:t>
            </w:r>
          </w:p>
        </w:tc>
      </w:tr>
    </w:tbl>
    <w:p>
      <w:pPr>
        <w:spacing w:after="240" w:before="120"/>
        <w:jc w:val="center"/>
      </w:pPr>
      <w:r>
        <w:rPr>
          <w:i/>
          <w:iCs/>
          <w:color w:val="64748B"/>
          <w:sz w:val="18"/>
          <w:szCs w:val="18"/>
        </w:rPr>
        <w:t xml:space="preserve">Table 4: Risk Assessment Matrix</w:t>
      </w:r>
    </w:p>
    <w:p>
      <w:pPr>
        <w:pStyle w:val="Heading1"/>
      </w:pPr>
      <w:r>
        <w:t xml:space="preserve">8. Success Metrics</w:t>
      </w:r>
    </w:p>
    <w:p>
      <w:pPr>
        <w:spacing w:after="120"/>
      </w:pPr>
      <w:r>
        <w:t xml:space="preserve">The following key performance indicators (KPIs) will be used to measure the success of the SPDLL integration initiative: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000"/>
        <w:gridCol w:w="3860"/>
      </w:tblGrid>
      <w:tr>
        <w:trPr>
          <w:tblHeader/>
        </w:trPr>
        <w:tc>
          <w:tcPr>
            <w:tcW w:type="dxa" w:w="35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Metric</w:t>
            </w:r>
          </w:p>
        </w:tc>
        <w:tc>
          <w:tcPr>
            <w:tcW w:type="dxa" w:w="200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Target</w:t>
            </w:r>
          </w:p>
        </w:tc>
        <w:tc>
          <w:tcPr>
            <w:tcW w:type="dxa" w:w="3860"/>
            <w:tcBorders>
              <w:top w:val="single" w:color="020617" w:sz="12"/>
              <w:left w:val="single" w:color="020617" w:sz="12"/>
              <w:bottom w:val="single" w:color="020617" w:sz="12"/>
              <w:right w:val="single" w:color="020617" w:sz="12"/>
            </w:tcBorders>
            <w:shd w:fill="E0F2FE" w:val="clear"/>
            <w:vAlign w:val="center"/>
          </w:tcPr>
          <w:p>
            <w:pPr>
              <w:jc w:val="center"/>
            </w:pPr>
            <w:r>
              <w:rPr>
                <w:b/>
                <w:bCs/>
                <w:sz w:val="22"/>
                <w:szCs w:val="22"/>
              </w:rPr>
              <w:t xml:space="preserve">Measurement Method</w:t>
            </w:r>
          </w:p>
        </w:tc>
      </w:tr>
      <w:tr>
        <w:tc>
          <w:tcPr>
            <w:tcW w:type="dxa" w:w="3500"/>
            <w:tcBorders>
              <w:top w:val="single" w:color="020617" w:sz="12"/>
              <w:left w:val="single" w:color="020617" w:sz="12"/>
              <w:bottom w:val="single" w:color="020617" w:sz="12"/>
              <w:right w:val="single" w:color="020617" w:sz="12"/>
            </w:tcBorders>
          </w:tcPr>
          <w:p>
            <w:r>
              <w:t xml:space="preserve">SP Field Extraction Accuracy</w:t>
            </w:r>
          </w:p>
        </w:tc>
        <w:tc>
          <w:tcPr>
            <w:tcW w:type="dxa" w:w="2000"/>
            <w:tcBorders>
              <w:top w:val="single" w:color="020617" w:sz="12"/>
              <w:left w:val="single" w:color="020617" w:sz="12"/>
              <w:bottom w:val="single" w:color="020617" w:sz="12"/>
              <w:right w:val="single" w:color="020617" w:sz="12"/>
            </w:tcBorders>
          </w:tcPr>
          <w:p>
            <w:pPr>
              <w:jc w:val="center"/>
            </w:pPr>
            <w:r>
              <w:t xml:space="preserve">≥ 95%</w:t>
            </w:r>
          </w:p>
        </w:tc>
        <w:tc>
          <w:tcPr>
            <w:tcW w:type="dxa" w:w="3860"/>
            <w:tcBorders>
              <w:top w:val="single" w:color="020617" w:sz="12"/>
              <w:left w:val="single" w:color="020617" w:sz="12"/>
              <w:bottom w:val="single" w:color="020617" w:sz="12"/>
              <w:right w:val="single" w:color="020617" w:sz="12"/>
            </w:tcBorders>
          </w:tcPr>
          <w:p>
            <w:r>
              <w:t xml:space="preserve">Manual validation sample</w:t>
            </w:r>
          </w:p>
        </w:tc>
      </w:tr>
      <w:tr>
        <w:tc>
          <w:tcPr>
            <w:tcW w:type="dxa" w:w="3500"/>
            <w:tcBorders>
              <w:top w:val="single" w:color="020617" w:sz="12"/>
              <w:left w:val="single" w:color="020617" w:sz="12"/>
              <w:bottom w:val="single" w:color="020617" w:sz="12"/>
              <w:right w:val="single" w:color="020617" w:sz="12"/>
            </w:tcBorders>
          </w:tcPr>
          <w:p>
            <w:r>
              <w:t xml:space="preserve">CSHTML-SP Correlation Rate</w:t>
            </w:r>
          </w:p>
        </w:tc>
        <w:tc>
          <w:tcPr>
            <w:tcW w:type="dxa" w:w="2000"/>
            <w:tcBorders>
              <w:top w:val="single" w:color="020617" w:sz="12"/>
              <w:left w:val="single" w:color="020617" w:sz="12"/>
              <w:bottom w:val="single" w:color="020617" w:sz="12"/>
              <w:right w:val="single" w:color="020617" w:sz="12"/>
            </w:tcBorders>
          </w:tcPr>
          <w:p>
            <w:pPr>
              <w:jc w:val="center"/>
            </w:pPr>
            <w:r>
              <w:t xml:space="preserve">≥ 90%</w:t>
            </w:r>
          </w:p>
        </w:tc>
        <w:tc>
          <w:tcPr>
            <w:tcW w:type="dxa" w:w="3860"/>
            <w:tcBorders>
              <w:top w:val="single" w:color="020617" w:sz="12"/>
              <w:left w:val="single" w:color="020617" w:sz="12"/>
              <w:bottom w:val="single" w:color="020617" w:sz="12"/>
              <w:right w:val="single" w:color="020617" w:sz="12"/>
            </w:tcBorders>
          </w:tcPr>
          <w:p>
            <w:r>
              <w:t xml:space="preserve">Auto-matched forms to SPs</w:t>
            </w:r>
          </w:p>
        </w:tc>
      </w:tr>
      <w:tr>
        <w:tc>
          <w:tcPr>
            <w:tcW w:type="dxa" w:w="3500"/>
            <w:tcBorders>
              <w:top w:val="single" w:color="020617" w:sz="12"/>
              <w:left w:val="single" w:color="020617" w:sz="12"/>
              <w:bottom w:val="single" w:color="020617" w:sz="12"/>
              <w:right w:val="single" w:color="020617" w:sz="12"/>
            </w:tcBorders>
          </w:tcPr>
          <w:p>
            <w:r>
              <w:t xml:space="preserve">API Generation Success</w:t>
            </w:r>
          </w:p>
        </w:tc>
        <w:tc>
          <w:tcPr>
            <w:tcW w:type="dxa" w:w="2000"/>
            <w:tcBorders>
              <w:top w:val="single" w:color="020617" w:sz="12"/>
              <w:left w:val="single" w:color="020617" w:sz="12"/>
              <w:bottom w:val="single" w:color="020617" w:sz="12"/>
              <w:right w:val="single" w:color="020617" w:sz="12"/>
            </w:tcBorders>
          </w:tcPr>
          <w:p>
            <w:pPr>
              <w:jc w:val="center"/>
            </w:pPr>
            <w:r>
              <w:t xml:space="preserve">≥ 85%</w:t>
            </w:r>
          </w:p>
        </w:tc>
        <w:tc>
          <w:tcPr>
            <w:tcW w:type="dxa" w:w="3860"/>
            <w:tcBorders>
              <w:top w:val="single" w:color="020617" w:sz="12"/>
              <w:left w:val="single" w:color="020617" w:sz="12"/>
              <w:bottom w:val="single" w:color="020617" w:sz="12"/>
              <w:right w:val="single" w:color="020617" w:sz="12"/>
            </w:tcBorders>
          </w:tcPr>
          <w:p>
            <w:r>
              <w:t xml:space="preserve">Compilable generated code</w:t>
            </w:r>
          </w:p>
        </w:tc>
      </w:tr>
      <w:tr>
        <w:tc>
          <w:tcPr>
            <w:tcW w:type="dxa" w:w="3500"/>
            <w:tcBorders>
              <w:top w:val="single" w:color="020617" w:sz="12"/>
              <w:left w:val="single" w:color="020617" w:sz="12"/>
              <w:bottom w:val="single" w:color="020617" w:sz="12"/>
              <w:right w:val="single" w:color="020617" w:sz="12"/>
            </w:tcBorders>
          </w:tcPr>
          <w:p>
            <w:r>
              <w:t xml:space="preserve">Business Rule Coverage</w:t>
            </w:r>
          </w:p>
        </w:tc>
        <w:tc>
          <w:tcPr>
            <w:tcW w:type="dxa" w:w="2000"/>
            <w:tcBorders>
              <w:top w:val="single" w:color="020617" w:sz="12"/>
              <w:left w:val="single" w:color="020617" w:sz="12"/>
              <w:bottom w:val="single" w:color="020617" w:sz="12"/>
              <w:right w:val="single" w:color="020617" w:sz="12"/>
            </w:tcBorders>
          </w:tcPr>
          <w:p>
            <w:pPr>
              <w:jc w:val="center"/>
            </w:pPr>
            <w:r>
              <w:t xml:space="preserve">≥ 80%</w:t>
            </w:r>
          </w:p>
        </w:tc>
        <w:tc>
          <w:tcPr>
            <w:tcW w:type="dxa" w:w="3860"/>
            <w:tcBorders>
              <w:top w:val="single" w:color="020617" w:sz="12"/>
              <w:left w:val="single" w:color="020617" w:sz="12"/>
              <w:bottom w:val="single" w:color="020617" w:sz="12"/>
              <w:right w:val="single" w:color="020617" w:sz="12"/>
            </w:tcBorders>
          </w:tcPr>
          <w:p>
            <w:r>
              <w:t xml:space="preserve">Extracted vs. documented rules</w:t>
            </w:r>
          </w:p>
        </w:tc>
      </w:tr>
      <w:tr>
        <w:tc>
          <w:tcPr>
            <w:tcW w:type="dxa" w:w="3500"/>
            <w:tcBorders>
              <w:top w:val="single" w:color="020617" w:sz="12"/>
              <w:left w:val="single" w:color="020617" w:sz="12"/>
              <w:bottom w:val="single" w:color="020617" w:sz="12"/>
              <w:right w:val="single" w:color="020617" w:sz="12"/>
            </w:tcBorders>
          </w:tcPr>
          <w:p>
            <w:r>
              <w:t xml:space="preserve">Migration Time Reduction</w:t>
            </w:r>
          </w:p>
        </w:tc>
        <w:tc>
          <w:tcPr>
            <w:tcW w:type="dxa" w:w="2000"/>
            <w:tcBorders>
              <w:top w:val="single" w:color="020617" w:sz="12"/>
              <w:left w:val="single" w:color="020617" w:sz="12"/>
              <w:bottom w:val="single" w:color="020617" w:sz="12"/>
              <w:right w:val="single" w:color="020617" w:sz="12"/>
            </w:tcBorders>
          </w:tcPr>
          <w:p>
            <w:pPr>
              <w:jc w:val="center"/>
            </w:pPr>
            <w:r>
              <w:t xml:space="preserve">≥ 60%</w:t>
            </w:r>
          </w:p>
        </w:tc>
        <w:tc>
          <w:tcPr>
            <w:tcW w:type="dxa" w:w="3860"/>
            <w:tcBorders>
              <w:top w:val="single" w:color="020617" w:sz="12"/>
              <w:left w:val="single" w:color="020617" w:sz="12"/>
              <w:bottom w:val="single" w:color="020617" w:sz="12"/>
              <w:right w:val="single" w:color="020617" w:sz="12"/>
            </w:tcBorders>
          </w:tcPr>
          <w:p>
            <w:r>
              <w:t xml:space="preserve">Comparison with manual effort</w:t>
            </w:r>
          </w:p>
        </w:tc>
      </w:tr>
    </w:tbl>
    <w:p>
      <w:pPr>
        <w:spacing w:after="240" w:before="120"/>
        <w:jc w:val="center"/>
      </w:pPr>
      <w:r>
        <w:rPr>
          <w:i/>
          <w:iCs/>
          <w:color w:val="64748B"/>
          <w:sz w:val="18"/>
          <w:szCs w:val="18"/>
        </w:rPr>
        <w:t xml:space="preserve">Table 5: Success Metrics and Targets</w:t>
      </w:r>
    </w:p>
    <w:p>
      <w:pPr>
        <w:pStyle w:val="Heading1"/>
      </w:pPr>
      <w:r>
        <w:t xml:space="preserve">9. Recommended Next Steps</w:t>
      </w:r>
    </w:p>
    <w:p>
      <w:pPr>
        <w:spacing w:after="120"/>
      </w:pPr>
      <w:r>
        <w:t xml:space="preserve">Based on the analysis and strategic planning outlined in this document, the following immediate next steps are recommended to initiate the SPDLL integration:</w:t>
      </w:r>
    </w:p>
    <w:p>
      <w:pPr>
        <w:pStyle w:val="ListParagraph"/>
        <w:numPr>
          <w:ilvl w:val="0"/>
          <w:numId w:val="2"/>
        </w:numPr>
      </w:pPr>
      <w:r>
        <w:rPr>
          <w:b/>
          <w:bCs/>
        </w:rPr>
        <w:t xml:space="preserve">Review and Approval: </w:t>
      </w:r>
      <w:r>
        <w:t xml:space="preserve">Stakeholder review of this strategic plan and resource allocation approval</w:t>
      </w:r>
    </w:p>
    <w:p>
      <w:pPr>
        <w:pStyle w:val="ListParagraph"/>
        <w:numPr>
          <w:ilvl w:val="0"/>
          <w:numId w:val="2"/>
        </w:numPr>
      </w:pPr>
      <w:r>
        <w:rPr>
          <w:b/>
          <w:bCs/>
        </w:rPr>
        <w:t xml:space="preserve">Sample Data Collection: </w:t>
      </w:r>
      <w:r>
        <w:t xml:space="preserve">Gather representative SP scripts and DLL files from the legacy system</w:t>
      </w:r>
    </w:p>
    <w:p>
      <w:pPr>
        <w:pStyle w:val="ListParagraph"/>
        <w:numPr>
          <w:ilvl w:val="0"/>
          <w:numId w:val="2"/>
        </w:numPr>
      </w:pPr>
      <w:r>
        <w:rPr>
          <w:b/>
          <w:bCs/>
        </w:rPr>
        <w:t xml:space="preserve">Environment Setup: </w:t>
      </w:r>
      <w:r>
        <w:t xml:space="preserve">Configure SQL Server connection for production SP analysis (beyond SQLite dev environment)</w:t>
      </w:r>
    </w:p>
    <w:p>
      <w:pPr>
        <w:pStyle w:val="ListParagraph"/>
        <w:numPr>
          <w:ilvl w:val="0"/>
          <w:numId w:val="2"/>
        </w:numPr>
      </w:pPr>
      <w:r>
        <w:rPr>
          <w:b/>
          <w:bCs/>
        </w:rPr>
        <w:t xml:space="preserve">Sprint Planning: </w:t>
      </w:r>
      <w:r>
        <w:t xml:space="preserve">Create detailed sprint backlog for Phase 1 implementation tasks</w:t>
      </w:r>
    </w:p>
    <w:p>
      <w:pPr>
        <w:pStyle w:val="ListParagraph"/>
        <w:numPr>
          <w:ilvl w:val="0"/>
          <w:numId w:val="2"/>
        </w:numPr>
      </w:pPr>
      <w:r>
        <w:rPr>
          <w:b/>
          <w:bCs/>
        </w:rPr>
        <w:t xml:space="preserve">Pilot Module Selection: </w:t>
      </w:r>
      <w:r>
        <w:t xml:space="preserve">Identify a single module (e.g., Organization) for end-to-end pilot migration</w:t>
      </w:r>
    </w:p>
    <w:p>
      <w:pPr>
        <w:pStyle w:val="ListParagraph"/>
        <w:numPr>
          <w:ilvl w:val="0"/>
          <w:numId w:val="2"/>
        </w:numPr>
        <w:spacing w:after="120"/>
      </w:pPr>
      <w:r>
        <w:rPr>
          <w:b/>
          <w:bCs/>
        </w:rPr>
        <w:t xml:space="preserve">Baseline Establishment: </w:t>
      </w:r>
      <w:r>
        <w:t xml:space="preserve">Document current manual migration effort metrics for comparison</w:t>
      </w:r>
    </w:p>
    <w:p>
      <w:pPr>
        <w:spacing w:after="120" w:before="240"/>
      </w:pPr>
      <w:r>
        <w:t xml:space="preserve">Upon completion of these preparatory steps, the team will be positioned to begin Phase 1 implementation with clear objectives, measurable targets, and a validated technical approach.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SPDLL Strategic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2026-03-14T01:12:02.171Z</dcterms:created>
  <dcterms:modified xsi:type="dcterms:W3CDTF">2026-03-14T01:12:02.171Z</dcterms:modified>
</cp:coreProperties>
</file>

<file path=docProps/custom.xml><?xml version="1.0" encoding="utf-8"?>
<Properties xmlns="http://schemas.openxmlformats.org/officeDocument/2006/custom-properties" xmlns:vt="http://schemas.openxmlformats.org/officeDocument/2006/docPropsVTypes"/>
</file>