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Style w:val="Title"/>
        <w:jc w:val="center"/>
      </w:pPr>
      <w:r>
        <w:rPr>
          <w:b/>
          <w:bCs/>
          <w:color w:val="020617"/>
          <w:sz w:val="72"/>
          <w:szCs w:val="72"/>
        </w:rPr>
        <w:t xml:space="preserve">CSHTML Intelligence</w:t>
      </w:r>
    </w:p>
    <w:p>
      <w:pPr>
        <w:spacing w:before="200"/>
        <w:jc w:val="center"/>
      </w:pPr>
      <w:r>
        <w:rPr>
          <w:color w:val="64748B"/>
          <w:sz w:val="36"/>
          <w:szCs w:val="36"/>
        </w:rPr>
        <w:t xml:space="preserve">Complete Extraction &amp; Reverse Engineering Reference</w:t>
      </w:r>
    </w:p>
    <w:p>
      <w:pPr>
        <w:spacing w:before="600"/>
        <w:jc w:val="center"/>
      </w:pPr>
      <w:r>
        <w:rPr>
          <w:color w:val="94A3B8"/>
          <w:sz w:val="28"/>
          <w:szCs w:val="28"/>
        </w:rPr>
        <w:t xml:space="preserve">A Comprehensive 21-Dimension Analysis Framework</w:t>
      </w:r>
    </w:p>
    <w:p>
      <w:pPr>
        <w:spacing w:before="2000"/>
      </w:pPr>
    </w:p>
    <w:p>
      <w:pPr>
        <w:jc w:val="center"/>
      </w:pPr>
      <w:r>
        <w:rPr>
          <w:color w:val="94A3B8"/>
          <w:sz w:val="24"/>
          <w:szCs w:val="24"/>
        </w:rPr>
        <w:t xml:space="preserve">Multi-Agent Architecture • Semantic Intelligence • Code Generation</w:t>
      </w:r>
    </w:p>
    <w:p>
      <w:pPr>
        <w:spacing w:before="4000"/>
      </w:pPr>
    </w:p>
    <w:p>
      <w:pPr>
        <w:jc w:val="center"/>
      </w:pPr>
      <w:r>
        <w:rPr>
          <w:color w:val="64748B"/>
          <w:sz w:val="20"/>
          <w:szCs w:val="20"/>
        </w:rPr>
        <w:t xml:space="preserve">Generated: 2026-03-14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Executive Summary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Part 1: The 21-Dimension Intelligence Framework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Dimension 1: Page Metadata Intelligence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Dimension 2: Form Intelligence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Dimension 3: Field Intelligence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Dimension 4: Database Schema Inference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Part 2: Column Intelligence Engine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Tier 1: Data Type Based Inference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Tier 2: Name Pattern Based Inference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Part 3: API Endpoint Intelligence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Part 4: Business Rule Intelligence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Part 5: Validation Intelligence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Part 6: Multi-Agent Architecture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Part 7: Stored Procedure Intelligence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Part 8: Strategic Implementation Recommendations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Conclusion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Right-click and select 'Update Field' to refresh page numbers</w:t>
      </w:r>
    </w:p>
    <w:p>
      <w:r>
        <w:br w:type="page"/>
      </w:r>
    </w:p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line="250"/>
      </w:pPr>
      <w:r>
        <w:t xml:space="preserve">This document consolidates comprehensive intelligence extraction methodology for ASP.NET CSHTML/Razor views, enabling automated reverse engineering of legacy enterprise applications into modern technology stacks.</w:t>
      </w:r>
    </w:p>
    <w:p>
      <w:pPr>
        <w:spacing w:before="200" w:line="250"/>
      </w:pPr>
      <w:r>
        <w:t xml:space="preserve">The framework extracts 350+ intelligence points across 21 dimensions, transforming static view files into actionable development artifacts including database schemas, API specifications, UI components, and test suites.</w:t>
      </w:r>
    </w:p>
    <w:p>
      <w:r>
        <w:br w:type="page"/>
      </w:r>
    </w:p>
    <w:p>
      <w:pPr>
        <w:pStyle w:val="Heading1"/>
      </w:pPr>
      <w:r>
        <w:t xml:space="preserve">Part 1: The 21-Dimension Intelligence Framework</w:t>
      </w:r>
    </w:p>
    <w:p>
      <w:pPr>
        <w:spacing w:line="250"/>
      </w:pPr>
      <w:r>
        <w:t xml:space="preserve">Each dimension captures a specific category of intelligence from CSHTML files, producing structured metadata suitable for code generation, documentation, and project planning.</w:t>
      </w:r>
    </w:p>
    <w:p>
      <w:pPr>
        <w:pStyle w:val="Heading2"/>
      </w:pPr>
      <w:r>
        <w:t xml:space="preserve">Dimension 1: Page Metadata Intelligence</w:t>
      </w:r>
    </w:p>
    <w:p>
      <w:pPr>
        <w:spacing w:line="250"/>
      </w:pPr>
      <w:r>
        <w:t xml:space="preserve">Extracts fundamental page-level information including view model bindings, layout references, controller associations, and permission requirements.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Metadata Field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Extraction Method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View Model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@model Directive → DTOPermission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Page Title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ViewBag.Title = 'Organization'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Layout Template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Layout = '~/Views/Shared/_Default.cshtml'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Controller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Html.BeginForm('Organization', 'Organization')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Form Method</w:t>
            </w:r>
          </w:p>
        </w:tc>
        <w:tc>
          <w:tcPr>
            <w:tcW w:type="dxa" w:w="6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FormMethod.Post, enctype='multipart/form-data'</w:t>
            </w:r>
          </w:p>
        </w:tc>
      </w:tr>
    </w:tbl>
    <w:p>
      <w:pPr>
        <w:spacing w:before="100"/>
      </w:pPr>
      <w:r>
        <w:rPr>
          <w:i/>
          <w:iCs/>
          <w:color w:val="64748B"/>
          <w:sz w:val="18"/>
          <w:szCs w:val="18"/>
        </w:rPr>
        <w:t xml:space="preserve">Table 1: Page Metadata Extraction Examples</w:t>
      </w:r>
    </w:p>
    <w:p>
      <w:pPr>
        <w:pStyle w:val="Heading2"/>
      </w:pPr>
      <w:r>
        <w:t xml:space="preserve">Dimension 2: Form Intelligence</w:t>
      </w:r>
    </w:p>
    <w:p>
      <w:pPr>
        <w:spacing w:line="250"/>
      </w:pPr>
      <w:r>
        <w:t xml:space="preserve">Comprehensive form analysis including nested forms, submission targets, and multi-form coordination patterns.</w:t>
      </w:r>
    </w:p>
    <w:p>
      <w:pPr>
        <w:pStyle w:val="Heading3"/>
      </w:pPr>
      <w:r>
        <w:t xml:space="preserve">Create Form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Intelligence Impact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Form ID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OrganizationForm</w:t>
            </w:r>
          </w:p>
        </w:tc>
        <w:tc>
          <w:tcPr>
            <w:tcW w:type="dxa" w:w="4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JavaScript validation binding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Action URL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/Organization/InsertOrganization</w:t>
            </w:r>
          </w:p>
        </w:tc>
        <w:tc>
          <w:tcPr>
            <w:tcW w:type="dxa" w:w="4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API endpoint generation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Enctype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multipart/form-data</w:t>
            </w:r>
          </w:p>
        </w:tc>
        <w:tc>
          <w:tcPr>
            <w:tcW w:type="dxa" w:w="4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File upload support required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Default Button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SubmitOrganization</w:t>
            </w:r>
          </w:p>
        </w:tc>
        <w:tc>
          <w:tcPr>
            <w:tcW w:type="dxa" w:w="436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Form submission trigger mapping</w:t>
            </w:r>
          </w:p>
        </w:tc>
      </w:tr>
    </w:tbl>
    <w:p>
      <w:pPr>
        <w:pStyle w:val="Heading2"/>
      </w:pPr>
      <w:r>
        <w:t xml:space="preserve">Dimension 3: Field Intelligence</w:t>
      </w:r>
    </w:p>
    <w:p>
      <w:pPr>
        <w:spacing w:line="250"/>
      </w:pPr>
      <w:r>
        <w:t xml:space="preserve">Each input field is analyzed for semantic type, validation requirements, and UI component mapping. The extraction yields 22 create form fields and 14 update form fields.</w:t>
      </w:r>
    </w:p>
    <w:p>
      <w:pPr>
        <w:pStyle w:val="Heading3"/>
      </w:pPr>
      <w:r>
        <w:t xml:space="preserve">Create Form Fields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0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Field 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MaxLen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OrganizationTypeId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OrganizationTypeId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orgEmail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UAN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UAN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TelNo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telno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CellNoOne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cellnoone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CountryId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CountryId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ProvinceId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ProvinceId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Dimension 4: Database Schema Inference</w:t>
      </w:r>
    </w:p>
    <w:p>
      <w:pPr>
        <w:spacing w:line="250"/>
      </w:pPr>
      <w:r>
        <w:t xml:space="preserve">From the CSHTML field analysis, database schema is inferred including primary keys, foreign keys, data types, and constraints.</w:t>
      </w:r>
    </w:p>
    <w:p>
      <w:pPr>
        <w:pStyle w:val="Heading3"/>
      </w:pPr>
      <w:r>
        <w:t xml:space="preserve">Primary Table: Organization</w:t>
      </w:r>
    </w:p>
    <w:p>
      <w:pPr>
        <w:spacing w:before="100" w:line="250"/>
      </w:pPr>
      <w:r>
        <w:rPr>
          <w:i/>
          <w:iCs/>
          <w:color w:val="64748B"/>
        </w:rPr>
        <w:t xml:space="preserve">Key Inference: ID type = UNIQUEIDENTIFIER based on JavaScript evidence: organizationId: '@Guid.Empty'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1800"/>
        <w:gridCol w:w="2000"/>
        <w:gridCol w:w="1200"/>
        <w:gridCol w:w="12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NEWID()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NVARCHAR(2)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OrganizationTypeId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OrganizationTypes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CountryId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Countries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Column Intelligence Engine</w:t>
      </w:r>
    </w:p>
    <w:p>
      <w:pPr>
        <w:spacing w:line="250"/>
      </w:pPr>
      <w:r>
        <w:t xml:space="preserve">The Column Intelligence Engine provides 4-tier semantic type inference from SQL column definitions and naming patterns.</w:t>
      </w:r>
    </w:p>
    <w:p>
      <w:pPr>
        <w:pStyle w:val="Heading2"/>
      </w:pPr>
      <w:r>
        <w:t xml:space="preserve">Tier 1: Data Type Based Inference (100% Reliable)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SQL Type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UI Component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BIT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Toggle / Checkbox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Boolean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INT / BIGINT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Number Input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Integer only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DECIMAL / MONEY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Currency Input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2 decimal places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DATETIME / DATE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Date Picker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Date format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UNIQUEIDENTIFIER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Hidden / Auto-generated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UUID format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NVARCHAR(MAX)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Textarea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Max length</w:t>
            </w:r>
          </w:p>
        </w:tc>
      </w:tr>
    </w:tbl>
    <w:p>
      <w:pPr>
        <w:pStyle w:val="Heading2"/>
      </w:pPr>
      <w:r>
        <w:t xml:space="preserve">Tier 2: Name Pattern Based Inference (90% Reliable)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500"/>
        <w:gridCol w:w="2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Pattern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Inferred Type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UI Component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Email Input + validation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Shows @ keyboard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Password, Pin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Password Input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Never display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Phone, Cell, Tel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Phone Input + mask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Country aware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IsActive, Is*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Boolean Flag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Filter-worthy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Name, Title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Primary field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*Id (FK)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Dropdown / Search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From referenced table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Amount, Price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Right-aligned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API Endpoint Intelligence</w:t>
      </w:r>
    </w:p>
    <w:p>
      <w:pPr>
        <w:spacing w:line="250"/>
      </w:pPr>
      <w:r>
        <w:t xml:space="preserve">API endpoints are derived from form actions, AJAX calls, and stored procedure analysis.</w:t>
      </w:r>
    </w:p>
    <w:p>
      <w:pPr>
        <w:pStyle w:val="Heading2"/>
      </w:pPr>
      <w:r>
        <w:t xml:space="preserve">Detected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00"/>
        <w:gridCol w:w="2000"/>
        <w:gridCol w:w="4000"/>
        <w:gridCol w:w="2900"/>
      </w:tblGrid>
      <w:tr>
        <w:trPr>
          <w:tblHeader/>
        </w:trP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/Organization/InsertOrganization/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 organization + admin user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/Organization/UpdateOrganization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 organization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/Organization/GetOrganizations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all organizations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/Organization/GetStateOrProvinces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 provinces by country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/Organization/GetCities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 cities by province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/Organization/CheckOrganizationAvailibility/</w:t>
            </w:r>
          </w:p>
        </w:tc>
        <w:tc>
          <w:tcPr>
            <w:tcW w:type="dxa" w:w="29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Validate name uniqueness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Business Rule Intelligence</w:t>
      </w:r>
    </w:p>
    <w:p>
      <w:pPr>
        <w:spacing w:line="250"/>
      </w:pPr>
      <w:r>
        <w:t xml:space="preserve">Business rules are extracted from validation logic, stored procedures, and UI workflow patterns.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00"/>
        <w:gridCol w:w="3500"/>
        <w:gridCol w:w="5400"/>
      </w:tblGrid>
      <w:tr>
        <w:trPr>
          <w:tblHeader/>
        </w:trP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Business Rule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Organization Code must be exactly 2 digits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minlength='2' maxlength='2'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Organization Code cannot be changed after creation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readonly on update form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Organization Name is unique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Remote validation + error codes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user created with organization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 AJAX creates both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uniqueness enforced server-side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 code -1 returned</w:t>
            </w:r>
          </w:p>
        </w:tc>
      </w:tr>
      <w:tr>
        <w:tc>
          <w:tcPr>
            <w:tcW w:type="dxa" w:w="6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delete pattern (IsActive)</w:t>
            </w:r>
          </w:p>
        </w:tc>
        <w:tc>
          <w:tcPr>
            <w:tcW w:type="dxa" w:w="54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IsDeleted=0 in SP queries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Validation Intelligence</w:t>
      </w:r>
    </w:p>
    <w:p>
      <w:pPr>
        <w:spacing w:line="250"/>
      </w:pPr>
      <w:r>
        <w:t xml:space="preserve">34 validation rules extracted from bootstrapValidator configuration, HTML attributes, and server-side error codes.</w:t>
      </w:r>
    </w:p>
    <w:p>
      <w:pPr>
        <w:pStyle w:val="Heading2"/>
      </w:pPr>
      <w:r>
        <w:t xml:space="preserve">Validation Matrix Sample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1800"/>
        <w:gridCol w:w="35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Validator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Rule/Pattern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notEmpty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Enter Organization Code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digits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Numbers only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Only digits allowed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AJAX uniqueness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Code Already Exists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regexp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^[A-Za-z0-9_./#&amp;+-:"()]+$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Invalid characters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regexp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Email pattern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Valid Email required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User.password</w:t>
            </w:r>
          </w:p>
        </w:tc>
        <w:tc>
          <w:tcPr>
            <w:tcW w:type="dxa" w:w="18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identical</w:t>
            </w:r>
          </w:p>
        </w:tc>
        <w:tc>
          <w:tcPr>
            <w:tcW w:type="dxa" w:w="3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Match confirmpassword</w:t>
            </w:r>
          </w:p>
        </w:tc>
        <w:tc>
          <w:tcPr>
            <w:tcW w:type="dxa" w:w="22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sz w:val="18"/>
                <w:szCs w:val="18"/>
              </w:rPr>
              <w:t xml:space="preserve">Passwords don't match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6: Multi-Agent Architecture</w:t>
      </w:r>
    </w:p>
    <w:p>
      <w:pPr>
        <w:spacing w:line="250"/>
      </w:pPr>
      <w:r>
        <w:t xml:space="preserve">The platform uses a hierarchical agent system where specialized agents collaborate through shared context and message-based communication.</w:t>
      </w:r>
    </w:p>
    <w:p>
      <w:pPr>
        <w:pStyle w:val="Heading2"/>
      </w:pPr>
      <w:r>
        <w:t xml:space="preserve">Agent Hierarchy</w:t>
      </w:r>
    </w:p>
    <w:p>
      <w:pPr>
        <w:spacing w:before="100" w:line="250"/>
      </w:pPr>
      <w:r>
        <w:t xml:space="preserve">Orchestrator (Master Agent) coordinates three layers: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Schema Layer: </w:t>
      </w:r>
      <w:r>
        <w:t xml:space="preserve">SQL Parser, SP Parser, View Analyzer, CSHTML Parser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Intelligence Layer: </w:t>
      </w:r>
      <w:r>
        <w:t xml:space="preserve">Column Intelligence, FK Resolver, Dependency Graph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Generation Layer: </w:t>
      </w:r>
      <w:r>
        <w:t xml:space="preserve">Prisma, API, Screen, Test, Documentation generators</w:t>
      </w:r>
    </w:p>
    <w:p>
      <w:pPr>
        <w:pStyle w:val="Heading2"/>
      </w:pPr>
      <w:r>
        <w:t xml:space="preserve">Agent Communication Protocol</w:t>
      </w:r>
    </w:p>
    <w:p>
      <w:pPr>
        <w:spacing w:line="250"/>
      </w:pPr>
      <w:r>
        <w:t xml:space="preserve">Agents communicate through a shared context object, never directly. The orchestrator decides execution order based on dependencies.</w:t>
      </w:r>
    </w:p>
    <w:p>
      <w:r>
        <w:br w:type="page"/>
      </w:r>
    </w:p>
    <w:p>
      <w:pPr>
        <w:pStyle w:val="Heading1"/>
      </w:pPr>
      <w:r>
        <w:t xml:space="preserve">Part 7: Stored Procedure Intelligence</w:t>
      </w:r>
    </w:p>
    <w:p>
      <w:pPr>
        <w:spacing w:line="250"/>
      </w:pPr>
      <w:r>
        <w:t xml:space="preserve">Stored procedures reveal behavior and business logic that table DDL alone cannot capture. The SP parser extracts parameters, table access patterns, and workflow sequences.</w:t>
      </w:r>
    </w:p>
    <w:p>
      <w:pPr>
        <w:pStyle w:val="Heading2"/>
      </w:pPr>
      <w:r>
        <w:t xml:space="preserve">SP Naming Pattern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Inferred Operation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Generates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SP_DDL_*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Dropdown/Lookup data source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React &lt;Select&gt; component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SP_Get* / SP_Fetch*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Read/Query operation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List/Detail page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SP_Add* / SP_Create*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Create operation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Create form + API POST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SP_Update* / SP_Save*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Update operation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Edit form + API PUT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SP_Delete*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Delete operation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Delete confirmation</w:t>
            </w:r>
          </w:p>
        </w:tc>
      </w:tr>
      <w:tr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SP_Report*</w:t>
            </w:r>
          </w:p>
        </w:tc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Reporting query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Report page + export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8: Strategic Implementation Recommendations</w:t>
      </w:r>
    </w:p>
    <w:p>
      <w:pPr>
        <w:pStyle w:val="Heading2"/>
      </w:pPr>
      <w:r>
        <w:t xml:space="preserve">Build Order (Revised)</w:t>
      </w:r>
    </w:p>
    <w:p>
      <w:pPr>
        <w:spacing w:line="250"/>
      </w:pPr>
      <w:r>
        <w:t xml:space="preserve">Based on maximum user value delivery: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b/>
          <w:bCs/>
        </w:rPr>
        <w:t xml:space="preserve">Column Intelligence Engine</w:t>
      </w:r>
      <w:r>
        <w:t xml:space="preserve"> — THE differentiator, no other tool does this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b/>
          <w:bCs/>
        </w:rPr>
        <w:t xml:space="preserve">Screen Blueprint Generator</w:t>
      </w:r>
      <w:r>
        <w:t xml:space="preserve"> — time-saver, demo-worthy feature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b/>
          <w:bCs/>
        </w:rPr>
        <w:t xml:space="preserve">AI Question Engine</w:t>
      </w:r>
      <w:r>
        <w:t xml:space="preserve"> — engagement driver, makes tool feel intelligent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b/>
          <w:bCs/>
        </w:rPr>
        <w:t xml:space="preserve">Stored Procedure Parser</w:t>
      </w:r>
      <w:r>
        <w:t xml:space="preserve"> — highest value-add for migration scenarios</w:t>
      </w:r>
    </w:p>
    <w:p>
      <w:pPr>
        <w:pStyle w:val="Heading2"/>
      </w:pPr>
      <w:r>
        <w:t xml:space="preserve">Offline-First Architecture</w:t>
      </w:r>
    </w:p>
    <w:p>
      <w:pPr>
        <w:spacing w:line="250"/>
      </w:pPr>
      <w:r>
        <w:t xml:space="preserve">90% of 'AI' features are actually rule-based pattern matching and can work 100% offline. This is a competitive advantage for healthcare, government, and enterprise clients with data sensitivity concerns.</w:t>
      </w:r>
    </w:p>
    <w:p>
      <w:pPr>
        <w:pStyle w:val="Heading3"/>
      </w:pPr>
      <w:r>
        <w:t xml:space="preserve">Feature Offline Compatibility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25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Needs LLM?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Reality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SQL Parser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No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Pure regex pattern matching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Column Intelligence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No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Rules-based inference engine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ERD Generator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No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Mermaid template generation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Prisma Generator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No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Template transformation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Screen Blueprint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Optional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95% rules, LLM optional</w:t>
            </w:r>
          </w:p>
        </w:tc>
      </w:tr>
      <w:tr>
        <w:tc>
          <w:tcPr>
            <w:tcW w:type="dxa" w:w="4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User Story Generator</w:t>
            </w:r>
          </w:p>
        </w:tc>
        <w:tc>
          <w:tcPr>
            <w:tcW w:type="dxa" w:w="25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Optional</w:t>
            </w:r>
          </w:p>
        </w:tc>
        <w:tc>
          <w:tcPr>
            <w:tcW w:type="dxa" w:w="300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Template expansion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line="250"/>
      </w:pPr>
      <w:r>
        <w:t xml:space="preserve">This comprehensive intelligence extraction framework enables automated reverse engineering of legacy ASP.NET applications into modern technology stacks. The 21-dimension analysis produces 350+ intelligence points, transforming static view files into actionable development artifacts.</w:t>
      </w:r>
    </w:p>
    <w:p>
      <w:pPr>
        <w:spacing w:before="200" w:line="250"/>
      </w:pPr>
      <w:r>
        <w:t xml:space="preserve">Key differentiators of this approach: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Multi-source analysis: </w:t>
      </w:r>
      <w:r>
        <w:t xml:space="preserve">SQL + SPs + Views + CSHTML → unified intelligence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Semantic understanding: </w:t>
      </w:r>
      <w:r>
        <w:t xml:space="preserve">Not just structure, but meaning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Offline-first: </w:t>
      </w:r>
      <w:r>
        <w:t xml:space="preserve">85% of features work without AI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b/>
          <w:bCs/>
        </w:rPr>
        <w:t xml:space="preserve">Enterprise-ready: </w:t>
      </w:r>
      <w:r>
        <w:t xml:space="preserve">Healthcare compliance, multi-tenant architecture</w:t>
      </w:r>
    </w:p>
    <w:p>
      <w:pPr>
        <w:spacing w:before="200" w:line="250"/>
      </w:pPr>
      <w:r>
        <w:rPr>
          <w:i/>
          <w:iCs/>
          <w:color w:val="64748B"/>
        </w:rPr>
        <w:t xml:space="preserve">The system transforms legacy codebases from liabilities into documented, understood, and migratable assets.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CSHTML Intelligence -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2026-03-14T00:34:15.216Z</dcterms:created>
  <dcterms:modified xsi:type="dcterms:W3CDTF">2026-03-14T00:34:15.216Z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