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F605" w14:textId="77777777" w:rsidR="009654BD" w:rsidRDefault="00000000">
      <w:pPr>
        <w:pStyle w:val="Title"/>
        <w:spacing w:after="80"/>
      </w:pPr>
      <w:r>
        <w:rPr>
          <w:sz w:val="44"/>
        </w:rPr>
        <w:t>BAT Management Reporting Framework</w:t>
      </w:r>
    </w:p>
    <w:p w14:paraId="306212C8" w14:textId="77777777" w:rsidR="009654BD" w:rsidRDefault="00000000">
      <w:pPr>
        <w:spacing w:after="80"/>
      </w:pPr>
      <w:r>
        <w:rPr>
          <w:color w:val="5B5FC7"/>
          <w:sz w:val="28"/>
        </w:rPr>
        <w:t>Region Atlas monthly management performance reporting (synthetic)</w:t>
      </w:r>
    </w:p>
    <w:p w14:paraId="3D774AE3" w14:textId="77777777" w:rsidR="009654BD" w:rsidRDefault="00000000">
      <w:pPr>
        <w:spacing w:after="80"/>
      </w:pPr>
      <w:r>
        <w:rPr>
          <w:color w:val="666B7A"/>
          <w:sz w:val="21"/>
        </w:rPr>
        <w:t>Primary framework | Owner: Priya Venn (fictional), Head of Performance Reporting</w:t>
      </w:r>
    </w:p>
    <w:tbl>
      <w:tblPr>
        <w:tblStyle w:val="TableGrid"/>
        <w:tblW w:w="0" w:type="auto"/>
        <w:jc w:val="center"/>
        <w:tblLook w:val="04A0" w:firstRow="1" w:lastRow="0" w:firstColumn="1" w:lastColumn="0" w:noHBand="0" w:noVBand="1"/>
      </w:tblPr>
      <w:tblGrid>
        <w:gridCol w:w="10368"/>
      </w:tblGrid>
      <w:tr w:rsidR="009654BD" w14:paraId="7AF3BB48" w14:textId="77777777">
        <w:trPr>
          <w:jc w:val="center"/>
        </w:trPr>
        <w:tc>
          <w:tcPr>
            <w:tcW w:w="10368" w:type="dxa"/>
            <w:shd w:val="clear" w:color="auto" w:fill="5B5FC7"/>
            <w:vAlign w:val="center"/>
          </w:tcPr>
          <w:p w14:paraId="2480C434" w14:textId="77777777" w:rsidR="009654BD" w:rsidRDefault="00000000">
            <w:r>
              <w:rPr>
                <w:b/>
                <w:color w:val="FFFFFF"/>
                <w:sz w:val="16"/>
              </w:rPr>
              <w:t>SYNTHETIC CIE TRAINING MATERIAL - Not official BAT information, policy, employee data, process, or findings.</w:t>
            </w:r>
          </w:p>
        </w:tc>
      </w:tr>
    </w:tbl>
    <w:p w14:paraId="7364A26D" w14:textId="77777777" w:rsidR="009654BD" w:rsidRDefault="009654BD"/>
    <w:p w14:paraId="76B837BD" w14:textId="77777777" w:rsidR="009654BD" w:rsidRDefault="00000000">
      <w:pPr>
        <w:pStyle w:val="Heading2"/>
        <w:spacing w:after="80"/>
      </w:pPr>
      <w:r>
        <w:t>Document control</w:t>
      </w:r>
    </w:p>
    <w:tbl>
      <w:tblPr>
        <w:tblStyle w:val="TableGrid"/>
        <w:tblW w:w="0" w:type="auto"/>
        <w:jc w:val="center"/>
        <w:tblLook w:val="04A0" w:firstRow="1" w:lastRow="0" w:firstColumn="1" w:lastColumn="0" w:noHBand="0" w:noVBand="1"/>
      </w:tblPr>
      <w:tblGrid>
        <w:gridCol w:w="5184"/>
        <w:gridCol w:w="5184"/>
      </w:tblGrid>
      <w:tr w:rsidR="009654BD" w14:paraId="5AF7D1DB" w14:textId="77777777">
        <w:trPr>
          <w:jc w:val="center"/>
        </w:trPr>
        <w:tc>
          <w:tcPr>
            <w:tcW w:w="5184" w:type="dxa"/>
            <w:shd w:val="clear" w:color="auto" w:fill="5B5FC7"/>
            <w:vAlign w:val="center"/>
          </w:tcPr>
          <w:p w14:paraId="143F4F84" w14:textId="77777777" w:rsidR="009654BD" w:rsidRDefault="00000000">
            <w:r>
              <w:rPr>
                <w:b/>
                <w:color w:val="FFFFFF"/>
                <w:sz w:val="16"/>
              </w:rPr>
              <w:t>Field</w:t>
            </w:r>
          </w:p>
        </w:tc>
        <w:tc>
          <w:tcPr>
            <w:tcW w:w="5184" w:type="dxa"/>
            <w:shd w:val="clear" w:color="auto" w:fill="5B5FC7"/>
            <w:vAlign w:val="center"/>
          </w:tcPr>
          <w:p w14:paraId="5BDA262F" w14:textId="77777777" w:rsidR="009654BD" w:rsidRDefault="00000000">
            <w:r>
              <w:rPr>
                <w:b/>
                <w:color w:val="FFFFFF"/>
                <w:sz w:val="16"/>
              </w:rPr>
              <w:t>Value</w:t>
            </w:r>
          </w:p>
        </w:tc>
      </w:tr>
      <w:tr w:rsidR="009654BD" w14:paraId="61C5EE10" w14:textId="77777777">
        <w:trPr>
          <w:jc w:val="center"/>
        </w:trPr>
        <w:tc>
          <w:tcPr>
            <w:tcW w:w="5184" w:type="dxa"/>
            <w:vAlign w:val="center"/>
          </w:tcPr>
          <w:p w14:paraId="703AB744" w14:textId="77777777" w:rsidR="009654BD" w:rsidRDefault="00000000">
            <w:r>
              <w:rPr>
                <w:sz w:val="16"/>
              </w:rPr>
              <w:t>Document ID</w:t>
            </w:r>
          </w:p>
        </w:tc>
        <w:tc>
          <w:tcPr>
            <w:tcW w:w="5184" w:type="dxa"/>
            <w:vAlign w:val="center"/>
          </w:tcPr>
          <w:p w14:paraId="17959D72" w14:textId="77777777" w:rsidR="009654BD" w:rsidRDefault="00000000">
            <w:r>
              <w:rPr>
                <w:sz w:val="16"/>
              </w:rPr>
              <w:t>FIN-CIE-FW-01</w:t>
            </w:r>
          </w:p>
        </w:tc>
      </w:tr>
      <w:tr w:rsidR="009654BD" w14:paraId="5206414B" w14:textId="77777777">
        <w:trPr>
          <w:jc w:val="center"/>
        </w:trPr>
        <w:tc>
          <w:tcPr>
            <w:tcW w:w="5184" w:type="dxa"/>
            <w:vAlign w:val="center"/>
          </w:tcPr>
          <w:p w14:paraId="014AB8E1" w14:textId="77777777" w:rsidR="009654BD" w:rsidRDefault="00000000">
            <w:r>
              <w:rPr>
                <w:sz w:val="16"/>
              </w:rPr>
              <w:t>Owner</w:t>
            </w:r>
          </w:p>
        </w:tc>
        <w:tc>
          <w:tcPr>
            <w:tcW w:w="5184" w:type="dxa"/>
            <w:vAlign w:val="center"/>
          </w:tcPr>
          <w:p w14:paraId="2AA333C8" w14:textId="77777777" w:rsidR="009654BD" w:rsidRDefault="00000000">
            <w:r>
              <w:rPr>
                <w:sz w:val="16"/>
              </w:rPr>
              <w:t>Priya Venn (fictional), Head of Performance Reporting, Region Atlas</w:t>
            </w:r>
          </w:p>
        </w:tc>
      </w:tr>
      <w:tr w:rsidR="009654BD" w14:paraId="13D5EFBE" w14:textId="77777777">
        <w:trPr>
          <w:jc w:val="center"/>
        </w:trPr>
        <w:tc>
          <w:tcPr>
            <w:tcW w:w="5184" w:type="dxa"/>
            <w:vAlign w:val="center"/>
          </w:tcPr>
          <w:p w14:paraId="5503C415" w14:textId="77777777" w:rsidR="009654BD" w:rsidRDefault="00000000">
            <w:r>
              <w:rPr>
                <w:sz w:val="16"/>
              </w:rPr>
              <w:t>Version</w:t>
            </w:r>
          </w:p>
        </w:tc>
        <w:tc>
          <w:tcPr>
            <w:tcW w:w="5184" w:type="dxa"/>
            <w:vAlign w:val="center"/>
          </w:tcPr>
          <w:p w14:paraId="0C863618" w14:textId="77777777" w:rsidR="009654BD" w:rsidRDefault="00000000">
            <w:r>
              <w:rPr>
                <w:sz w:val="16"/>
              </w:rPr>
              <w:t>v0.9 Draft for CIE</w:t>
            </w:r>
          </w:p>
        </w:tc>
      </w:tr>
      <w:tr w:rsidR="009654BD" w14:paraId="2B970D95" w14:textId="77777777">
        <w:trPr>
          <w:jc w:val="center"/>
        </w:trPr>
        <w:tc>
          <w:tcPr>
            <w:tcW w:w="5184" w:type="dxa"/>
            <w:vAlign w:val="center"/>
          </w:tcPr>
          <w:p w14:paraId="115B0845" w14:textId="77777777" w:rsidR="009654BD" w:rsidRDefault="00000000">
            <w:r>
              <w:rPr>
                <w:sz w:val="16"/>
              </w:rPr>
              <w:t>Status</w:t>
            </w:r>
          </w:p>
        </w:tc>
        <w:tc>
          <w:tcPr>
            <w:tcW w:w="5184" w:type="dxa"/>
            <w:vAlign w:val="center"/>
          </w:tcPr>
          <w:p w14:paraId="6C58F40A" w14:textId="77777777" w:rsidR="009654BD" w:rsidRDefault="00000000">
            <w:r>
              <w:rPr>
                <w:sz w:val="16"/>
              </w:rPr>
              <w:t>Draft - synthetic training use only (not approved BAT policy)</w:t>
            </w:r>
          </w:p>
        </w:tc>
      </w:tr>
      <w:tr w:rsidR="009654BD" w14:paraId="5E85E657" w14:textId="77777777">
        <w:trPr>
          <w:jc w:val="center"/>
        </w:trPr>
        <w:tc>
          <w:tcPr>
            <w:tcW w:w="5184" w:type="dxa"/>
            <w:vAlign w:val="center"/>
          </w:tcPr>
          <w:p w14:paraId="5CF0E0F9" w14:textId="77777777" w:rsidR="009654BD" w:rsidRDefault="00000000">
            <w:r>
              <w:rPr>
                <w:sz w:val="16"/>
              </w:rPr>
              <w:t>Review date</w:t>
            </w:r>
          </w:p>
        </w:tc>
        <w:tc>
          <w:tcPr>
            <w:tcW w:w="5184" w:type="dxa"/>
            <w:vAlign w:val="center"/>
          </w:tcPr>
          <w:p w14:paraId="1FF3941D" w14:textId="77777777" w:rsidR="009654BD" w:rsidRDefault="00000000">
            <w:r>
              <w:rPr>
                <w:sz w:val="16"/>
              </w:rPr>
              <w:t>30 November 2026</w:t>
            </w:r>
          </w:p>
        </w:tc>
      </w:tr>
      <w:tr w:rsidR="009654BD" w14:paraId="269B0016" w14:textId="77777777">
        <w:trPr>
          <w:jc w:val="center"/>
        </w:trPr>
        <w:tc>
          <w:tcPr>
            <w:tcW w:w="5184" w:type="dxa"/>
            <w:vAlign w:val="center"/>
          </w:tcPr>
          <w:p w14:paraId="51E26E39" w14:textId="77777777" w:rsidR="009654BD" w:rsidRDefault="00000000">
            <w:r>
              <w:rPr>
                <w:sz w:val="16"/>
              </w:rPr>
              <w:t>Applies to</w:t>
            </w:r>
          </w:p>
        </w:tc>
        <w:tc>
          <w:tcPr>
            <w:tcW w:w="5184" w:type="dxa"/>
            <w:vAlign w:val="center"/>
          </w:tcPr>
          <w:p w14:paraId="76AB59A5" w14:textId="77777777" w:rsidR="009654BD" w:rsidRDefault="00000000">
            <w:r>
              <w:rPr>
                <w:sz w:val="16"/>
              </w:rPr>
              <w:t>Region Atlas (fictional) finance teams - six fictional markets: Northmere, Eastvale, Southport, Westbrook, Centralis, Islemark</w:t>
            </w:r>
          </w:p>
        </w:tc>
      </w:tr>
      <w:tr w:rsidR="009654BD" w14:paraId="382A4A59" w14:textId="77777777">
        <w:trPr>
          <w:jc w:val="center"/>
        </w:trPr>
        <w:tc>
          <w:tcPr>
            <w:tcW w:w="5184" w:type="dxa"/>
            <w:vAlign w:val="center"/>
          </w:tcPr>
          <w:p w14:paraId="235F0A42" w14:textId="77777777" w:rsidR="009654BD" w:rsidRDefault="00000000">
            <w:r>
              <w:rPr>
                <w:sz w:val="16"/>
              </w:rPr>
              <w:t>Related documents</w:t>
            </w:r>
          </w:p>
        </w:tc>
        <w:tc>
          <w:tcPr>
            <w:tcW w:w="5184" w:type="dxa"/>
            <w:vAlign w:val="center"/>
          </w:tcPr>
          <w:p w14:paraId="10195DA5" w14:textId="77777777" w:rsidR="009654BD" w:rsidRDefault="00000000">
            <w:r>
              <w:rPr>
                <w:sz w:val="16"/>
              </w:rPr>
              <w:t>Finance Analyst Playbook; Forecast Approval and Escalation Guide; Variance Commentary FAQ (all _SYNTHETIC)</w:t>
            </w:r>
          </w:p>
        </w:tc>
      </w:tr>
      <w:tr w:rsidR="009654BD" w14:paraId="350039A0" w14:textId="77777777">
        <w:trPr>
          <w:jc w:val="center"/>
        </w:trPr>
        <w:tc>
          <w:tcPr>
            <w:tcW w:w="5184" w:type="dxa"/>
            <w:vAlign w:val="center"/>
          </w:tcPr>
          <w:p w14:paraId="49731624" w14:textId="77777777" w:rsidR="009654BD" w:rsidRDefault="00000000">
            <w:r>
              <w:rPr>
                <w:sz w:val="16"/>
              </w:rPr>
              <w:t>Classification</w:t>
            </w:r>
          </w:p>
        </w:tc>
        <w:tc>
          <w:tcPr>
            <w:tcW w:w="5184" w:type="dxa"/>
            <w:vAlign w:val="center"/>
          </w:tcPr>
          <w:p w14:paraId="5F254CCD" w14:textId="77777777" w:rsidR="009654BD" w:rsidRDefault="00000000">
            <w:r>
              <w:rPr>
                <w:sz w:val="16"/>
              </w:rPr>
              <w:t>Synthetic - CIE training only. Currency shown as GBP m (synthetic units).</w:t>
            </w:r>
          </w:p>
        </w:tc>
      </w:tr>
    </w:tbl>
    <w:p w14:paraId="64AF9134" w14:textId="77777777" w:rsidR="009654BD" w:rsidRDefault="009654BD"/>
    <w:p w14:paraId="3E626F2D" w14:textId="77777777" w:rsidR="009654BD" w:rsidRDefault="00000000">
      <w:pPr>
        <w:pStyle w:val="Heading1"/>
        <w:spacing w:after="80"/>
      </w:pPr>
      <w:r>
        <w:t>1. Purpose</w:t>
      </w:r>
    </w:p>
    <w:p w14:paraId="614FF1C7" w14:textId="77777777" w:rsidR="009654BD" w:rsidRDefault="00000000">
      <w:pPr>
        <w:spacing w:after="80"/>
      </w:pPr>
      <w:r>
        <w:t>This framework defines how the fictional Region Atlas finance community prepares, explains and issues the monthly management performance pack and the quarterly forecast. It sets common definitions, a materiality threshold for commentary, the reporting calendar and the controls that keep provisional or forecast numbers clearly separated from closed actuals.</w:t>
      </w:r>
    </w:p>
    <w:p w14:paraId="52FB56BA" w14:textId="77777777" w:rsidR="009654BD" w:rsidRDefault="00000000">
      <w:pPr>
        <w:pStyle w:val="Heading1"/>
        <w:spacing w:after="80"/>
      </w:pPr>
      <w:r>
        <w:t>2. Scope</w:t>
      </w:r>
    </w:p>
    <w:p w14:paraId="0F3B0BF1" w14:textId="77777777" w:rsidR="009654BD" w:rsidRDefault="00000000">
      <w:pPr>
        <w:pStyle w:val="ListBullet"/>
        <w:spacing w:after="80"/>
      </w:pPr>
      <w:r>
        <w:t>Six fictional markets: Northmere, Eastvale, Southport, Westbrook, Centralis and Islemark.</w:t>
      </w:r>
    </w:p>
    <w:p w14:paraId="6745E561" w14:textId="77777777" w:rsidR="009654BD" w:rsidRDefault="00000000">
      <w:pPr>
        <w:pStyle w:val="ListBullet"/>
        <w:spacing w:after="80"/>
      </w:pPr>
      <w:r>
        <w:t>Management P&amp;L lines: Net Revenue, Other Operating Income, Cost of Goods Sold, Logistics &amp; Distribution, Trade Marketing Investment, Sales Force Cost, Digital &amp; IT Cost, General &amp; Admin Cost, Facilities Cost.</w:t>
      </w:r>
    </w:p>
    <w:p w14:paraId="7F7DA95A" w14:textId="77777777" w:rsidR="009654BD" w:rsidRDefault="00000000">
      <w:pPr>
        <w:pStyle w:val="ListBullet"/>
        <w:spacing w:after="80"/>
      </w:pPr>
      <w:r>
        <w:t>Comparisons: Actual vs Budget (primary), Actual vs Prior Year, Actual vs Current Forecast.</w:t>
      </w:r>
    </w:p>
    <w:p w14:paraId="12D6F036" w14:textId="77777777" w:rsidR="009654BD" w:rsidRDefault="00000000">
      <w:pPr>
        <w:pStyle w:val="ListBullet"/>
        <w:spacing w:after="80"/>
      </w:pPr>
      <w:r>
        <w:t>Out of scope: statutory reporting, tax, treasury dealing, journal processing and the Delegation of Authority (DoA).</w:t>
      </w:r>
    </w:p>
    <w:p w14:paraId="5ACA0DAD" w14:textId="77777777" w:rsidR="009654BD" w:rsidRDefault="00000000">
      <w:pPr>
        <w:pStyle w:val="Heading1"/>
        <w:spacing w:after="80"/>
      </w:pPr>
      <w:r>
        <w:t>3. Definitions</w:t>
      </w:r>
    </w:p>
    <w:tbl>
      <w:tblPr>
        <w:tblStyle w:val="TableGrid"/>
        <w:tblW w:w="0" w:type="auto"/>
        <w:jc w:val="center"/>
        <w:tblLook w:val="04A0" w:firstRow="1" w:lastRow="0" w:firstColumn="1" w:lastColumn="0" w:noHBand="0" w:noVBand="1"/>
      </w:tblPr>
      <w:tblGrid>
        <w:gridCol w:w="5184"/>
        <w:gridCol w:w="5184"/>
      </w:tblGrid>
      <w:tr w:rsidR="009654BD" w14:paraId="2EFF955B" w14:textId="77777777">
        <w:trPr>
          <w:jc w:val="center"/>
        </w:trPr>
        <w:tc>
          <w:tcPr>
            <w:tcW w:w="5184" w:type="dxa"/>
            <w:shd w:val="clear" w:color="auto" w:fill="5B5FC7"/>
            <w:vAlign w:val="center"/>
          </w:tcPr>
          <w:p w14:paraId="147B7952" w14:textId="77777777" w:rsidR="009654BD" w:rsidRDefault="00000000">
            <w:r>
              <w:rPr>
                <w:b/>
                <w:color w:val="FFFFFF"/>
                <w:sz w:val="16"/>
              </w:rPr>
              <w:t>Term</w:t>
            </w:r>
          </w:p>
        </w:tc>
        <w:tc>
          <w:tcPr>
            <w:tcW w:w="5184" w:type="dxa"/>
            <w:shd w:val="clear" w:color="auto" w:fill="5B5FC7"/>
            <w:vAlign w:val="center"/>
          </w:tcPr>
          <w:p w14:paraId="5FE9FF9A" w14:textId="77777777" w:rsidR="009654BD" w:rsidRDefault="00000000">
            <w:r>
              <w:rPr>
                <w:b/>
                <w:color w:val="FFFFFF"/>
                <w:sz w:val="16"/>
              </w:rPr>
              <w:t>Definition</w:t>
            </w:r>
          </w:p>
        </w:tc>
      </w:tr>
      <w:tr w:rsidR="009654BD" w14:paraId="752233E4" w14:textId="77777777">
        <w:trPr>
          <w:jc w:val="center"/>
        </w:trPr>
        <w:tc>
          <w:tcPr>
            <w:tcW w:w="5184" w:type="dxa"/>
            <w:vAlign w:val="center"/>
          </w:tcPr>
          <w:p w14:paraId="1E1198CE" w14:textId="77777777" w:rsidR="009654BD" w:rsidRDefault="00000000">
            <w:r>
              <w:rPr>
                <w:sz w:val="16"/>
              </w:rPr>
              <w:t>Actual</w:t>
            </w:r>
          </w:p>
        </w:tc>
        <w:tc>
          <w:tcPr>
            <w:tcW w:w="5184" w:type="dxa"/>
            <w:vAlign w:val="center"/>
          </w:tcPr>
          <w:p w14:paraId="241FDB06" w14:textId="77777777" w:rsidR="009654BD" w:rsidRDefault="00000000">
            <w:r>
              <w:rPr>
                <w:sz w:val="16"/>
              </w:rPr>
              <w:t>Closed figure for a month after local close sign-off (status 'Closed actual').</w:t>
            </w:r>
          </w:p>
        </w:tc>
      </w:tr>
      <w:tr w:rsidR="009654BD" w14:paraId="20CA454C" w14:textId="77777777">
        <w:trPr>
          <w:jc w:val="center"/>
        </w:trPr>
        <w:tc>
          <w:tcPr>
            <w:tcW w:w="5184" w:type="dxa"/>
            <w:vAlign w:val="center"/>
          </w:tcPr>
          <w:p w14:paraId="3C2DB34E" w14:textId="77777777" w:rsidR="009654BD" w:rsidRDefault="00000000">
            <w:r>
              <w:rPr>
                <w:sz w:val="16"/>
              </w:rPr>
              <w:t>Provisional estimate</w:t>
            </w:r>
          </w:p>
        </w:tc>
        <w:tc>
          <w:tcPr>
            <w:tcW w:w="5184" w:type="dxa"/>
            <w:vAlign w:val="center"/>
          </w:tcPr>
          <w:p w14:paraId="40448C61" w14:textId="77777777" w:rsidR="009654BD" w:rsidRDefault="00000000">
            <w:r>
              <w:rPr>
                <w:sz w:val="16"/>
              </w:rPr>
              <w:t>Figure for a month whose local close is not complete. Status 'Provisional estimate - not closed'. Must carry the label (P) in every pack.</w:t>
            </w:r>
          </w:p>
        </w:tc>
      </w:tr>
      <w:tr w:rsidR="009654BD" w14:paraId="7AA217D1" w14:textId="77777777">
        <w:trPr>
          <w:jc w:val="center"/>
        </w:trPr>
        <w:tc>
          <w:tcPr>
            <w:tcW w:w="5184" w:type="dxa"/>
            <w:vAlign w:val="center"/>
          </w:tcPr>
          <w:p w14:paraId="0AD14935" w14:textId="77777777" w:rsidR="009654BD" w:rsidRDefault="00000000">
            <w:r>
              <w:rPr>
                <w:sz w:val="16"/>
              </w:rPr>
              <w:t>Budget</w:t>
            </w:r>
          </w:p>
        </w:tc>
        <w:tc>
          <w:tcPr>
            <w:tcW w:w="5184" w:type="dxa"/>
            <w:vAlign w:val="center"/>
          </w:tcPr>
          <w:p w14:paraId="19F22C81" w14:textId="77777777" w:rsidR="009654BD" w:rsidRDefault="00000000">
            <w:r>
              <w:rPr>
                <w:sz w:val="16"/>
              </w:rPr>
              <w:t>Approved FY2026 annual budget phased by month. Not changed during the year.</w:t>
            </w:r>
          </w:p>
        </w:tc>
      </w:tr>
      <w:tr w:rsidR="009654BD" w14:paraId="4FF77DC2" w14:textId="77777777">
        <w:trPr>
          <w:jc w:val="center"/>
        </w:trPr>
        <w:tc>
          <w:tcPr>
            <w:tcW w:w="5184" w:type="dxa"/>
            <w:vAlign w:val="center"/>
          </w:tcPr>
          <w:p w14:paraId="3778ADA7" w14:textId="77777777" w:rsidR="009654BD" w:rsidRDefault="00000000">
            <w:r>
              <w:rPr>
                <w:sz w:val="16"/>
              </w:rPr>
              <w:t>Current Forecast</w:t>
            </w:r>
          </w:p>
        </w:tc>
        <w:tc>
          <w:tcPr>
            <w:tcW w:w="5184" w:type="dxa"/>
            <w:vAlign w:val="center"/>
          </w:tcPr>
          <w:p w14:paraId="2BAABBE8" w14:textId="77777777" w:rsidR="009654BD" w:rsidRDefault="00000000">
            <w:r>
              <w:rPr>
                <w:sz w:val="16"/>
              </w:rPr>
              <w:t>Latest approved forecast for the month (for Q3 FY2026: the Q2 forecast cycle).</w:t>
            </w:r>
          </w:p>
        </w:tc>
      </w:tr>
      <w:tr w:rsidR="009654BD" w14:paraId="6CB3FBA3" w14:textId="77777777">
        <w:trPr>
          <w:jc w:val="center"/>
        </w:trPr>
        <w:tc>
          <w:tcPr>
            <w:tcW w:w="5184" w:type="dxa"/>
            <w:vAlign w:val="center"/>
          </w:tcPr>
          <w:p w14:paraId="64A06A72" w14:textId="77777777" w:rsidR="009654BD" w:rsidRDefault="00000000">
            <w:r>
              <w:rPr>
                <w:sz w:val="16"/>
              </w:rPr>
              <w:t>Variance</w:t>
            </w:r>
          </w:p>
        </w:tc>
        <w:tc>
          <w:tcPr>
            <w:tcW w:w="5184" w:type="dxa"/>
            <w:vAlign w:val="center"/>
          </w:tcPr>
          <w:p w14:paraId="792071A0" w14:textId="77777777" w:rsidR="009654BD" w:rsidRDefault="00000000">
            <w:r>
              <w:rPr>
                <w:sz w:val="16"/>
              </w:rPr>
              <w:t>Actual minus comparator (Budget, Prior Year or Forecast), in GBP m and %.</w:t>
            </w:r>
          </w:p>
        </w:tc>
      </w:tr>
      <w:tr w:rsidR="009654BD" w14:paraId="016F6A60" w14:textId="77777777">
        <w:trPr>
          <w:jc w:val="center"/>
        </w:trPr>
        <w:tc>
          <w:tcPr>
            <w:tcW w:w="5184" w:type="dxa"/>
            <w:vAlign w:val="center"/>
          </w:tcPr>
          <w:p w14:paraId="4FC98770" w14:textId="77777777" w:rsidR="009654BD" w:rsidRDefault="00000000">
            <w:r>
              <w:rPr>
                <w:sz w:val="16"/>
              </w:rPr>
              <w:t>Sign convention</w:t>
            </w:r>
          </w:p>
        </w:tc>
        <w:tc>
          <w:tcPr>
            <w:tcW w:w="5184" w:type="dxa"/>
            <w:vAlign w:val="center"/>
          </w:tcPr>
          <w:p w14:paraId="015DAAD5" w14:textId="77777777" w:rsidR="009654BD" w:rsidRDefault="00000000">
            <w:r>
              <w:rPr>
                <w:sz w:val="16"/>
              </w:rPr>
              <w:t>For Revenue a positive variance is favourable; for Cost a positive variance (overspend) is unfavourable. Profit impact = variance signed for profit (+ = good for profit).</w:t>
            </w:r>
          </w:p>
        </w:tc>
      </w:tr>
      <w:tr w:rsidR="009654BD" w14:paraId="1E1B26C7" w14:textId="77777777">
        <w:trPr>
          <w:jc w:val="center"/>
        </w:trPr>
        <w:tc>
          <w:tcPr>
            <w:tcW w:w="5184" w:type="dxa"/>
            <w:vAlign w:val="center"/>
          </w:tcPr>
          <w:p w14:paraId="2A5092CF" w14:textId="77777777" w:rsidR="009654BD" w:rsidRDefault="00000000">
            <w:r>
              <w:rPr>
                <w:sz w:val="16"/>
              </w:rPr>
              <w:t>Volume driver</w:t>
            </w:r>
          </w:p>
        </w:tc>
        <w:tc>
          <w:tcPr>
            <w:tcW w:w="5184" w:type="dxa"/>
            <w:vAlign w:val="center"/>
          </w:tcPr>
          <w:p w14:paraId="701CDB6F" w14:textId="77777777" w:rsidR="009654BD" w:rsidRDefault="00000000">
            <w:r>
              <w:rPr>
                <w:sz w:val="16"/>
              </w:rPr>
              <w:t>Variance caused by more or fewer units sold or activity performed.</w:t>
            </w:r>
          </w:p>
        </w:tc>
      </w:tr>
      <w:tr w:rsidR="009654BD" w14:paraId="6F87EB15" w14:textId="77777777">
        <w:trPr>
          <w:jc w:val="center"/>
        </w:trPr>
        <w:tc>
          <w:tcPr>
            <w:tcW w:w="5184" w:type="dxa"/>
            <w:vAlign w:val="center"/>
          </w:tcPr>
          <w:p w14:paraId="12AB5C50" w14:textId="77777777" w:rsidR="009654BD" w:rsidRDefault="00000000">
            <w:r>
              <w:rPr>
                <w:sz w:val="16"/>
              </w:rPr>
              <w:t>Price / mix driver</w:t>
            </w:r>
          </w:p>
        </w:tc>
        <w:tc>
          <w:tcPr>
            <w:tcW w:w="5184" w:type="dxa"/>
            <w:vAlign w:val="center"/>
          </w:tcPr>
          <w:p w14:paraId="53012F7F" w14:textId="77777777" w:rsidR="009654BD" w:rsidRDefault="00000000">
            <w:r>
              <w:rPr>
                <w:sz w:val="16"/>
              </w:rPr>
              <w:t>Variance caused by price, portfolio mix, or input rate (e.g. freight rates).</w:t>
            </w:r>
          </w:p>
        </w:tc>
      </w:tr>
      <w:tr w:rsidR="009654BD" w14:paraId="29F2B976" w14:textId="77777777">
        <w:trPr>
          <w:jc w:val="center"/>
        </w:trPr>
        <w:tc>
          <w:tcPr>
            <w:tcW w:w="5184" w:type="dxa"/>
            <w:vAlign w:val="center"/>
          </w:tcPr>
          <w:p w14:paraId="4C527D90" w14:textId="77777777" w:rsidR="009654BD" w:rsidRDefault="00000000">
            <w:r>
              <w:rPr>
                <w:sz w:val="16"/>
              </w:rPr>
              <w:t>FX driver</w:t>
            </w:r>
          </w:p>
        </w:tc>
        <w:tc>
          <w:tcPr>
            <w:tcW w:w="5184" w:type="dxa"/>
            <w:vAlign w:val="center"/>
          </w:tcPr>
          <w:p w14:paraId="13A7DDC0" w14:textId="77777777" w:rsidR="009654BD" w:rsidRDefault="00000000">
            <w:r>
              <w:rPr>
                <w:sz w:val="16"/>
              </w:rPr>
              <w:t>Translation difference between actual exchange rate and budget rate.</w:t>
            </w:r>
          </w:p>
        </w:tc>
      </w:tr>
      <w:tr w:rsidR="009654BD" w14:paraId="1B95AF03" w14:textId="77777777">
        <w:trPr>
          <w:jc w:val="center"/>
        </w:trPr>
        <w:tc>
          <w:tcPr>
            <w:tcW w:w="5184" w:type="dxa"/>
            <w:vAlign w:val="center"/>
          </w:tcPr>
          <w:p w14:paraId="5FC1ABDF" w14:textId="77777777" w:rsidR="009654BD" w:rsidRDefault="00000000">
            <w:r>
              <w:rPr>
                <w:sz w:val="16"/>
              </w:rPr>
              <w:t>Timing driver</w:t>
            </w:r>
          </w:p>
        </w:tc>
        <w:tc>
          <w:tcPr>
            <w:tcW w:w="5184" w:type="dxa"/>
            <w:vAlign w:val="center"/>
          </w:tcPr>
          <w:p w14:paraId="23EB7935" w14:textId="77777777" w:rsidR="009654BD" w:rsidRDefault="00000000">
            <w:r>
              <w:rPr>
                <w:sz w:val="16"/>
              </w:rPr>
              <w:t xml:space="preserve">Phasing difference expected to reverse in a named later period. Not a </w:t>
            </w:r>
            <w:r>
              <w:rPr>
                <w:sz w:val="16"/>
              </w:rPr>
              <w:lastRenderedPageBreak/>
              <w:t>saving and not a permanent overspend.</w:t>
            </w:r>
          </w:p>
        </w:tc>
      </w:tr>
    </w:tbl>
    <w:p w14:paraId="5867C7E0" w14:textId="77777777" w:rsidR="009654BD" w:rsidRDefault="009654BD"/>
    <w:p w14:paraId="206BC8A6" w14:textId="77777777" w:rsidR="009654BD" w:rsidRDefault="00000000">
      <w:pPr>
        <w:pStyle w:val="Heading1"/>
        <w:spacing w:after="80"/>
      </w:pPr>
      <w:r>
        <w:t>4. Materiality threshold and commentary</w:t>
      </w:r>
    </w:p>
    <w:tbl>
      <w:tblPr>
        <w:tblStyle w:val="TableGrid"/>
        <w:tblW w:w="0" w:type="auto"/>
        <w:jc w:val="center"/>
        <w:tblLook w:val="04A0" w:firstRow="1" w:lastRow="0" w:firstColumn="1" w:lastColumn="0" w:noHBand="0" w:noVBand="1"/>
      </w:tblPr>
      <w:tblGrid>
        <w:gridCol w:w="10368"/>
      </w:tblGrid>
      <w:tr w:rsidR="009654BD" w14:paraId="4D9FFA29" w14:textId="77777777">
        <w:trPr>
          <w:jc w:val="center"/>
        </w:trPr>
        <w:tc>
          <w:tcPr>
            <w:tcW w:w="10368" w:type="dxa"/>
            <w:shd w:val="clear" w:color="auto" w:fill="5B5FC7"/>
            <w:vAlign w:val="center"/>
          </w:tcPr>
          <w:p w14:paraId="61FD4DD6" w14:textId="77777777" w:rsidR="009654BD" w:rsidRDefault="00000000">
            <w:r>
              <w:rPr>
                <w:b/>
                <w:color w:val="FFFFFF"/>
                <w:sz w:val="16"/>
              </w:rPr>
              <w:t>Commentary is required when a variance vs Budget is at least GBP 0.5m AND at least 5% at market / account / month level. At region level, any account variance of GBP 2.0m or more for the quarter is discussed at the Regional Performance Review even if below 5%.</w:t>
            </w:r>
          </w:p>
        </w:tc>
      </w:tr>
    </w:tbl>
    <w:p w14:paraId="0D4CD48F" w14:textId="77777777" w:rsidR="009654BD" w:rsidRDefault="009654BD"/>
    <w:p w14:paraId="5783275F" w14:textId="77777777" w:rsidR="009654BD" w:rsidRDefault="00000000">
      <w:pPr>
        <w:spacing w:after="80"/>
      </w:pPr>
      <w:r>
        <w:t>Commentary follows the four-part structure What - Why - So what - Now what (see the Variance Commentary FAQ). Each explanation must name the dominant driver(s) and quantify them in GBP m. Drivers must reconcile to the variance within GBP 0.01m.</w:t>
      </w:r>
    </w:p>
    <w:p w14:paraId="5D8A54E8" w14:textId="77777777" w:rsidR="009654BD" w:rsidRDefault="00000000">
      <w:pPr>
        <w:pStyle w:val="Heading1"/>
        <w:spacing w:after="80"/>
      </w:pPr>
      <w:r>
        <w:t>5. Reporting calendar (working days after month end)</w:t>
      </w:r>
    </w:p>
    <w:tbl>
      <w:tblPr>
        <w:tblStyle w:val="TableGrid"/>
        <w:tblW w:w="0" w:type="auto"/>
        <w:jc w:val="center"/>
        <w:tblLook w:val="04A0" w:firstRow="1" w:lastRow="0" w:firstColumn="1" w:lastColumn="0" w:noHBand="0" w:noVBand="1"/>
      </w:tblPr>
      <w:tblGrid>
        <w:gridCol w:w="3456"/>
        <w:gridCol w:w="3456"/>
        <w:gridCol w:w="3456"/>
      </w:tblGrid>
      <w:tr w:rsidR="009654BD" w14:paraId="28BA727C" w14:textId="77777777">
        <w:trPr>
          <w:jc w:val="center"/>
        </w:trPr>
        <w:tc>
          <w:tcPr>
            <w:tcW w:w="3456" w:type="dxa"/>
            <w:shd w:val="clear" w:color="auto" w:fill="5B5FC7"/>
            <w:vAlign w:val="center"/>
          </w:tcPr>
          <w:p w14:paraId="1EE8299E" w14:textId="77777777" w:rsidR="009654BD" w:rsidRDefault="00000000">
            <w:r>
              <w:rPr>
                <w:b/>
                <w:color w:val="FFFFFF"/>
                <w:sz w:val="16"/>
              </w:rPr>
              <w:t>Step</w:t>
            </w:r>
          </w:p>
        </w:tc>
        <w:tc>
          <w:tcPr>
            <w:tcW w:w="3456" w:type="dxa"/>
            <w:shd w:val="clear" w:color="auto" w:fill="5B5FC7"/>
            <w:vAlign w:val="center"/>
          </w:tcPr>
          <w:p w14:paraId="4B914400" w14:textId="77777777" w:rsidR="009654BD" w:rsidRDefault="00000000">
            <w:r>
              <w:rPr>
                <w:b/>
                <w:color w:val="FFFFFF"/>
                <w:sz w:val="16"/>
              </w:rPr>
              <w:t>Timing</w:t>
            </w:r>
          </w:p>
        </w:tc>
        <w:tc>
          <w:tcPr>
            <w:tcW w:w="3456" w:type="dxa"/>
            <w:shd w:val="clear" w:color="auto" w:fill="5B5FC7"/>
            <w:vAlign w:val="center"/>
          </w:tcPr>
          <w:p w14:paraId="1EEA9748" w14:textId="77777777" w:rsidR="009654BD" w:rsidRDefault="00000000">
            <w:r>
              <w:rPr>
                <w:b/>
                <w:color w:val="FFFFFF"/>
                <w:sz w:val="16"/>
              </w:rPr>
              <w:t>Owner (fictional role)</w:t>
            </w:r>
          </w:p>
        </w:tc>
      </w:tr>
      <w:tr w:rsidR="009654BD" w14:paraId="5E221742" w14:textId="77777777">
        <w:trPr>
          <w:jc w:val="center"/>
        </w:trPr>
        <w:tc>
          <w:tcPr>
            <w:tcW w:w="3456" w:type="dxa"/>
            <w:vAlign w:val="center"/>
          </w:tcPr>
          <w:p w14:paraId="13C6C3E9" w14:textId="77777777" w:rsidR="009654BD" w:rsidRDefault="00000000">
            <w:r>
              <w:rPr>
                <w:sz w:val="16"/>
              </w:rPr>
              <w:t>Local close and sign-off of actuals</w:t>
            </w:r>
          </w:p>
        </w:tc>
        <w:tc>
          <w:tcPr>
            <w:tcW w:w="3456" w:type="dxa"/>
            <w:vAlign w:val="center"/>
          </w:tcPr>
          <w:p w14:paraId="4B567259" w14:textId="77777777" w:rsidR="009654BD" w:rsidRDefault="00000000">
            <w:r>
              <w:rPr>
                <w:sz w:val="16"/>
              </w:rPr>
              <w:t>WD+5</w:t>
            </w:r>
          </w:p>
        </w:tc>
        <w:tc>
          <w:tcPr>
            <w:tcW w:w="3456" w:type="dxa"/>
            <w:vAlign w:val="center"/>
          </w:tcPr>
          <w:p w14:paraId="4E6D9CB8" w14:textId="77777777" w:rsidR="009654BD" w:rsidRDefault="00000000">
            <w:r>
              <w:rPr>
                <w:sz w:val="16"/>
              </w:rPr>
              <w:t>Market Finance Manager</w:t>
            </w:r>
          </w:p>
        </w:tc>
      </w:tr>
      <w:tr w:rsidR="009654BD" w14:paraId="0988E290" w14:textId="77777777">
        <w:trPr>
          <w:jc w:val="center"/>
        </w:trPr>
        <w:tc>
          <w:tcPr>
            <w:tcW w:w="3456" w:type="dxa"/>
            <w:vAlign w:val="center"/>
          </w:tcPr>
          <w:p w14:paraId="5CE325B4" w14:textId="77777777" w:rsidR="009654BD" w:rsidRDefault="00000000">
            <w:r>
              <w:rPr>
                <w:sz w:val="16"/>
              </w:rPr>
              <w:t>Variance analysis and draft commentary</w:t>
            </w:r>
          </w:p>
        </w:tc>
        <w:tc>
          <w:tcPr>
            <w:tcW w:w="3456" w:type="dxa"/>
            <w:vAlign w:val="center"/>
          </w:tcPr>
          <w:p w14:paraId="112A455B" w14:textId="77777777" w:rsidR="009654BD" w:rsidRDefault="00000000">
            <w:r>
              <w:rPr>
                <w:sz w:val="16"/>
              </w:rPr>
              <w:t>WD+6 to WD+7</w:t>
            </w:r>
          </w:p>
        </w:tc>
        <w:tc>
          <w:tcPr>
            <w:tcW w:w="3456" w:type="dxa"/>
            <w:vAlign w:val="center"/>
          </w:tcPr>
          <w:p w14:paraId="1DB37B2B" w14:textId="77777777" w:rsidR="009654BD" w:rsidRDefault="00000000">
            <w:r>
              <w:rPr>
                <w:sz w:val="16"/>
              </w:rPr>
              <w:t>Market finance analyst</w:t>
            </w:r>
          </w:p>
        </w:tc>
      </w:tr>
      <w:tr w:rsidR="009654BD" w14:paraId="5D41E453" w14:textId="77777777">
        <w:trPr>
          <w:jc w:val="center"/>
        </w:trPr>
        <w:tc>
          <w:tcPr>
            <w:tcW w:w="3456" w:type="dxa"/>
            <w:vAlign w:val="center"/>
          </w:tcPr>
          <w:p w14:paraId="63685BCB" w14:textId="77777777" w:rsidR="009654BD" w:rsidRDefault="00000000">
            <w:r>
              <w:rPr>
                <w:sz w:val="16"/>
              </w:rPr>
              <w:t>Management pack issued (draft)</w:t>
            </w:r>
          </w:p>
        </w:tc>
        <w:tc>
          <w:tcPr>
            <w:tcW w:w="3456" w:type="dxa"/>
            <w:vAlign w:val="center"/>
          </w:tcPr>
          <w:p w14:paraId="35965E67" w14:textId="77777777" w:rsidR="009654BD" w:rsidRDefault="00000000">
            <w:r>
              <w:rPr>
                <w:sz w:val="16"/>
              </w:rPr>
              <w:t>WD+8</w:t>
            </w:r>
          </w:p>
        </w:tc>
        <w:tc>
          <w:tcPr>
            <w:tcW w:w="3456" w:type="dxa"/>
            <w:vAlign w:val="center"/>
          </w:tcPr>
          <w:p w14:paraId="64B05F38" w14:textId="77777777" w:rsidR="009654BD" w:rsidRDefault="00000000">
            <w:r>
              <w:rPr>
                <w:sz w:val="16"/>
              </w:rPr>
              <w:t>Performance Reporting team</w:t>
            </w:r>
          </w:p>
        </w:tc>
      </w:tr>
      <w:tr w:rsidR="009654BD" w14:paraId="01C77F22" w14:textId="77777777">
        <w:trPr>
          <w:jc w:val="center"/>
        </w:trPr>
        <w:tc>
          <w:tcPr>
            <w:tcW w:w="3456" w:type="dxa"/>
            <w:vAlign w:val="center"/>
          </w:tcPr>
          <w:p w14:paraId="43E11D18" w14:textId="77777777" w:rsidR="009654BD" w:rsidRDefault="00000000">
            <w:r>
              <w:rPr>
                <w:sz w:val="16"/>
              </w:rPr>
              <w:t>Regional Performance Review</w:t>
            </w:r>
          </w:p>
        </w:tc>
        <w:tc>
          <w:tcPr>
            <w:tcW w:w="3456" w:type="dxa"/>
            <w:vAlign w:val="center"/>
          </w:tcPr>
          <w:p w14:paraId="2E25EC80" w14:textId="77777777" w:rsidR="009654BD" w:rsidRDefault="00000000">
            <w:r>
              <w:rPr>
                <w:sz w:val="16"/>
              </w:rPr>
              <w:t>WD+10</w:t>
            </w:r>
          </w:p>
        </w:tc>
        <w:tc>
          <w:tcPr>
            <w:tcW w:w="3456" w:type="dxa"/>
            <w:vAlign w:val="center"/>
          </w:tcPr>
          <w:p w14:paraId="7FEEA89D" w14:textId="77777777" w:rsidR="009654BD" w:rsidRDefault="00000000">
            <w:r>
              <w:rPr>
                <w:sz w:val="16"/>
              </w:rPr>
              <w:t>Regional Finance Director (chair)</w:t>
            </w:r>
          </w:p>
        </w:tc>
      </w:tr>
      <w:tr w:rsidR="009654BD" w14:paraId="0F5F6278" w14:textId="77777777">
        <w:trPr>
          <w:jc w:val="center"/>
        </w:trPr>
        <w:tc>
          <w:tcPr>
            <w:tcW w:w="3456" w:type="dxa"/>
            <w:vAlign w:val="center"/>
          </w:tcPr>
          <w:p w14:paraId="5D64E4A3" w14:textId="77777777" w:rsidR="009654BD" w:rsidRDefault="00000000">
            <w:r>
              <w:rPr>
                <w:sz w:val="16"/>
              </w:rPr>
              <w:t>Quarterly forecast submission (P03, P06, P09 only)</w:t>
            </w:r>
          </w:p>
        </w:tc>
        <w:tc>
          <w:tcPr>
            <w:tcW w:w="3456" w:type="dxa"/>
            <w:vAlign w:val="center"/>
          </w:tcPr>
          <w:p w14:paraId="02A41E48" w14:textId="77777777" w:rsidR="009654BD" w:rsidRDefault="00000000">
            <w:r>
              <w:rPr>
                <w:sz w:val="16"/>
              </w:rPr>
              <w:t>WD+12</w:t>
            </w:r>
          </w:p>
        </w:tc>
        <w:tc>
          <w:tcPr>
            <w:tcW w:w="3456" w:type="dxa"/>
            <w:vAlign w:val="center"/>
          </w:tcPr>
          <w:p w14:paraId="6D2A6B33" w14:textId="77777777" w:rsidR="009654BD" w:rsidRDefault="00000000">
            <w:r>
              <w:rPr>
                <w:sz w:val="16"/>
              </w:rPr>
              <w:t>Market Finance Manager</w:t>
            </w:r>
          </w:p>
        </w:tc>
      </w:tr>
      <w:tr w:rsidR="009654BD" w14:paraId="6DBDBDC7" w14:textId="77777777">
        <w:trPr>
          <w:jc w:val="center"/>
        </w:trPr>
        <w:tc>
          <w:tcPr>
            <w:tcW w:w="3456" w:type="dxa"/>
            <w:vAlign w:val="center"/>
          </w:tcPr>
          <w:p w14:paraId="59513F07" w14:textId="77777777" w:rsidR="009654BD" w:rsidRDefault="00000000">
            <w:r>
              <w:rPr>
                <w:sz w:val="16"/>
              </w:rPr>
              <w:t>Regional Forecast Committee</w:t>
            </w:r>
          </w:p>
        </w:tc>
        <w:tc>
          <w:tcPr>
            <w:tcW w:w="3456" w:type="dxa"/>
            <w:vAlign w:val="center"/>
          </w:tcPr>
          <w:p w14:paraId="1CEBDA8B" w14:textId="77777777" w:rsidR="009654BD" w:rsidRDefault="00000000">
            <w:r>
              <w:rPr>
                <w:sz w:val="16"/>
              </w:rPr>
              <w:t>WD+14</w:t>
            </w:r>
          </w:p>
        </w:tc>
        <w:tc>
          <w:tcPr>
            <w:tcW w:w="3456" w:type="dxa"/>
            <w:vAlign w:val="center"/>
          </w:tcPr>
          <w:p w14:paraId="1F2BC8A9" w14:textId="77777777" w:rsidR="009654BD" w:rsidRDefault="00000000">
            <w:r>
              <w:rPr>
                <w:sz w:val="16"/>
              </w:rPr>
              <w:t>Committee secretariat</w:t>
            </w:r>
          </w:p>
        </w:tc>
      </w:tr>
    </w:tbl>
    <w:p w14:paraId="232678F3" w14:textId="77777777" w:rsidR="009654BD" w:rsidRDefault="009654BD"/>
    <w:p w14:paraId="15FACD49" w14:textId="77777777" w:rsidR="009654BD" w:rsidRDefault="00000000">
      <w:pPr>
        <w:spacing w:after="80"/>
      </w:pPr>
      <w:r>
        <w:rPr>
          <w:i/>
          <w:color w:val="B54708"/>
        </w:rPr>
        <w:t>Islemark local close date for P09: To be confirmed by local team - not in this framework (Islemark finance team). Until confirmed, Islemark P09 figures are provisional.</w:t>
      </w:r>
    </w:p>
    <w:p w14:paraId="51A2162D" w14:textId="77777777" w:rsidR="009654BD" w:rsidRDefault="00000000">
      <w:pPr>
        <w:pStyle w:val="Heading1"/>
        <w:spacing w:after="80"/>
      </w:pPr>
      <w:r>
        <w:t>6. Roles</w:t>
      </w:r>
    </w:p>
    <w:p w14:paraId="5239A014" w14:textId="77777777" w:rsidR="009654BD" w:rsidRDefault="00000000">
      <w:pPr>
        <w:pStyle w:val="ListBullet"/>
        <w:spacing w:after="80"/>
      </w:pPr>
      <w:r>
        <w:rPr>
          <w:b/>
        </w:rPr>
        <w:t>Market finance analyst:</w:t>
      </w:r>
      <w:r>
        <w:t xml:space="preserve"> prepares variance analysis, driver split and draft commentary; flags provisional data.</w:t>
      </w:r>
    </w:p>
    <w:p w14:paraId="07BEF00B" w14:textId="77777777" w:rsidR="009654BD" w:rsidRDefault="00000000">
      <w:pPr>
        <w:pStyle w:val="ListBullet"/>
        <w:spacing w:after="80"/>
      </w:pPr>
      <w:r>
        <w:rPr>
          <w:b/>
        </w:rPr>
        <w:t>Market Finance Manager:</w:t>
      </w:r>
      <w:r>
        <w:t xml:space="preserve"> reviews and signs off market actuals and commentary; approves forecast changes below GBP 2m per market.</w:t>
      </w:r>
    </w:p>
    <w:p w14:paraId="430B8221" w14:textId="77777777" w:rsidR="009654BD" w:rsidRDefault="00000000">
      <w:pPr>
        <w:pStyle w:val="ListBullet"/>
        <w:spacing w:after="80"/>
      </w:pPr>
      <w:r>
        <w:rPr>
          <w:b/>
        </w:rPr>
        <w:t>Performance Reporting team:</w:t>
      </w:r>
      <w:r>
        <w:t xml:space="preserve"> owns this framework, the pack template and definitions.</w:t>
      </w:r>
    </w:p>
    <w:p w14:paraId="2B8C054E" w14:textId="77777777" w:rsidR="009654BD" w:rsidRDefault="00000000">
      <w:pPr>
        <w:pStyle w:val="ListBullet"/>
        <w:spacing w:after="80"/>
      </w:pPr>
      <w:r>
        <w:rPr>
          <w:b/>
        </w:rPr>
        <w:t>Regional Finance Director (fictional role):</w:t>
      </w:r>
      <w:r>
        <w:t xml:space="preserve"> chairs the review; approves forecast changes of GBP 2m-10m per market.</w:t>
      </w:r>
    </w:p>
    <w:p w14:paraId="35B44898" w14:textId="77777777" w:rsidR="009654BD" w:rsidRDefault="00000000">
      <w:pPr>
        <w:pStyle w:val="ListBullet"/>
        <w:spacing w:after="80"/>
      </w:pPr>
      <w:r>
        <w:rPr>
          <w:b/>
        </w:rPr>
        <w:t>Regional Forecast Committee:</w:t>
      </w:r>
      <w:r>
        <w:t xml:space="preserve"> approves forecast changes above GBP 10m (market or region) and any FX rate basis change.</w:t>
      </w:r>
    </w:p>
    <w:p w14:paraId="6051BF17" w14:textId="77777777" w:rsidR="009654BD" w:rsidRDefault="00000000">
      <w:pPr>
        <w:pStyle w:val="ListBullet"/>
        <w:spacing w:after="80"/>
      </w:pPr>
      <w:r>
        <w:rPr>
          <w:b/>
        </w:rPr>
        <w:t>Group Accounting / Record-to-Report:</w:t>
      </w:r>
      <w:r>
        <w:t xml:space="preserve"> own accounting judgments and journal posting respectively.</w:t>
      </w:r>
    </w:p>
    <w:p w14:paraId="3B1CC752" w14:textId="77777777" w:rsidR="009654BD" w:rsidRDefault="00000000">
      <w:pPr>
        <w:pStyle w:val="Heading1"/>
        <w:spacing w:after="80"/>
      </w:pPr>
      <w:r>
        <w:t>7. Controls</w:t>
      </w:r>
    </w:p>
    <w:p w14:paraId="5A177931" w14:textId="77777777" w:rsidR="009654BD" w:rsidRDefault="00000000">
      <w:pPr>
        <w:spacing w:after="80"/>
      </w:pPr>
      <w:r>
        <w:t>1.  Driver check: sum of Volume, Price/mix, FX and Timing drivers equals the variance (tolerance GBP 0.01m).</w:t>
      </w:r>
    </w:p>
    <w:p w14:paraId="519135ED" w14:textId="77777777" w:rsidR="009654BD" w:rsidRDefault="00000000">
      <w:pPr>
        <w:spacing w:after="80"/>
      </w:pPr>
      <w:r>
        <w:t>2.  Provisional labelling: any figure not closed carries '(P) Provisional estimate - not closed'. Provisional figures are never described as actuals in text, charts or summaries.</w:t>
      </w:r>
    </w:p>
    <w:p w14:paraId="4ACE98DE" w14:textId="77777777" w:rsidR="009654BD" w:rsidRDefault="00000000">
      <w:pPr>
        <w:spacing w:after="80"/>
      </w:pPr>
      <w:r>
        <w:t>3.  Forecast labelling: draft forecasts are marked 'Draft forecast scenario - not approved' until approved under the Forecast Approval and Escalation Guide.</w:t>
      </w:r>
    </w:p>
    <w:p w14:paraId="72CB5955" w14:textId="77777777" w:rsidR="009654BD" w:rsidRDefault="00000000">
      <w:pPr>
        <w:spacing w:after="80"/>
      </w:pPr>
      <w:r>
        <w:t>4.  Timing variances must name the period in which they reverse.</w:t>
      </w:r>
    </w:p>
    <w:p w14:paraId="7E2F062A" w14:textId="77777777" w:rsidR="009654BD" w:rsidRDefault="00000000">
      <w:pPr>
        <w:spacing w:after="80"/>
      </w:pPr>
      <w:r>
        <w:t>5.  Human review: every AI-assisted analysis or commentary is reviewed by the analyst and the Market Finance Manager before issue.</w:t>
      </w:r>
    </w:p>
    <w:p w14:paraId="6D0C75DC" w14:textId="77777777" w:rsidR="009654BD" w:rsidRDefault="00000000">
      <w:pPr>
        <w:pStyle w:val="Heading1"/>
        <w:spacing w:after="80"/>
      </w:pPr>
      <w:r>
        <w:t>8. Exceptions and open items</w:t>
      </w:r>
    </w:p>
    <w:tbl>
      <w:tblPr>
        <w:tblStyle w:val="TableGrid"/>
        <w:tblW w:w="0" w:type="auto"/>
        <w:jc w:val="center"/>
        <w:tblLook w:val="04A0" w:firstRow="1" w:lastRow="0" w:firstColumn="1" w:lastColumn="0" w:noHBand="0" w:noVBand="1"/>
      </w:tblPr>
      <w:tblGrid>
        <w:gridCol w:w="5184"/>
        <w:gridCol w:w="5184"/>
      </w:tblGrid>
      <w:tr w:rsidR="009654BD" w14:paraId="2A8C0AEF" w14:textId="77777777">
        <w:trPr>
          <w:jc w:val="center"/>
        </w:trPr>
        <w:tc>
          <w:tcPr>
            <w:tcW w:w="5184" w:type="dxa"/>
            <w:shd w:val="clear" w:color="auto" w:fill="5B5FC7"/>
            <w:vAlign w:val="center"/>
          </w:tcPr>
          <w:p w14:paraId="12127BD3" w14:textId="77777777" w:rsidR="009654BD" w:rsidRDefault="00000000">
            <w:r>
              <w:rPr>
                <w:b/>
                <w:color w:val="FFFFFF"/>
                <w:sz w:val="16"/>
              </w:rPr>
              <w:t>Item</w:t>
            </w:r>
          </w:p>
        </w:tc>
        <w:tc>
          <w:tcPr>
            <w:tcW w:w="5184" w:type="dxa"/>
            <w:shd w:val="clear" w:color="auto" w:fill="5B5FC7"/>
            <w:vAlign w:val="center"/>
          </w:tcPr>
          <w:p w14:paraId="6A250DB7" w14:textId="77777777" w:rsidR="009654BD" w:rsidRDefault="00000000">
            <w:r>
              <w:rPr>
                <w:b/>
                <w:color w:val="FFFFFF"/>
                <w:sz w:val="16"/>
              </w:rPr>
              <w:t>Status</w:t>
            </w:r>
          </w:p>
        </w:tc>
      </w:tr>
      <w:tr w:rsidR="009654BD" w14:paraId="522BD7A1" w14:textId="77777777">
        <w:trPr>
          <w:jc w:val="center"/>
        </w:trPr>
        <w:tc>
          <w:tcPr>
            <w:tcW w:w="5184" w:type="dxa"/>
            <w:vAlign w:val="center"/>
          </w:tcPr>
          <w:p w14:paraId="598C4A6A" w14:textId="77777777" w:rsidR="009654BD" w:rsidRDefault="00000000">
            <w:r>
              <w:rPr>
                <w:sz w:val="16"/>
              </w:rPr>
              <w:t>FX rate basis for Q4 forecast in Southport (budget rate vs latest rate)</w:t>
            </w:r>
          </w:p>
        </w:tc>
        <w:tc>
          <w:tcPr>
            <w:tcW w:w="5184" w:type="dxa"/>
            <w:vAlign w:val="center"/>
          </w:tcPr>
          <w:p w14:paraId="760FAB4E" w14:textId="77777777" w:rsidR="009654BD" w:rsidRDefault="00000000">
            <w:r>
              <w:rPr>
                <w:sz w:val="16"/>
              </w:rPr>
              <w:t>To be confirmed by Group Treasury - not in this framework</w:t>
            </w:r>
          </w:p>
        </w:tc>
      </w:tr>
      <w:tr w:rsidR="009654BD" w14:paraId="0462593D" w14:textId="77777777">
        <w:trPr>
          <w:jc w:val="center"/>
        </w:trPr>
        <w:tc>
          <w:tcPr>
            <w:tcW w:w="5184" w:type="dxa"/>
            <w:vAlign w:val="center"/>
          </w:tcPr>
          <w:p w14:paraId="76FC24E9" w14:textId="77777777" w:rsidR="009654BD" w:rsidRDefault="00000000">
            <w:r>
              <w:rPr>
                <w:sz w:val="16"/>
              </w:rPr>
              <w:t>Islemark P09 local close date</w:t>
            </w:r>
          </w:p>
        </w:tc>
        <w:tc>
          <w:tcPr>
            <w:tcW w:w="5184" w:type="dxa"/>
            <w:vAlign w:val="center"/>
          </w:tcPr>
          <w:p w14:paraId="4220EE4A" w14:textId="77777777" w:rsidR="009654BD" w:rsidRDefault="00000000">
            <w:r>
              <w:rPr>
                <w:sz w:val="16"/>
              </w:rPr>
              <w:t>To be confirmed by local team - not in this framework</w:t>
            </w:r>
          </w:p>
        </w:tc>
      </w:tr>
      <w:tr w:rsidR="009654BD" w14:paraId="512C60B7" w14:textId="77777777">
        <w:trPr>
          <w:jc w:val="center"/>
        </w:trPr>
        <w:tc>
          <w:tcPr>
            <w:tcW w:w="5184" w:type="dxa"/>
            <w:vAlign w:val="center"/>
          </w:tcPr>
          <w:p w14:paraId="4C063028" w14:textId="77777777" w:rsidR="009654BD" w:rsidRDefault="00000000">
            <w:r>
              <w:rPr>
                <w:sz w:val="16"/>
              </w:rPr>
              <w:lastRenderedPageBreak/>
              <w:t>DoA spend thresholds</w:t>
            </w:r>
          </w:p>
        </w:tc>
        <w:tc>
          <w:tcPr>
            <w:tcW w:w="5184" w:type="dxa"/>
            <w:vAlign w:val="center"/>
          </w:tcPr>
          <w:p w14:paraId="247254CF" w14:textId="77777777" w:rsidR="009654BD" w:rsidRDefault="00000000">
            <w:r>
              <w:rPr>
                <w:sz w:val="16"/>
              </w:rPr>
              <w:t>Refer to local Delegation of Authority - not included in this framework</w:t>
            </w:r>
          </w:p>
        </w:tc>
      </w:tr>
    </w:tbl>
    <w:p w14:paraId="2E872C51" w14:textId="77777777" w:rsidR="009654BD" w:rsidRDefault="009654BD"/>
    <w:p w14:paraId="12BBDF1E" w14:textId="77777777" w:rsidR="009654BD" w:rsidRDefault="00000000">
      <w:pPr>
        <w:pStyle w:val="Heading1"/>
        <w:spacing w:after="80"/>
      </w:pPr>
      <w:r>
        <w:t>9. Use with AI assistants (agent boundaries)</w:t>
      </w:r>
    </w:p>
    <w:p w14:paraId="4C6B4482" w14:textId="77777777" w:rsidR="009654BD" w:rsidRDefault="00000000">
      <w:pPr>
        <w:spacing w:after="80"/>
      </w:pPr>
      <w:r>
        <w:t>An AI assistant (for example the BAT Finance Performance Guide - Synthetic CIE Demo) may explain these definitions, the threshold and the commentary structure, and route questions. It must not post journals, approve forecasts or spend, make accounting judgments, or present provisional, estimated or forecast figures as actuals. Output is always reviewed by a named finance owner.</w:t>
      </w:r>
    </w:p>
    <w:p w14:paraId="4A301B6C" w14:textId="77777777" w:rsidR="009654BD" w:rsidRDefault="00000000">
      <w:pPr>
        <w:pStyle w:val="Heading1"/>
        <w:spacing w:after="80"/>
      </w:pPr>
      <w:r>
        <w:t>10. Governance</w:t>
      </w:r>
    </w:p>
    <w:p w14:paraId="3298E32A" w14:textId="77777777" w:rsidR="009654BD" w:rsidRDefault="00000000">
      <w:pPr>
        <w:spacing w:after="80"/>
      </w:pPr>
      <w:r>
        <w:t>Questions and change requests: fpa-reporting@bat-cie.example (fictional). Teams channel: Region Atlas Finance &gt; Monthly Review. This framework is reviewed quarterly; next review 30 November 2026.</w:t>
      </w:r>
    </w:p>
    <w:sectPr w:rsidR="009654BD"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0868660">
    <w:abstractNumId w:val="8"/>
  </w:num>
  <w:num w:numId="2" w16cid:durableId="218710121">
    <w:abstractNumId w:val="6"/>
  </w:num>
  <w:num w:numId="3" w16cid:durableId="433676875">
    <w:abstractNumId w:val="5"/>
  </w:num>
  <w:num w:numId="4" w16cid:durableId="1400514598">
    <w:abstractNumId w:val="4"/>
  </w:num>
  <w:num w:numId="5" w16cid:durableId="1701785596">
    <w:abstractNumId w:val="7"/>
  </w:num>
  <w:num w:numId="6" w16cid:durableId="1341083489">
    <w:abstractNumId w:val="3"/>
  </w:num>
  <w:num w:numId="7" w16cid:durableId="1533613870">
    <w:abstractNumId w:val="2"/>
  </w:num>
  <w:num w:numId="8" w16cid:durableId="1681008397">
    <w:abstractNumId w:val="1"/>
  </w:num>
  <w:num w:numId="9" w16cid:durableId="1693714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34EF"/>
    <w:rsid w:val="008E19C2"/>
    <w:rsid w:val="00916061"/>
    <w:rsid w:val="009654BD"/>
    <w:rsid w:val="00A1739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562573D-3E2B-4A91-AC25-07554C805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F364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B5FC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5B5FC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960</Words>
  <Characters>5472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BAT_Management_Reporting_Framework_SYNTHETIC Clean</dc:title>
  <dc:subject/>
  <dc:creator>Synthetic CIE Demo</dc:creator>
  <cp:keywords/>
  <dc:description>Fresh browser-compatible copy. Synthetic training material.</dc:description>
  <cp:lastModifiedBy>Sara El Sayed</cp:lastModifiedBy>
  <cp:revision>3</cp:revision>
  <dcterms:created xsi:type="dcterms:W3CDTF">2013-12-23T23:15:00Z</dcterms:created>
  <dcterms:modified xsi:type="dcterms:W3CDTF">2026-10-20T20:41:00Z</dcterms:modified>
  <cp:category/>
</cp:coreProperties>
</file>