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FC709" w14:textId="77777777" w:rsidR="00F96341" w:rsidRDefault="00F96341" w:rsidP="00F96341">
      <w:pPr>
        <w:pStyle w:val="Heading1"/>
      </w:pPr>
      <w:r>
        <w:t>Invention Disclosure and Filing Process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315"/>
        <w:gridCol w:w="4315"/>
      </w:tblGrid>
      <w:tr w:rsidR="00F96341" w14:paraId="4F4B8DC3" w14:textId="77777777" w:rsidTr="00E71CB4">
        <w:trPr>
          <w:tblHeader/>
        </w:trPr>
        <w:tc>
          <w:tcPr>
            <w:tcW w:w="4320" w:type="dxa"/>
          </w:tcPr>
          <w:p w14:paraId="77F38391" w14:textId="77777777" w:rsidR="00F96341" w:rsidRDefault="00F96341" w:rsidP="00E71CB4">
            <w:r>
              <w:rPr>
                <w:b/>
              </w:rPr>
              <w:t>Page information</w:t>
            </w:r>
          </w:p>
        </w:tc>
        <w:tc>
          <w:tcPr>
            <w:tcW w:w="4320" w:type="dxa"/>
          </w:tcPr>
          <w:p w14:paraId="540B4464" w14:textId="77777777" w:rsidR="00F96341" w:rsidRDefault="00F96341" w:rsidP="00E71CB4"/>
        </w:tc>
      </w:tr>
      <w:tr w:rsidR="00F96341" w14:paraId="6A58902C" w14:textId="77777777" w:rsidTr="00E71CB4">
        <w:tc>
          <w:tcPr>
            <w:tcW w:w="4320" w:type="dxa"/>
          </w:tcPr>
          <w:p w14:paraId="208A5F16" w14:textId="77777777" w:rsidR="00F96341" w:rsidRDefault="00F96341" w:rsidP="00E71CB4">
            <w:r>
              <w:t>Wiki ID</w:t>
            </w:r>
          </w:p>
        </w:tc>
        <w:tc>
          <w:tcPr>
            <w:tcW w:w="4320" w:type="dxa"/>
          </w:tcPr>
          <w:p w14:paraId="776EA262" w14:textId="77777777" w:rsidR="00F96341" w:rsidRDefault="00F96341" w:rsidP="00E71CB4">
            <w:r>
              <w:t>PW-PROC-001</w:t>
            </w:r>
          </w:p>
        </w:tc>
      </w:tr>
      <w:tr w:rsidR="00F96341" w14:paraId="6AB17DDB" w14:textId="77777777" w:rsidTr="00E71CB4">
        <w:tc>
          <w:tcPr>
            <w:tcW w:w="4320" w:type="dxa"/>
          </w:tcPr>
          <w:p w14:paraId="629FCA83" w14:textId="77777777" w:rsidR="00F96341" w:rsidRDefault="00F96341" w:rsidP="00E71CB4">
            <w:r>
              <w:t>Content type</w:t>
            </w:r>
          </w:p>
        </w:tc>
        <w:tc>
          <w:tcPr>
            <w:tcW w:w="4320" w:type="dxa"/>
          </w:tcPr>
          <w:p w14:paraId="2728FE53" w14:textId="77777777" w:rsidR="00F96341" w:rsidRDefault="00F96341" w:rsidP="00E71CB4">
            <w:r>
              <w:t>Process</w:t>
            </w:r>
          </w:p>
        </w:tc>
      </w:tr>
      <w:tr w:rsidR="00F96341" w14:paraId="1C59AA7E" w14:textId="77777777" w:rsidTr="00E71CB4">
        <w:tc>
          <w:tcPr>
            <w:tcW w:w="4320" w:type="dxa"/>
          </w:tcPr>
          <w:p w14:paraId="3636343E" w14:textId="77777777" w:rsidR="00F96341" w:rsidRDefault="00F96341" w:rsidP="00E71CB4">
            <w:r>
              <w:t>Status</w:t>
            </w:r>
          </w:p>
        </w:tc>
        <w:tc>
          <w:tcPr>
            <w:tcW w:w="4320" w:type="dxa"/>
          </w:tcPr>
          <w:p w14:paraId="587F07C3" w14:textId="77777777" w:rsidR="00F96341" w:rsidRDefault="00F96341" w:rsidP="00E71CB4">
            <w:r>
              <w:t>Current</w:t>
            </w:r>
          </w:p>
        </w:tc>
      </w:tr>
      <w:tr w:rsidR="00F96341" w14:paraId="3980D2AC" w14:textId="77777777" w:rsidTr="00E71CB4">
        <w:tc>
          <w:tcPr>
            <w:tcW w:w="4320" w:type="dxa"/>
          </w:tcPr>
          <w:p w14:paraId="36EE77C5" w14:textId="77777777" w:rsidR="00F96341" w:rsidRDefault="00F96341" w:rsidP="00E71CB4">
            <w:r>
              <w:t>Version</w:t>
            </w:r>
          </w:p>
        </w:tc>
        <w:tc>
          <w:tcPr>
            <w:tcW w:w="4320" w:type="dxa"/>
          </w:tcPr>
          <w:p w14:paraId="75758BCB" w14:textId="77777777" w:rsidR="00F96341" w:rsidRDefault="00F96341" w:rsidP="00E71CB4">
            <w:r>
              <w:t>3.0</w:t>
            </w:r>
          </w:p>
        </w:tc>
      </w:tr>
      <w:tr w:rsidR="00F96341" w14:paraId="7939928A" w14:textId="77777777" w:rsidTr="00E71CB4">
        <w:tc>
          <w:tcPr>
            <w:tcW w:w="4320" w:type="dxa"/>
          </w:tcPr>
          <w:p w14:paraId="1E1EE7EE" w14:textId="77777777" w:rsidR="00F96341" w:rsidRDefault="00F96341" w:rsidP="00E71CB4">
            <w:r>
              <w:t>Owner</w:t>
            </w:r>
          </w:p>
        </w:tc>
        <w:tc>
          <w:tcPr>
            <w:tcW w:w="4320" w:type="dxa"/>
          </w:tcPr>
          <w:p w14:paraId="22B447F7" w14:textId="77777777" w:rsidR="00F96341" w:rsidRDefault="00F96341" w:rsidP="00E71CB4">
            <w:r>
              <w:t>Patent Filing Lead, IP Legal (Patents)</w:t>
            </w:r>
          </w:p>
        </w:tc>
      </w:tr>
      <w:tr w:rsidR="00F96341" w14:paraId="3EB17AD7" w14:textId="77777777" w:rsidTr="00E71CB4">
        <w:tc>
          <w:tcPr>
            <w:tcW w:w="4320" w:type="dxa"/>
          </w:tcPr>
          <w:p w14:paraId="30B7A0BC" w14:textId="77777777" w:rsidR="00F96341" w:rsidRDefault="00F96341" w:rsidP="00E71CB4">
            <w:r>
              <w:t>Last reviewed</w:t>
            </w:r>
          </w:p>
        </w:tc>
        <w:tc>
          <w:tcPr>
            <w:tcW w:w="4320" w:type="dxa"/>
          </w:tcPr>
          <w:p w14:paraId="0F9E15A8" w14:textId="77777777" w:rsidR="00F96341" w:rsidRDefault="00F96341" w:rsidP="00E71CB4">
            <w:r>
              <w:t>2026-06-30</w:t>
            </w:r>
          </w:p>
        </w:tc>
      </w:tr>
      <w:tr w:rsidR="00F96341" w14:paraId="6D707117" w14:textId="77777777" w:rsidTr="00E71CB4">
        <w:tc>
          <w:tcPr>
            <w:tcW w:w="4320" w:type="dxa"/>
          </w:tcPr>
          <w:p w14:paraId="39C25569" w14:textId="77777777" w:rsidR="00F96341" w:rsidRDefault="00F96341" w:rsidP="00E71CB4">
            <w:r>
              <w:t>Next review</w:t>
            </w:r>
          </w:p>
        </w:tc>
        <w:tc>
          <w:tcPr>
            <w:tcW w:w="4320" w:type="dxa"/>
          </w:tcPr>
          <w:p w14:paraId="6F5365AC" w14:textId="77777777" w:rsidR="00F96341" w:rsidRDefault="00F96341" w:rsidP="00E71CB4">
            <w:r>
              <w:t>2027-06-30</w:t>
            </w:r>
          </w:p>
        </w:tc>
      </w:tr>
      <w:tr w:rsidR="00F96341" w14:paraId="08FEC9F6" w14:textId="77777777" w:rsidTr="00E71CB4">
        <w:tc>
          <w:tcPr>
            <w:tcW w:w="4320" w:type="dxa"/>
          </w:tcPr>
          <w:p w14:paraId="0DAF7811" w14:textId="77777777" w:rsidR="00F96341" w:rsidRDefault="00F96341" w:rsidP="00E71CB4">
            <w:r>
              <w:t>Replaces</w:t>
            </w:r>
          </w:p>
        </w:tc>
        <w:tc>
          <w:tcPr>
            <w:tcW w:w="4320" w:type="dxa"/>
          </w:tcPr>
          <w:p w14:paraId="1F9DEFA2" w14:textId="77777777" w:rsidR="00F96341" w:rsidRDefault="00F96341" w:rsidP="00E71CB4">
            <w:r>
              <w:t>PW-PROC-001-V2 (version 2.0, superseded)</w:t>
            </w:r>
          </w:p>
        </w:tc>
      </w:tr>
      <w:tr w:rsidR="00F96341" w14:paraId="2B62C51E" w14:textId="77777777" w:rsidTr="00E71CB4">
        <w:tc>
          <w:tcPr>
            <w:tcW w:w="4320" w:type="dxa"/>
          </w:tcPr>
          <w:p w14:paraId="31968702" w14:textId="77777777" w:rsidR="00F96341" w:rsidRDefault="00F96341" w:rsidP="00E71CB4">
            <w:r>
              <w:t>Related pages</w:t>
            </w:r>
          </w:p>
        </w:tc>
        <w:tc>
          <w:tcPr>
            <w:tcW w:w="4320" w:type="dxa"/>
          </w:tcPr>
          <w:p w14:paraId="76C62ABE" w14:textId="77777777" w:rsidR="00F96341" w:rsidRDefault="00F96341" w:rsidP="00E71CB4">
            <w:r>
              <w:t>PW-POL-002 Public Disclosure and Conference Policy; PW-GUIDE-004 Requesting R&amp;D Data for Patent Work; PW-REF-006 Patents Glossary</w:t>
            </w:r>
          </w:p>
        </w:tc>
      </w:tr>
    </w:tbl>
    <w:p w14:paraId="0730E0C0" w14:textId="77777777" w:rsidR="00F96341" w:rsidRDefault="00F96341" w:rsidP="00F96341">
      <w:r>
        <w:rPr>
          <w:i/>
        </w:rPr>
        <w:t>FICTIONAL DEMO CONTENT - created for training. Not real BAT guidance.</w:t>
      </w:r>
    </w:p>
    <w:p w14:paraId="792AD8D9" w14:textId="77777777" w:rsidR="00F96341" w:rsidRDefault="00F96341" w:rsidP="00F96341">
      <w:pPr>
        <w:pStyle w:val="Heading2"/>
      </w:pPr>
      <w:r>
        <w:t>Purpose</w:t>
      </w:r>
    </w:p>
    <w:p w14:paraId="7BCDF863" w14:textId="77777777" w:rsidR="00F96341" w:rsidRDefault="00F96341" w:rsidP="00F96341">
      <w:r>
        <w:t>How an inventor reports a new invention and how IP Legal decides whether to file a patent application.</w:t>
      </w:r>
    </w:p>
    <w:p w14:paraId="27BEDC09" w14:textId="77777777" w:rsidR="00F96341" w:rsidRDefault="00F96341" w:rsidP="00F96341">
      <w:pPr>
        <w:pStyle w:val="Heading2"/>
      </w:pPr>
      <w:r>
        <w:t>Who this applies to</w:t>
      </w:r>
    </w:p>
    <w:p w14:paraId="600C18AA" w14:textId="77777777" w:rsidR="00F96341" w:rsidRDefault="00F96341" w:rsidP="00F96341">
      <w:r>
        <w:t>All BAT employees and contractors who develop products, devices, consumables, packaging or processes.</w:t>
      </w:r>
    </w:p>
    <w:p w14:paraId="4B1B11F7" w14:textId="77777777" w:rsidR="00F96341" w:rsidRDefault="00F96341" w:rsidP="00F96341">
      <w:pPr>
        <w:pStyle w:val="Heading2"/>
      </w:pPr>
      <w:r>
        <w:t>Process steps</w:t>
      </w:r>
    </w:p>
    <w:p w14:paraId="688D1342" w14:textId="77777777" w:rsidR="00F96341" w:rsidRDefault="00F96341" w:rsidP="00F96341">
      <w:pPr>
        <w:pStyle w:val="ListParagraph"/>
        <w:numPr>
          <w:ilvl w:val="0"/>
          <w:numId w:val="3"/>
        </w:numPr>
        <w:spacing w:after="200" w:line="276" w:lineRule="auto"/>
      </w:pPr>
      <w:r>
        <w:rPr>
          <w:b/>
        </w:rPr>
        <w:t>Capture.</w:t>
      </w:r>
      <w:r>
        <w:t xml:space="preserve"> The inventor completes the Invention Disclosure Form (IDF): title, problem solved, how it works, what is new, drawings or test data, all contributors and any planned disclosure dates.</w:t>
      </w:r>
    </w:p>
    <w:p w14:paraId="0728C5B7" w14:textId="77777777" w:rsidR="00F96341" w:rsidRDefault="00F96341" w:rsidP="00F96341">
      <w:pPr>
        <w:pStyle w:val="ListParagraph"/>
        <w:numPr>
          <w:ilvl w:val="0"/>
          <w:numId w:val="3"/>
        </w:numPr>
        <w:spacing w:after="200" w:line="276" w:lineRule="auto"/>
      </w:pPr>
      <w:r>
        <w:rPr>
          <w:b/>
        </w:rPr>
        <w:t>Submit.</w:t>
      </w:r>
      <w:r>
        <w:t xml:space="preserve"> Send the IDF to the IP Legal (Patents) mailbox. IP Legal acknowledges within </w:t>
      </w:r>
      <w:r>
        <w:rPr>
          <w:b/>
        </w:rPr>
        <w:t>2 working days</w:t>
      </w:r>
      <w:r>
        <w:t xml:space="preserve"> and assigns a patent attorney.</w:t>
      </w:r>
    </w:p>
    <w:p w14:paraId="42359ED3" w14:textId="77777777" w:rsidR="00F96341" w:rsidRDefault="00F96341" w:rsidP="00F96341">
      <w:pPr>
        <w:pStyle w:val="ListParagraph"/>
        <w:numPr>
          <w:ilvl w:val="0"/>
          <w:numId w:val="3"/>
        </w:numPr>
        <w:spacing w:after="200" w:line="276" w:lineRule="auto"/>
      </w:pPr>
      <w:r>
        <w:rPr>
          <w:b/>
        </w:rPr>
        <w:t>Assess.</w:t>
      </w:r>
      <w:r>
        <w:t xml:space="preserve"> The attorney runs a prior-art search (target </w:t>
      </w:r>
      <w:r>
        <w:rPr>
          <w:b/>
        </w:rPr>
        <w:t>10 working days</w:t>
      </w:r>
      <w:r>
        <w:t>) and may request supporting data from R&amp;D (see PW-GUIDE-004).</w:t>
      </w:r>
    </w:p>
    <w:p w14:paraId="1E1AD7FA" w14:textId="77777777" w:rsidR="00F96341" w:rsidRDefault="00F96341" w:rsidP="00F96341">
      <w:pPr>
        <w:pStyle w:val="ListParagraph"/>
        <w:numPr>
          <w:ilvl w:val="0"/>
          <w:numId w:val="3"/>
        </w:numPr>
        <w:spacing w:after="200" w:line="276" w:lineRule="auto"/>
      </w:pPr>
      <w:r>
        <w:rPr>
          <w:b/>
        </w:rPr>
        <w:t>Decide.</w:t>
      </w:r>
      <w:r>
        <w:t xml:space="preserve"> The Patent Review Board (PRB) decides: file, keep as a trade secret, publish defensively, or do not pursue. Target: </w:t>
      </w:r>
      <w:r>
        <w:rPr>
          <w:b/>
        </w:rPr>
        <w:t>30 working days</w:t>
      </w:r>
      <w:r>
        <w:t xml:space="preserve"> from a complete IDF.</w:t>
      </w:r>
    </w:p>
    <w:p w14:paraId="06DC44B3" w14:textId="77777777" w:rsidR="00F96341" w:rsidRDefault="00F96341" w:rsidP="00F96341">
      <w:pPr>
        <w:pStyle w:val="ListParagraph"/>
        <w:numPr>
          <w:ilvl w:val="0"/>
          <w:numId w:val="3"/>
        </w:numPr>
        <w:spacing w:after="200" w:line="276" w:lineRule="auto"/>
      </w:pPr>
      <w:r>
        <w:rPr>
          <w:b/>
        </w:rPr>
        <w:t>File.</w:t>
      </w:r>
      <w:r>
        <w:t xml:space="preserve"> External counsel drafts the application. The inventor reviews the draft within </w:t>
      </w:r>
      <w:r>
        <w:rPr>
          <w:b/>
        </w:rPr>
        <w:t>5 working days</w:t>
      </w:r>
      <w:r>
        <w:t>. The first filing is usually a GB or EP priority application.</w:t>
      </w:r>
    </w:p>
    <w:p w14:paraId="4B444751" w14:textId="77777777" w:rsidR="00F96341" w:rsidRDefault="00F96341" w:rsidP="00F96341">
      <w:pPr>
        <w:pStyle w:val="ListParagraph"/>
        <w:numPr>
          <w:ilvl w:val="0"/>
          <w:numId w:val="3"/>
        </w:numPr>
        <w:spacing w:after="200" w:line="276" w:lineRule="auto"/>
      </w:pPr>
      <w:r>
        <w:rPr>
          <w:b/>
        </w:rPr>
        <w:t>International.</w:t>
      </w:r>
      <w:r>
        <w:t xml:space="preserve"> Within 12 months of the priority date, IP Legal and the Technology Area Lead (TAL) decide on international filings.</w:t>
      </w:r>
    </w:p>
    <w:p w14:paraId="1570C26C" w14:textId="77777777" w:rsidR="00F96341" w:rsidRDefault="00F96341" w:rsidP="00F96341">
      <w:pPr>
        <w:pStyle w:val="ListParagraph"/>
        <w:numPr>
          <w:ilvl w:val="0"/>
          <w:numId w:val="3"/>
        </w:numPr>
        <w:spacing w:after="200" w:line="276" w:lineRule="auto"/>
      </w:pPr>
      <w:r>
        <w:rPr>
          <w:b/>
        </w:rPr>
        <w:t>Maintain.</w:t>
      </w:r>
      <w:r>
        <w:t xml:space="preserve"> Renewal decisions follow PW-PROC-003.</w:t>
      </w:r>
    </w:p>
    <w:p w14:paraId="21DF7477" w14:textId="77777777" w:rsidR="00F96341" w:rsidRDefault="00F96341" w:rsidP="00F96341">
      <w:pPr>
        <w:pStyle w:val="Heading2"/>
      </w:pPr>
      <w:r>
        <w:t>Fast track</w:t>
      </w:r>
    </w:p>
    <w:p w14:paraId="1483BACC" w14:textId="77777777" w:rsidR="00F96341" w:rsidRDefault="00F96341" w:rsidP="00F96341">
      <w:r>
        <w:t xml:space="preserve">Mark the IDF "Urgent" if a product launch, trade show or publication is planned within </w:t>
      </w:r>
      <w:r>
        <w:rPr>
          <w:b/>
        </w:rPr>
        <w:t>60 days</w:t>
      </w:r>
      <w:r>
        <w:t>. Urgent IDFs go to the next PRB meeting.</w:t>
      </w:r>
    </w:p>
    <w:p w14:paraId="1CA1D51D" w14:textId="77777777" w:rsidR="00F96341" w:rsidRDefault="00F96341" w:rsidP="00F96341">
      <w:pPr>
        <w:pStyle w:val="Heading2"/>
      </w:pPr>
      <w:r>
        <w:t>What changed in version 3.0</w:t>
      </w:r>
    </w:p>
    <w:p w14:paraId="07798B70" w14:textId="77777777" w:rsidR="00F96341" w:rsidRDefault="00F96341" w:rsidP="00F96341">
      <w:pPr>
        <w:pStyle w:val="ListParagraph"/>
        <w:numPr>
          <w:ilvl w:val="0"/>
          <w:numId w:val="1"/>
        </w:numPr>
        <w:spacing w:after="200" w:line="276" w:lineRule="auto"/>
      </w:pPr>
      <w:r>
        <w:t>Decision target reduced from 45 to 30 working days.</w:t>
      </w:r>
    </w:p>
    <w:p w14:paraId="5CE6E941" w14:textId="77777777" w:rsidR="00F96341" w:rsidRDefault="00F96341" w:rsidP="00F96341">
      <w:pPr>
        <w:pStyle w:val="ListParagraph"/>
        <w:numPr>
          <w:ilvl w:val="0"/>
          <w:numId w:val="1"/>
        </w:numPr>
        <w:spacing w:after="200" w:line="276" w:lineRule="auto"/>
      </w:pPr>
      <w:r>
        <w:t>Fast-track window extended from 30 to 60 days.</w:t>
      </w:r>
    </w:p>
    <w:p w14:paraId="218F4AD7" w14:textId="77777777" w:rsidR="00F96341" w:rsidRDefault="00F96341" w:rsidP="00F96341">
      <w:pPr>
        <w:pStyle w:val="ListParagraph"/>
        <w:numPr>
          <w:ilvl w:val="0"/>
          <w:numId w:val="1"/>
        </w:numPr>
        <w:spacing w:after="200" w:line="276" w:lineRule="auto"/>
      </w:pPr>
      <w:r>
        <w:t>R&amp;D data requests now follow PW-GUIDE-004.</w:t>
      </w:r>
    </w:p>
    <w:p w14:paraId="1136E6FC" w14:textId="77777777" w:rsidR="00F96341" w:rsidRDefault="00F96341" w:rsidP="00F96341">
      <w:pPr>
        <w:pStyle w:val="Heading2"/>
      </w:pPr>
      <w:r>
        <w:t>Common causes of delay</w:t>
      </w:r>
    </w:p>
    <w:p w14:paraId="024812F7" w14:textId="77777777" w:rsidR="00F96341" w:rsidRDefault="00F96341" w:rsidP="00F96341">
      <w:r>
        <w:t>Incomplete IDF (missing test data or contributor names), waiting for R&amp;D data, inventor unavailable to review drafts, unclear commercial relevance.</w:t>
      </w:r>
    </w:p>
    <w:p w14:paraId="79997662" w14:textId="77777777" w:rsidR="005861F1" w:rsidRPr="00F96341" w:rsidRDefault="005861F1" w:rsidP="00F96341"/>
    <w:sectPr w:rsidR="005861F1" w:rsidRPr="00F96341" w:rsidSect="00F9634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A0001"/>
    <w:multiLevelType w:val="multilevel"/>
    <w:tmpl w:val="5C3A1001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3A0002"/>
    <w:multiLevelType w:val="multilevel"/>
    <w:tmpl w:val="5C3A1002"/>
    <w:lvl w:ilvl="0">
      <w:start w:val="1"/>
      <w:numFmt w:val="decimal"/>
      <w:pStyle w:val="ListNumber"/>
      <w:lvlText w:val="%1."/>
      <w:lvlJc w:val="left"/>
      <w:pPr>
        <w:ind w:left="720" w:hanging="360"/>
      </w:pPr>
    </w:lvl>
    <w:lvl w:ilvl="1">
      <w:start w:val="1"/>
      <w:numFmt w:val="lowerLetter"/>
      <w:pStyle w:val="ListNumber2"/>
      <w:lvlText w:val="%2."/>
      <w:lvlJc w:val="left"/>
      <w:pPr>
        <w:ind w:left="1440" w:hanging="360"/>
      </w:pPr>
    </w:lvl>
    <w:lvl w:ilvl="2">
      <w:start w:val="1"/>
      <w:numFmt w:val="lowerRoman"/>
      <w:pStyle w:val="ListNumber3"/>
      <w:lvlText w:val="%3."/>
      <w:lvlJc w:val="left"/>
      <w:pPr>
        <w:ind w:left="2160" w:hanging="360"/>
      </w:pPr>
    </w:lvl>
    <w:lvl w:ilvl="3">
      <w:start w:val="1"/>
      <w:numFmt w:val="decimal"/>
      <w:pStyle w:val="ListNumber4"/>
      <w:lvlText w:val="%4."/>
      <w:lvlJc w:val="left"/>
      <w:pPr>
        <w:ind w:left="2880" w:hanging="360"/>
      </w:pPr>
    </w:lvl>
    <w:lvl w:ilvl="4">
      <w:start w:val="1"/>
      <w:numFmt w:val="lowerLetter"/>
      <w:pStyle w:val="ListNumber5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241372063">
    <w:abstractNumId w:val="0"/>
  </w:num>
  <w:num w:numId="2" w16cid:durableId="1934168743">
    <w:abstractNumId w:val="1"/>
  </w:num>
  <w:num w:numId="3" w16cid:durableId="8635168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341"/>
    <w:rsid w:val="005861F1"/>
    <w:rsid w:val="005C1E58"/>
    <w:rsid w:val="00F106E8"/>
    <w:rsid w:val="00F96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3DF57"/>
  <w15:chartTrackingRefBased/>
  <w15:docId w15:val="{E6AFF856-2F36-4E7B-87A5-3E25F152A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6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341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F96341"/>
    <w:pPr>
      <w:numPr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Bullet2">
    <w:name w:val="List Bullet 2"/>
    <w:basedOn w:val="Normal"/>
    <w:uiPriority w:val="99"/>
    <w:unhideWhenUsed/>
    <w:rsid w:val="00F96341"/>
    <w:pPr>
      <w:numPr>
        <w:ilvl w:val="1"/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Bullet3">
    <w:name w:val="List Bullet 3"/>
    <w:basedOn w:val="Normal"/>
    <w:uiPriority w:val="99"/>
    <w:unhideWhenUsed/>
    <w:rsid w:val="00F96341"/>
    <w:pPr>
      <w:numPr>
        <w:ilvl w:val="2"/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Bullet4">
    <w:name w:val="List Bullet 4"/>
    <w:basedOn w:val="Normal"/>
    <w:uiPriority w:val="99"/>
    <w:unhideWhenUsed/>
    <w:rsid w:val="00F96341"/>
    <w:pPr>
      <w:numPr>
        <w:ilvl w:val="3"/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Bullet5">
    <w:name w:val="List Bullet 5"/>
    <w:basedOn w:val="Normal"/>
    <w:uiPriority w:val="99"/>
    <w:unhideWhenUsed/>
    <w:rsid w:val="00F96341"/>
    <w:pPr>
      <w:numPr>
        <w:ilvl w:val="4"/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F96341"/>
    <w:pPr>
      <w:numPr>
        <w:numId w:val="2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2">
    <w:name w:val="List Number 2"/>
    <w:basedOn w:val="Normal"/>
    <w:uiPriority w:val="99"/>
    <w:unhideWhenUsed/>
    <w:rsid w:val="00F96341"/>
    <w:pPr>
      <w:numPr>
        <w:ilvl w:val="1"/>
        <w:numId w:val="2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3">
    <w:name w:val="List Number 3"/>
    <w:basedOn w:val="Normal"/>
    <w:uiPriority w:val="99"/>
    <w:unhideWhenUsed/>
    <w:rsid w:val="00F96341"/>
    <w:pPr>
      <w:numPr>
        <w:ilvl w:val="2"/>
        <w:numId w:val="2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4">
    <w:name w:val="List Number 4"/>
    <w:basedOn w:val="Normal"/>
    <w:uiPriority w:val="99"/>
    <w:unhideWhenUsed/>
    <w:rsid w:val="00F96341"/>
    <w:pPr>
      <w:numPr>
        <w:ilvl w:val="3"/>
        <w:numId w:val="2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5">
    <w:name w:val="List Number 5"/>
    <w:basedOn w:val="Normal"/>
    <w:uiPriority w:val="99"/>
    <w:unhideWhenUsed/>
    <w:rsid w:val="00F96341"/>
    <w:pPr>
      <w:numPr>
        <w:ilvl w:val="4"/>
        <w:numId w:val="2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F9634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El Sayed</dc:creator>
  <cp:keywords/>
  <dc:description/>
  <cp:lastModifiedBy>Sara El Sayed</cp:lastModifiedBy>
  <cp:revision>1</cp:revision>
  <dcterms:created xsi:type="dcterms:W3CDTF">2026-10-29T13:41:00Z</dcterms:created>
  <dcterms:modified xsi:type="dcterms:W3CDTF">2026-10-29T13:41:00Z</dcterms:modified>
</cp:coreProperties>
</file>