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004A" w14:textId="77777777" w:rsidR="00CD1438" w:rsidRDefault="00CD1438" w:rsidP="00CD1438">
      <w:pPr>
        <w:pStyle w:val="Heading1"/>
      </w:pPr>
      <w:r>
        <w:t>Patent Renewal Decision Process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CD1438" w14:paraId="147DF6E9" w14:textId="77777777" w:rsidTr="00E71CB4">
        <w:trPr>
          <w:tblHeader/>
        </w:trPr>
        <w:tc>
          <w:tcPr>
            <w:tcW w:w="4320" w:type="dxa"/>
          </w:tcPr>
          <w:p w14:paraId="03A0F0E0" w14:textId="77777777" w:rsidR="00CD1438" w:rsidRDefault="00CD1438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0457A9F" w14:textId="77777777" w:rsidR="00CD1438" w:rsidRDefault="00CD1438" w:rsidP="00E71CB4"/>
        </w:tc>
      </w:tr>
      <w:tr w:rsidR="00CD1438" w14:paraId="11AD3217" w14:textId="77777777" w:rsidTr="00E71CB4">
        <w:tc>
          <w:tcPr>
            <w:tcW w:w="4320" w:type="dxa"/>
          </w:tcPr>
          <w:p w14:paraId="3F76179F" w14:textId="77777777" w:rsidR="00CD1438" w:rsidRDefault="00CD1438" w:rsidP="00E71CB4">
            <w:r>
              <w:t>Wiki ID</w:t>
            </w:r>
          </w:p>
        </w:tc>
        <w:tc>
          <w:tcPr>
            <w:tcW w:w="4320" w:type="dxa"/>
          </w:tcPr>
          <w:p w14:paraId="3074F379" w14:textId="77777777" w:rsidR="00CD1438" w:rsidRDefault="00CD1438" w:rsidP="00E71CB4">
            <w:r>
              <w:t>PW-PROC-003</w:t>
            </w:r>
          </w:p>
        </w:tc>
      </w:tr>
      <w:tr w:rsidR="00CD1438" w14:paraId="49690C5E" w14:textId="77777777" w:rsidTr="00E71CB4">
        <w:tc>
          <w:tcPr>
            <w:tcW w:w="4320" w:type="dxa"/>
          </w:tcPr>
          <w:p w14:paraId="3C675A9F" w14:textId="77777777" w:rsidR="00CD1438" w:rsidRDefault="00CD1438" w:rsidP="00E71CB4">
            <w:r>
              <w:t>Content type</w:t>
            </w:r>
          </w:p>
        </w:tc>
        <w:tc>
          <w:tcPr>
            <w:tcW w:w="4320" w:type="dxa"/>
          </w:tcPr>
          <w:p w14:paraId="640C5D6D" w14:textId="77777777" w:rsidR="00CD1438" w:rsidRDefault="00CD1438" w:rsidP="00E71CB4">
            <w:r>
              <w:t>Process</w:t>
            </w:r>
          </w:p>
        </w:tc>
      </w:tr>
      <w:tr w:rsidR="00CD1438" w14:paraId="38ECEBB9" w14:textId="77777777" w:rsidTr="00E71CB4">
        <w:tc>
          <w:tcPr>
            <w:tcW w:w="4320" w:type="dxa"/>
          </w:tcPr>
          <w:p w14:paraId="5E0C4FF5" w14:textId="77777777" w:rsidR="00CD1438" w:rsidRDefault="00CD1438" w:rsidP="00E71CB4">
            <w:r>
              <w:t>Status</w:t>
            </w:r>
          </w:p>
        </w:tc>
        <w:tc>
          <w:tcPr>
            <w:tcW w:w="4320" w:type="dxa"/>
          </w:tcPr>
          <w:p w14:paraId="196453BB" w14:textId="77777777" w:rsidR="00CD1438" w:rsidRDefault="00CD1438" w:rsidP="00E71CB4">
            <w:r>
              <w:t>Current</w:t>
            </w:r>
          </w:p>
        </w:tc>
      </w:tr>
      <w:tr w:rsidR="00CD1438" w14:paraId="56ADF445" w14:textId="77777777" w:rsidTr="00E71CB4">
        <w:tc>
          <w:tcPr>
            <w:tcW w:w="4320" w:type="dxa"/>
          </w:tcPr>
          <w:p w14:paraId="741BFA49" w14:textId="77777777" w:rsidR="00CD1438" w:rsidRDefault="00CD1438" w:rsidP="00E71CB4">
            <w:r>
              <w:t>Version</w:t>
            </w:r>
          </w:p>
        </w:tc>
        <w:tc>
          <w:tcPr>
            <w:tcW w:w="4320" w:type="dxa"/>
          </w:tcPr>
          <w:p w14:paraId="705DB9CE" w14:textId="77777777" w:rsidR="00CD1438" w:rsidRDefault="00CD1438" w:rsidP="00E71CB4">
            <w:r>
              <w:t>1.4</w:t>
            </w:r>
          </w:p>
        </w:tc>
      </w:tr>
      <w:tr w:rsidR="00CD1438" w14:paraId="7B5B03B6" w14:textId="77777777" w:rsidTr="00E71CB4">
        <w:tc>
          <w:tcPr>
            <w:tcW w:w="4320" w:type="dxa"/>
          </w:tcPr>
          <w:p w14:paraId="6A80CC36" w14:textId="77777777" w:rsidR="00CD1438" w:rsidRDefault="00CD1438" w:rsidP="00E71CB4">
            <w:r>
              <w:t>Owner</w:t>
            </w:r>
          </w:p>
        </w:tc>
        <w:tc>
          <w:tcPr>
            <w:tcW w:w="4320" w:type="dxa"/>
          </w:tcPr>
          <w:p w14:paraId="6A2728F4" w14:textId="77777777" w:rsidR="00CD1438" w:rsidRDefault="00CD1438" w:rsidP="00E71CB4">
            <w:r>
              <w:t>IP Portfolio Manager, IP Legal (Patents)</w:t>
            </w:r>
          </w:p>
        </w:tc>
      </w:tr>
      <w:tr w:rsidR="00CD1438" w14:paraId="62551EB6" w14:textId="77777777" w:rsidTr="00E71CB4">
        <w:tc>
          <w:tcPr>
            <w:tcW w:w="4320" w:type="dxa"/>
          </w:tcPr>
          <w:p w14:paraId="6DAA4C9C" w14:textId="77777777" w:rsidR="00CD1438" w:rsidRDefault="00CD1438" w:rsidP="00E71CB4">
            <w:r>
              <w:t>Last reviewed</w:t>
            </w:r>
          </w:p>
        </w:tc>
        <w:tc>
          <w:tcPr>
            <w:tcW w:w="4320" w:type="dxa"/>
          </w:tcPr>
          <w:p w14:paraId="3949E14D" w14:textId="77777777" w:rsidR="00CD1438" w:rsidRDefault="00CD1438" w:rsidP="00E71CB4">
            <w:r>
              <w:t>2026-01-12</w:t>
            </w:r>
          </w:p>
        </w:tc>
      </w:tr>
      <w:tr w:rsidR="00CD1438" w14:paraId="32909A10" w14:textId="77777777" w:rsidTr="00E71CB4">
        <w:tc>
          <w:tcPr>
            <w:tcW w:w="4320" w:type="dxa"/>
          </w:tcPr>
          <w:p w14:paraId="768820DA" w14:textId="77777777" w:rsidR="00CD1438" w:rsidRDefault="00CD1438" w:rsidP="00E71CB4">
            <w:r>
              <w:t>Next review</w:t>
            </w:r>
          </w:p>
        </w:tc>
        <w:tc>
          <w:tcPr>
            <w:tcW w:w="4320" w:type="dxa"/>
          </w:tcPr>
          <w:p w14:paraId="5F614B3F" w14:textId="77777777" w:rsidR="00CD1438" w:rsidRDefault="00CD1438" w:rsidP="00E71CB4">
            <w:r>
              <w:t>2026-07-12</w:t>
            </w:r>
          </w:p>
        </w:tc>
      </w:tr>
      <w:tr w:rsidR="00CD1438" w14:paraId="49E38883" w14:textId="77777777" w:rsidTr="00E71CB4">
        <w:tc>
          <w:tcPr>
            <w:tcW w:w="4320" w:type="dxa"/>
          </w:tcPr>
          <w:p w14:paraId="70731A0C" w14:textId="77777777" w:rsidR="00CD1438" w:rsidRDefault="00CD1438" w:rsidP="00E71CB4">
            <w:r>
              <w:t>Related pages</w:t>
            </w:r>
          </w:p>
        </w:tc>
        <w:tc>
          <w:tcPr>
            <w:tcW w:w="4320" w:type="dxa"/>
          </w:tcPr>
          <w:p w14:paraId="0ABB2E15" w14:textId="77777777" w:rsidR="00CD1438" w:rsidRDefault="00CD1438" w:rsidP="00E71CB4">
            <w:r>
              <w:t>PW-REF-006 Patents Glossary; PW-REF-007 Who's Who and Contacts</w:t>
            </w:r>
          </w:p>
        </w:tc>
      </w:tr>
    </w:tbl>
    <w:p w14:paraId="38F8DBDD" w14:textId="77777777" w:rsidR="00CD1438" w:rsidRDefault="00CD1438" w:rsidP="00CD1438">
      <w:r>
        <w:rPr>
          <w:i/>
        </w:rPr>
        <w:t>FICTIONAL DEMO CONTENT - created for training. Not real BAT guidance.</w:t>
      </w:r>
    </w:p>
    <w:p w14:paraId="3E1771B2" w14:textId="77777777" w:rsidR="00CD1438" w:rsidRDefault="00CD1438" w:rsidP="00CD1438">
      <w:pPr>
        <w:pStyle w:val="Heading2"/>
      </w:pPr>
      <w:r>
        <w:t>Purpose</w:t>
      </w:r>
    </w:p>
    <w:p w14:paraId="24718D49" w14:textId="77777777" w:rsidR="00CD1438" w:rsidRDefault="00CD1438" w:rsidP="00CD1438">
      <w:r>
        <w:t>How BAT decides whether to renew or drop each patent, so renewal spend stays focused on commercially relevant protection.</w:t>
      </w:r>
    </w:p>
    <w:p w14:paraId="3345F845" w14:textId="77777777" w:rsidR="00CD1438" w:rsidRDefault="00CD1438" w:rsidP="00CD1438">
      <w:pPr>
        <w:pStyle w:val="Heading2"/>
      </w:pPr>
      <w:r>
        <w:t>Process steps</w:t>
      </w:r>
    </w:p>
    <w:p w14:paraId="1E52453C" w14:textId="77777777" w:rsidR="00CD1438" w:rsidRDefault="00CD1438" w:rsidP="00CD1438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90 days before</w:t>
      </w:r>
      <w:r>
        <w:t xml:space="preserve"> a renewal falls due, the IP Portfolio Manager asks the business owner of the patent family to confirm commercial relevance.</w:t>
      </w:r>
    </w:p>
    <w:p w14:paraId="5536E44A" w14:textId="77777777" w:rsidR="00CD1438" w:rsidRDefault="00CD1438" w:rsidP="00CD1438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The business owner replies within </w:t>
      </w:r>
      <w:r>
        <w:rPr>
          <w:b/>
        </w:rPr>
        <w:t>30 days</w:t>
      </w:r>
      <w:r>
        <w:t xml:space="preserve"> with Renew, Drop, or Review.</w:t>
      </w:r>
    </w:p>
    <w:p w14:paraId="35E0CE63" w14:textId="77777777" w:rsidR="00CD1438" w:rsidRDefault="00CD1438" w:rsidP="00CD1438">
      <w:pPr>
        <w:pStyle w:val="ListParagraph"/>
        <w:numPr>
          <w:ilvl w:val="0"/>
          <w:numId w:val="3"/>
        </w:numPr>
        <w:spacing w:after="200" w:line="276" w:lineRule="auto"/>
      </w:pPr>
      <w:r>
        <w:t>If there is no reply within 30 days, the IP Portfolio Manager escalates to the Technology Area Lead (TAL).</w:t>
      </w:r>
    </w:p>
    <w:p w14:paraId="0C5A8E33" w14:textId="77777777" w:rsidR="00CD1438" w:rsidRDefault="00CD1438" w:rsidP="00CD1438">
      <w:pPr>
        <w:pStyle w:val="ListParagraph"/>
        <w:numPr>
          <w:ilvl w:val="0"/>
          <w:numId w:val="3"/>
        </w:numPr>
        <w:spacing w:after="200" w:line="276" w:lineRule="auto"/>
      </w:pPr>
      <w:r>
        <w:t>"Review" decisions go to the quarterly Portfolio Review meeting.</w:t>
      </w:r>
    </w:p>
    <w:p w14:paraId="090DF307" w14:textId="77777777" w:rsidR="00CD1438" w:rsidRDefault="00CD1438" w:rsidP="00CD1438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IP Legal instructs external counsel to pay or let lapse at least </w:t>
      </w:r>
      <w:r>
        <w:rPr>
          <w:b/>
        </w:rPr>
        <w:t>10 working days</w:t>
      </w:r>
      <w:r>
        <w:t xml:space="preserve"> before the due date.</w:t>
      </w:r>
    </w:p>
    <w:p w14:paraId="7731055E" w14:textId="77777777" w:rsidR="00CD1438" w:rsidRDefault="00CD1438" w:rsidP="00CD1438">
      <w:pPr>
        <w:pStyle w:val="Heading2"/>
      </w:pPr>
      <w:r>
        <w:t>Decision criteria</w:t>
      </w:r>
    </w:p>
    <w:p w14:paraId="2EA7DF56" w14:textId="77777777" w:rsidR="00CD1438" w:rsidRDefault="00CD1438" w:rsidP="00CD1438">
      <w:pPr>
        <w:pStyle w:val="ListParagraph"/>
        <w:numPr>
          <w:ilvl w:val="0"/>
          <w:numId w:val="1"/>
        </w:numPr>
        <w:spacing w:after="200" w:line="276" w:lineRule="auto"/>
      </w:pPr>
      <w:r>
        <w:t>Is the technology used in a current or planned product?</w:t>
      </w:r>
    </w:p>
    <w:p w14:paraId="792FA734" w14:textId="77777777" w:rsidR="00CD1438" w:rsidRDefault="00CD1438" w:rsidP="00CD1438">
      <w:pPr>
        <w:pStyle w:val="ListParagraph"/>
        <w:numPr>
          <w:ilvl w:val="0"/>
          <w:numId w:val="1"/>
        </w:numPr>
        <w:spacing w:after="200" w:line="276" w:lineRule="auto"/>
      </w:pPr>
      <w:r>
        <w:t>Is the patent licensed out or part of a cross-licence?</w:t>
      </w:r>
    </w:p>
    <w:p w14:paraId="342E623D" w14:textId="77777777" w:rsidR="00CD1438" w:rsidRDefault="00CD1438" w:rsidP="00CD1438">
      <w:pPr>
        <w:pStyle w:val="ListParagraph"/>
        <w:numPr>
          <w:ilvl w:val="0"/>
          <w:numId w:val="1"/>
        </w:numPr>
        <w:spacing w:after="200" w:line="276" w:lineRule="auto"/>
      </w:pPr>
      <w:r>
        <w:t>Is it under opposition or on infringement watch?</w:t>
      </w:r>
    </w:p>
    <w:p w14:paraId="727B8ACF" w14:textId="77777777" w:rsidR="00CD1438" w:rsidRDefault="00CD1438" w:rsidP="00CD1438">
      <w:pPr>
        <w:pStyle w:val="ListParagraph"/>
        <w:numPr>
          <w:ilvl w:val="0"/>
          <w:numId w:val="1"/>
        </w:numPr>
        <w:spacing w:after="200" w:line="276" w:lineRule="auto"/>
      </w:pPr>
      <w:r>
        <w:t>Does the family still protect a key market?</w:t>
      </w:r>
    </w:p>
    <w:p w14:paraId="08892070" w14:textId="77777777" w:rsidR="00CD1438" w:rsidRDefault="00CD1438" w:rsidP="00CD1438">
      <w:pPr>
        <w:pStyle w:val="Heading2"/>
      </w:pPr>
      <w:r>
        <w:t>Records</w:t>
      </w:r>
    </w:p>
    <w:p w14:paraId="0FAE1845" w14:textId="77777777" w:rsidR="00CD1438" w:rsidRDefault="00CD1438" w:rsidP="00CD1438">
      <w:r>
        <w:t>Every decision is recorded against the Family ID in the portfolio workbook, with the decision maker and date.</w:t>
      </w:r>
    </w:p>
    <w:p w14:paraId="6A9149EF" w14:textId="77777777" w:rsidR="005861F1" w:rsidRPr="00CD1438" w:rsidRDefault="005861F1" w:rsidP="00CD1438"/>
    <w:sectPr w:rsidR="005861F1" w:rsidRPr="00CD1438" w:rsidSect="00CD14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504201047">
    <w:abstractNumId w:val="0"/>
  </w:num>
  <w:num w:numId="2" w16cid:durableId="1021974125">
    <w:abstractNumId w:val="1"/>
  </w:num>
  <w:num w:numId="3" w16cid:durableId="1664813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38"/>
    <w:rsid w:val="005861F1"/>
    <w:rsid w:val="005C1E58"/>
    <w:rsid w:val="00CD143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FE03"/>
  <w15:chartTrackingRefBased/>
  <w15:docId w15:val="{3F22A846-9EBD-45D8-AF3A-87A709F7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3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D1438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CD1438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CD1438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CD1438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CD1438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CD1438"/>
    <w:pPr>
      <w:numPr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CD1438"/>
    <w:pPr>
      <w:numPr>
        <w:ilvl w:val="1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CD1438"/>
    <w:pPr>
      <w:numPr>
        <w:ilvl w:val="2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CD1438"/>
    <w:pPr>
      <w:numPr>
        <w:ilvl w:val="3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CD1438"/>
    <w:pPr>
      <w:numPr>
        <w:ilvl w:val="4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CD143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