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E4E1" w14:textId="77777777" w:rsidR="00AF282E" w:rsidRDefault="00000000">
      <w:pPr>
        <w:pStyle w:val="Title"/>
        <w:spacing w:after="80"/>
      </w:pPr>
      <w:r>
        <w:rPr>
          <w:sz w:val="44"/>
        </w:rPr>
        <w:t>BAT Business Review FAQ</w:t>
      </w:r>
    </w:p>
    <w:p w14:paraId="34C77251" w14:textId="77777777" w:rsidR="00AF282E" w:rsidRDefault="00000000">
      <w:pPr>
        <w:spacing w:after="80"/>
      </w:pPr>
      <w:r>
        <w:rPr>
          <w:color w:val="5B5FC7"/>
          <w:sz w:val="28"/>
        </w:rPr>
        <w:t>Quick answers for Trade Managers TM&amp;D</w:t>
      </w:r>
    </w:p>
    <w:p w14:paraId="62795A73" w14:textId="77777777" w:rsidR="00AF282E" w:rsidRDefault="00000000">
      <w:pPr>
        <w:spacing w:after="80"/>
      </w:pPr>
      <w:r>
        <w:rPr>
          <w:color w:val="666B7A"/>
        </w:rPr>
        <w:t>FAQ | Grounded in the Framework, Playbook and Escalation Guide | SYNTHETIC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F282E" w14:paraId="7F1719F5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648FE37D" w14:textId="77777777" w:rsidR="00AF282E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344BCD42" w14:textId="77777777" w:rsidR="00AF282E" w:rsidRDefault="00AF282E"/>
    <w:p w14:paraId="5B0E1D30" w14:textId="77777777" w:rsidR="00AF282E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282E" w14:paraId="4A977056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4782ADD4" w14:textId="77777777" w:rsidR="00AF282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7B536D5D" w14:textId="77777777" w:rsidR="00AF282E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AF282E" w14:paraId="1229519E" w14:textId="77777777">
        <w:trPr>
          <w:jc w:val="center"/>
        </w:trPr>
        <w:tc>
          <w:tcPr>
            <w:tcW w:w="5184" w:type="dxa"/>
            <w:vAlign w:val="center"/>
          </w:tcPr>
          <w:p w14:paraId="2EBD6E48" w14:textId="77777777" w:rsidR="00AF282E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343C8E3C" w14:textId="77777777" w:rsidR="00AF282E" w:rsidRDefault="00000000">
            <w:r>
              <w:rPr>
                <w:sz w:val="16"/>
              </w:rPr>
              <w:t>BAT Business Review FAQ</w:t>
            </w:r>
          </w:p>
        </w:tc>
      </w:tr>
      <w:tr w:rsidR="00AF282E" w14:paraId="3E7F8BF3" w14:textId="77777777">
        <w:trPr>
          <w:jc w:val="center"/>
        </w:trPr>
        <w:tc>
          <w:tcPr>
            <w:tcW w:w="5184" w:type="dxa"/>
            <w:vAlign w:val="center"/>
          </w:tcPr>
          <w:p w14:paraId="562CC841" w14:textId="77777777" w:rsidR="00AF282E" w:rsidRDefault="00000000">
            <w:r>
              <w:rPr>
                <w:sz w:val="16"/>
              </w:rPr>
              <w:t>Owner (fictional)</w:t>
            </w:r>
          </w:p>
        </w:tc>
        <w:tc>
          <w:tcPr>
            <w:tcW w:w="5184" w:type="dxa"/>
            <w:vAlign w:val="center"/>
          </w:tcPr>
          <w:p w14:paraId="0F0B45C0" w14:textId="77777777" w:rsidR="00AF282E" w:rsidRDefault="00000000">
            <w:r>
              <w:rPr>
                <w:sz w:val="16"/>
              </w:rPr>
              <w:t>Priya Vantongeren (fictional), TM&amp;D Insights Lead, Region Meridian</w:t>
            </w:r>
          </w:p>
        </w:tc>
      </w:tr>
      <w:tr w:rsidR="00AF282E" w14:paraId="24517366" w14:textId="77777777">
        <w:trPr>
          <w:jc w:val="center"/>
        </w:trPr>
        <w:tc>
          <w:tcPr>
            <w:tcW w:w="5184" w:type="dxa"/>
            <w:vAlign w:val="center"/>
          </w:tcPr>
          <w:p w14:paraId="3E28C1C5" w14:textId="77777777" w:rsidR="00AF282E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3C9E69E6" w14:textId="77777777" w:rsidR="00AF282E" w:rsidRDefault="00000000">
            <w:r>
              <w:rPr>
                <w:sz w:val="16"/>
              </w:rPr>
              <w:t>v0.9 Draft for CIE</w:t>
            </w:r>
          </w:p>
        </w:tc>
      </w:tr>
      <w:tr w:rsidR="00AF282E" w14:paraId="7D95EB75" w14:textId="77777777">
        <w:trPr>
          <w:jc w:val="center"/>
        </w:trPr>
        <w:tc>
          <w:tcPr>
            <w:tcW w:w="5184" w:type="dxa"/>
            <w:vAlign w:val="center"/>
          </w:tcPr>
          <w:p w14:paraId="63C4D789" w14:textId="77777777" w:rsidR="00AF282E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118D878D" w14:textId="77777777" w:rsidR="00AF282E" w:rsidRDefault="00000000">
            <w:r>
              <w:rPr>
                <w:sz w:val="16"/>
              </w:rPr>
              <w:t>Draft - synthetic, for CIE training only</w:t>
            </w:r>
          </w:p>
        </w:tc>
      </w:tr>
      <w:tr w:rsidR="00AF282E" w14:paraId="2B3781E1" w14:textId="77777777">
        <w:trPr>
          <w:jc w:val="center"/>
        </w:trPr>
        <w:tc>
          <w:tcPr>
            <w:tcW w:w="5184" w:type="dxa"/>
            <w:vAlign w:val="center"/>
          </w:tcPr>
          <w:p w14:paraId="7B76F364" w14:textId="77777777" w:rsidR="00AF282E" w:rsidRDefault="00000000">
            <w:r>
              <w:rPr>
                <w:sz w:val="16"/>
              </w:rPr>
              <w:t>Effective for</w:t>
            </w:r>
          </w:p>
        </w:tc>
        <w:tc>
          <w:tcPr>
            <w:tcW w:w="5184" w:type="dxa"/>
            <w:vAlign w:val="center"/>
          </w:tcPr>
          <w:p w14:paraId="1D644854" w14:textId="77777777" w:rsidR="00AF282E" w:rsidRDefault="00000000">
            <w:r>
              <w:rPr>
                <w:sz w:val="16"/>
              </w:rPr>
              <w:t>Q3 2026 Trade Business Review cycle, Region Meridian (fictional)</w:t>
            </w:r>
          </w:p>
        </w:tc>
      </w:tr>
      <w:tr w:rsidR="00AF282E" w14:paraId="16DD508D" w14:textId="77777777">
        <w:trPr>
          <w:jc w:val="center"/>
        </w:trPr>
        <w:tc>
          <w:tcPr>
            <w:tcW w:w="5184" w:type="dxa"/>
            <w:vAlign w:val="center"/>
          </w:tcPr>
          <w:p w14:paraId="0B7E5388" w14:textId="77777777" w:rsidR="00AF282E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08574421" w14:textId="77777777" w:rsidR="00AF282E" w:rsidRDefault="00000000">
            <w:r>
              <w:rPr>
                <w:sz w:val="16"/>
              </w:rPr>
              <w:t>30 November 2026</w:t>
            </w:r>
          </w:p>
        </w:tc>
      </w:tr>
      <w:tr w:rsidR="00AF282E" w14:paraId="7F00AACB" w14:textId="77777777">
        <w:trPr>
          <w:jc w:val="center"/>
        </w:trPr>
        <w:tc>
          <w:tcPr>
            <w:tcW w:w="5184" w:type="dxa"/>
            <w:vAlign w:val="center"/>
          </w:tcPr>
          <w:p w14:paraId="4367EB4B" w14:textId="77777777" w:rsidR="00AF282E" w:rsidRDefault="00000000">
            <w:r>
              <w:rPr>
                <w:sz w:val="16"/>
              </w:rPr>
              <w:t>Contact</w:t>
            </w:r>
          </w:p>
        </w:tc>
        <w:tc>
          <w:tcPr>
            <w:tcW w:w="5184" w:type="dxa"/>
            <w:vAlign w:val="center"/>
          </w:tcPr>
          <w:p w14:paraId="04BA6D53" w14:textId="77777777" w:rsidR="00AF282E" w:rsidRDefault="00000000">
            <w:r>
              <w:rPr>
                <w:sz w:val="16"/>
              </w:rPr>
              <w:t>tmd-review@bat-cie.example</w:t>
            </w:r>
          </w:p>
        </w:tc>
      </w:tr>
      <w:tr w:rsidR="00AF282E" w14:paraId="584F227C" w14:textId="77777777">
        <w:trPr>
          <w:jc w:val="center"/>
        </w:trPr>
        <w:tc>
          <w:tcPr>
            <w:tcW w:w="5184" w:type="dxa"/>
            <w:vAlign w:val="center"/>
          </w:tcPr>
          <w:p w14:paraId="57A51CF0" w14:textId="77777777" w:rsidR="00AF282E" w:rsidRDefault="00000000">
            <w:r>
              <w:rPr>
                <w:sz w:val="16"/>
              </w:rPr>
              <w:t>Document set</w:t>
            </w:r>
          </w:p>
        </w:tc>
        <w:tc>
          <w:tcPr>
            <w:tcW w:w="5184" w:type="dxa"/>
            <w:vAlign w:val="center"/>
          </w:tcPr>
          <w:p w14:paraId="7454124E" w14:textId="77777777" w:rsidR="00AF282E" w:rsidRDefault="00000000">
            <w:r>
              <w:rPr>
                <w:sz w:val="16"/>
              </w:rPr>
              <w:t>Trade Business Review Framework; TM&amp;D Manager Playbook; Commercial Decision and Escalation Guide; Business Review FAQ (all synthetic)</w:t>
            </w:r>
          </w:p>
        </w:tc>
      </w:tr>
    </w:tbl>
    <w:p w14:paraId="6EEADB77" w14:textId="77777777" w:rsidR="00AF282E" w:rsidRDefault="00AF282E"/>
    <w:p w14:paraId="42F25E10" w14:textId="77777777" w:rsidR="00AF282E" w:rsidRDefault="00000000">
      <w:pPr>
        <w:pStyle w:val="Heading3"/>
        <w:spacing w:after="80"/>
      </w:pPr>
      <w:r>
        <w:t>Q1. When is data lock and when must my executive brief be circulated?</w:t>
      </w:r>
    </w:p>
    <w:p w14:paraId="670F7323" w14:textId="77777777" w:rsidR="00AF282E" w:rsidRDefault="00000000">
      <w:pPr>
        <w:spacing w:after="80"/>
      </w:pPr>
      <w:r>
        <w:t>Data lock is BD5 after quarter close; the brief is circulated on BD10 and the pre-read 48 hours before the review. (Framework s5)</w:t>
      </w:r>
    </w:p>
    <w:p w14:paraId="56C0F20F" w14:textId="77777777" w:rsidR="00AF282E" w:rsidRDefault="00000000">
      <w:pPr>
        <w:pStyle w:val="Heading3"/>
        <w:spacing w:after="80"/>
      </w:pPr>
      <w:r>
        <w:t>Q2. How long can the executive brief be?</w:t>
      </w:r>
    </w:p>
    <w:p w14:paraId="43131C50" w14:textId="77777777" w:rsidR="00AF282E" w:rsidRDefault="00000000">
      <w:pPr>
        <w:spacing w:after="80"/>
      </w:pPr>
      <w:r>
        <w:t>Maximum 2 pages with six sections: Headline; Performance vs plan; Drivers (evidence vs inference); Customer and competitive insights; Risks and opportunities; Decisions requested and actions. (Framework s5.1)</w:t>
      </w:r>
    </w:p>
    <w:p w14:paraId="4F32145C" w14:textId="77777777" w:rsidR="00AF282E" w:rsidRDefault="00000000">
      <w:pPr>
        <w:pStyle w:val="Heading3"/>
        <w:spacing w:after="80"/>
      </w:pPr>
      <w:r>
        <w:t>Q3. What makes a market-channel Red?</w:t>
      </w:r>
    </w:p>
    <w:p w14:paraId="4F43EB75" w14:textId="77777777" w:rsidR="00AF282E" w:rsidRDefault="00000000">
      <w:pPr>
        <w:spacing w:after="80"/>
      </w:pPr>
      <w:r>
        <w:t>Value variance below -5.0% vs plan. Amber is -2.0% to -5.0%; Green is -2.0% or better. (Framework s4)</w:t>
      </w:r>
    </w:p>
    <w:p w14:paraId="7BACBFC4" w14:textId="77777777" w:rsidR="00AF282E" w:rsidRDefault="00000000">
      <w:pPr>
        <w:pStyle w:val="Heading3"/>
        <w:spacing w:after="80"/>
      </w:pPr>
      <w:r>
        <w:t>Q4. Is a distribution drop always a problem?</w:t>
      </w:r>
    </w:p>
    <w:p w14:paraId="2D45C15C" w14:textId="77777777" w:rsidR="00AF282E" w:rsidRDefault="00000000">
      <w:pPr>
        <w:spacing w:after="80"/>
      </w:pPr>
      <w:r>
        <w:t>A weighted distribution drop greater than 2.0 pp versus prior quarter is a flag regardless of RAG status and should be explained in the brief. (Framework s4)</w:t>
      </w:r>
    </w:p>
    <w:p w14:paraId="6817A356" w14:textId="77777777" w:rsidR="00AF282E" w:rsidRDefault="00000000">
      <w:pPr>
        <w:pStyle w:val="Heading3"/>
        <w:spacing w:after="80"/>
      </w:pPr>
      <w:r>
        <w:t>Q5. Can a Green market contain a Red channel?</w:t>
      </w:r>
    </w:p>
    <w:p w14:paraId="6DE20DEE" w14:textId="77777777" w:rsidR="00AF282E" w:rsidRDefault="00000000">
      <w:pPr>
        <w:spacing w:after="80"/>
      </w:pPr>
      <w:r>
        <w:t>Yes. RAG is assessed at market-channel level, so always check channels inside a Green market. (Framework s4)</w:t>
      </w:r>
    </w:p>
    <w:p w14:paraId="143D4EB0" w14:textId="77777777" w:rsidR="00AF282E" w:rsidRDefault="00000000">
      <w:pPr>
        <w:pStyle w:val="Heading3"/>
        <w:spacing w:after="80"/>
      </w:pPr>
      <w:r>
        <w:t>Q6. How should variances be aggregated?</w:t>
      </w:r>
    </w:p>
    <w:p w14:paraId="0F0066B8" w14:textId="77777777" w:rsidR="00AF282E" w:rsidRDefault="00000000">
      <w:pPr>
        <w:spacing w:after="80"/>
      </w:pPr>
      <w:r>
        <w:t>Weighted: sum of actual / sum of plan - 1. Do not average row percentages. Always show the number of records. (Framework s4)</w:t>
      </w:r>
    </w:p>
    <w:p w14:paraId="1D715DD6" w14:textId="77777777" w:rsidR="00AF282E" w:rsidRDefault="00000000">
      <w:pPr>
        <w:pStyle w:val="Heading3"/>
        <w:spacing w:after="80"/>
      </w:pPr>
      <w:r>
        <w:t>Q7. How long is the review meeting and how is it structured?</w:t>
      </w:r>
    </w:p>
    <w:p w14:paraId="2129AF0A" w14:textId="77777777" w:rsidR="00AF282E" w:rsidRDefault="00000000">
      <w:pPr>
        <w:spacing w:after="80"/>
      </w:pPr>
      <w:r>
        <w:t>60 minutes: 10 scorecard, 20 deep-dives (max two), 15 customer and competitive insights, 10 decisions, 5 action recap. (Framework s5.2)</w:t>
      </w:r>
    </w:p>
    <w:p w14:paraId="572CD35F" w14:textId="77777777" w:rsidR="00AF282E" w:rsidRDefault="00000000">
      <w:pPr>
        <w:pStyle w:val="Heading3"/>
        <w:spacing w:after="80"/>
      </w:pPr>
      <w:r>
        <w:t>Q8. When is an action overdue and what happens then?</w:t>
      </w:r>
    </w:p>
    <w:p w14:paraId="6DB5BAF3" w14:textId="77777777" w:rsidR="00AF282E" w:rsidRDefault="00000000">
      <w:pPr>
        <w:spacing w:after="80"/>
      </w:pPr>
      <w:r>
        <w:t>When past due date and not closed. Overdue more than 14 days is escalated to the Regional TM&amp;D Lead (tmd-review@bat-cie.example, P2). (Framework s6; Escalation Guide s2)</w:t>
      </w:r>
    </w:p>
    <w:p w14:paraId="6FD1FB81" w14:textId="77777777" w:rsidR="00AF282E" w:rsidRDefault="00000000">
      <w:pPr>
        <w:pStyle w:val="Heading3"/>
        <w:spacing w:after="80"/>
      </w:pPr>
      <w:r>
        <w:t>Q9. A customer asks for extra trade terms during a visit. What do I do?</w:t>
      </w:r>
    </w:p>
    <w:p w14:paraId="65AA6E2F" w14:textId="77777777" w:rsidR="00AF282E" w:rsidRDefault="00000000">
      <w:pPr>
        <w:spacing w:after="80"/>
      </w:pPr>
      <w:r>
        <w:t>Do not agree anything. Log it as an action with decision topic 'Customer terms' and route to the Customer Commercial Council (commercial-council@bat-cie.example, P2). (Playbook s3; Escalation Guide s2)</w:t>
      </w:r>
    </w:p>
    <w:p w14:paraId="5651F7AF" w14:textId="77777777" w:rsidR="00AF282E" w:rsidRDefault="00000000">
      <w:pPr>
        <w:pStyle w:val="Heading3"/>
        <w:spacing w:after="80"/>
      </w:pPr>
      <w:r>
        <w:lastRenderedPageBreak/>
        <w:t>Q10. A competitor cut prices in my channel. Can I respond with a price change?</w:t>
      </w:r>
    </w:p>
    <w:p w14:paraId="2197E305" w14:textId="77777777" w:rsidR="00AF282E" w:rsidRDefault="00000000">
      <w:pPr>
        <w:spacing w:after="80"/>
      </w:pPr>
      <w:r>
        <w:t>Not on your own. Pricing is decided by the Regional RGM Lead with the Market GM (rgm-pricing@bat-cie.example, P1). Prepare evidence and neutral options. (Escalation Guide s2)</w:t>
      </w:r>
    </w:p>
    <w:p w14:paraId="5AED069D" w14:textId="77777777" w:rsidR="00AF282E" w:rsidRDefault="00000000">
      <w:pPr>
        <w:pStyle w:val="Heading3"/>
        <w:spacing w:after="80"/>
      </w:pPr>
      <w:r>
        <w:t>Q11. Who approves a EUR 120k promotion extension?</w:t>
      </w:r>
    </w:p>
    <w:p w14:paraId="5223A008" w14:textId="77777777" w:rsidR="00AF282E" w:rsidRDefault="00000000">
      <w:pPr>
        <w:spacing w:after="80"/>
      </w:pPr>
      <w:r>
        <w:t>The Regional TM&amp;D Lead (EUR 50k-250k) after Finance BP review of ROI. (Escalation Guide s4)</w:t>
      </w:r>
    </w:p>
    <w:p w14:paraId="3BBF3B6F" w14:textId="77777777" w:rsidR="00AF282E" w:rsidRDefault="00000000">
      <w:pPr>
        <w:pStyle w:val="Heading3"/>
        <w:spacing w:after="80"/>
      </w:pPr>
      <w:r>
        <w:t>Q12. What is the promotion spend ceiling in Türkiye?</w:t>
      </w:r>
    </w:p>
    <w:p w14:paraId="3257D3B6" w14:textId="77777777" w:rsidR="00AF282E" w:rsidRDefault="00000000">
      <w:pPr>
        <w:spacing w:after="80"/>
      </w:pPr>
      <w:r>
        <w:t>Not covered. To be confirmed by local team - not in this framework. Contact the Türkiye Market TM&amp;D Team (tmd-turkiye@bat-cie.example). (Escalation Guide s4)</w:t>
      </w:r>
    </w:p>
    <w:p w14:paraId="6E61C468" w14:textId="77777777" w:rsidR="00AF282E" w:rsidRDefault="00000000">
      <w:pPr>
        <w:pStyle w:val="Heading3"/>
        <w:spacing w:after="80"/>
      </w:pPr>
      <w:r>
        <w:t>Q13. Who approves changing a distributor in Romania Traditional Trade?</w:t>
      </w:r>
    </w:p>
    <w:p w14:paraId="37B8BB13" w14:textId="77777777" w:rsidR="00AF282E" w:rsidRDefault="00000000">
      <w:pPr>
        <w:spacing w:after="80"/>
      </w:pPr>
      <w:r>
        <w:t>Not covered. To be confirmed by Romania market leadership - not in this framework. Raise it as a decision request; do not assume an approver. (Framework s9)</w:t>
      </w:r>
    </w:p>
    <w:p w14:paraId="44ED93F4" w14:textId="77777777" w:rsidR="00AF282E" w:rsidRDefault="00000000">
      <w:pPr>
        <w:pStyle w:val="Heading3"/>
        <w:spacing w:after="80"/>
      </w:pPr>
      <w:r>
        <w:t>Q14. What are the Q4 2026 plan figures?</w:t>
      </w:r>
    </w:p>
    <w:p w14:paraId="6951DF7D" w14:textId="77777777" w:rsidR="00AF282E" w:rsidRDefault="00000000">
      <w:pPr>
        <w:spacing w:after="80"/>
      </w:pPr>
      <w:r>
        <w:t>Not yet published at the time of this version; expected after the Q3 review. Do not estimate them in briefs. (Framework s9)</w:t>
      </w:r>
    </w:p>
    <w:p w14:paraId="04F7B52D" w14:textId="77777777" w:rsidR="00AF282E" w:rsidRDefault="00000000">
      <w:pPr>
        <w:pStyle w:val="Heading3"/>
        <w:spacing w:after="80"/>
      </w:pPr>
      <w:r>
        <w:t>Q15. Can I use Copilot to recommend which line to delist?</w:t>
      </w:r>
    </w:p>
    <w:p w14:paraId="2DEE2F01" w14:textId="77777777" w:rsidR="00AF282E" w:rsidRDefault="00000000">
      <w:pPr>
        <w:spacing w:after="80"/>
      </w:pPr>
      <w:r>
        <w:t>Copilot may summarise range performance and lay out options, but listing and delisting are decided by the Regional Portfolio Committee (portfolio-committee@bat-cie.example, P3). (Playbook s6; Escalation Guide s6)</w:t>
      </w:r>
    </w:p>
    <w:p w14:paraId="258E00EC" w14:textId="77777777" w:rsidR="00AF282E" w:rsidRDefault="00000000">
      <w:pPr>
        <w:pStyle w:val="Heading3"/>
        <w:spacing w:after="80"/>
      </w:pPr>
      <w:r>
        <w:t>Q16. Can I put competitor information I received from a customer into the brief?</w:t>
      </w:r>
    </w:p>
    <w:p w14:paraId="53C6231E" w14:textId="77777777" w:rsidR="00AF282E" w:rsidRDefault="00000000">
      <w:pPr>
        <w:spacing w:after="80"/>
      </w:pPr>
      <w:r>
        <w:t>Only legitimate field observations or purchased market data. Never use competitor confidential information; if unsure, ask Legal &amp; External Affairs (legal-ea@bat-cie.example, P1). (Framework s7)</w:t>
      </w:r>
    </w:p>
    <w:p w14:paraId="733E1761" w14:textId="77777777" w:rsidR="00AF282E" w:rsidRDefault="00000000">
      <w:pPr>
        <w:pStyle w:val="Heading3"/>
        <w:spacing w:after="80"/>
      </w:pPr>
      <w:r>
        <w:t>Q17. Can the agent tell me if an action owner is underperforming?</w:t>
      </w:r>
    </w:p>
    <w:p w14:paraId="3013CA24" w14:textId="77777777" w:rsidR="00AF282E" w:rsidRDefault="00000000">
      <w:pPr>
        <w:spacing w:after="80"/>
      </w:pPr>
      <w:r>
        <w:t>No. People matters go to the line manager and HR Business Partner (hrbp@bat-cie.example). The agent only works with owner roles. (Escalation Guide s6)</w:t>
      </w:r>
    </w:p>
    <w:p w14:paraId="023EA21F" w14:textId="77777777" w:rsidR="00AF282E" w:rsidRDefault="00000000">
      <w:pPr>
        <w:pStyle w:val="Heading3"/>
        <w:spacing w:after="80"/>
      </w:pPr>
      <w:r>
        <w:t>Q18. Is the Regional Trade Performance workbook a policy source for the agent?</w:t>
      </w:r>
    </w:p>
    <w:p w14:paraId="37DE26F9" w14:textId="77777777" w:rsidR="00AF282E" w:rsidRDefault="00000000">
      <w:pPr>
        <w:spacing w:after="80"/>
      </w:pPr>
      <w:r>
        <w:t>No. It is evidence for analysis in Excel. The agent's knowledge is the four synthetic documents only. (Framework s7)</w:t>
      </w:r>
    </w:p>
    <w:p w14:paraId="608A02A3" w14:textId="77777777" w:rsidR="00AF282E" w:rsidRDefault="00000000">
      <w:pPr>
        <w:pStyle w:val="Heading1"/>
        <w:spacing w:after="80"/>
      </w:pPr>
      <w:r>
        <w:t>Still not answered?</w:t>
      </w:r>
    </w:p>
    <w:p w14:paraId="29941270" w14:textId="77777777" w:rsidR="00AF282E" w:rsidRDefault="00000000">
      <w:pPr>
        <w:spacing w:after="80"/>
      </w:pPr>
      <w:r>
        <w:t>Ask the owner listed in the Commercial Decision and Escalation Guide, or email tmd-review@bat-cie.example. Do not rely on assumptions for local rules.</w:t>
      </w:r>
    </w:p>
    <w:sectPr w:rsidR="00AF282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709626">
    <w:abstractNumId w:val="8"/>
  </w:num>
  <w:num w:numId="2" w16cid:durableId="2030830689">
    <w:abstractNumId w:val="6"/>
  </w:num>
  <w:num w:numId="3" w16cid:durableId="1112825815">
    <w:abstractNumId w:val="5"/>
  </w:num>
  <w:num w:numId="4" w16cid:durableId="296840008">
    <w:abstractNumId w:val="4"/>
  </w:num>
  <w:num w:numId="5" w16cid:durableId="348333812">
    <w:abstractNumId w:val="7"/>
  </w:num>
  <w:num w:numId="6" w16cid:durableId="189033837">
    <w:abstractNumId w:val="3"/>
  </w:num>
  <w:num w:numId="7" w16cid:durableId="976035840">
    <w:abstractNumId w:val="2"/>
  </w:num>
  <w:num w:numId="8" w16cid:durableId="687415605">
    <w:abstractNumId w:val="1"/>
  </w:num>
  <w:num w:numId="9" w16cid:durableId="25540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4EF"/>
    <w:rsid w:val="00A86A92"/>
    <w:rsid w:val="00AA1D8D"/>
    <w:rsid w:val="00AF282E"/>
    <w:rsid w:val="00B47730"/>
    <w:rsid w:val="00CB0664"/>
    <w:rsid w:val="00F41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BAT_Business_Review_FAQ_SYNTHETIC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2026-10-20T11:33:00Z</dcterms:modified>
  <cp:category/>
</cp:coreProperties>
</file>