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89" w:rsidRDefault="00D7674C" w:rsidP="00E55389">
      <w:r>
        <w:t xml:space="preserve">Shin 2009 </w:t>
      </w:r>
      <w:hyperlink r:id="rId5" w:history="1">
        <w:r w:rsidRPr="00877542">
          <w:rPr>
            <w:rStyle w:val="Hyperlink"/>
          </w:rPr>
          <w:t>http://risk.econ.queensu.ca/wp-content/uploads/2013/10/Shin-Northern-RockJEP-2009.pdf</w:t>
        </w:r>
      </w:hyperlink>
      <w:r>
        <w:t xml:space="preserve"> </w:t>
      </w:r>
    </w:p>
    <w:p w:rsidR="00D7674C" w:rsidRDefault="00D7674C" w:rsidP="00D7674C">
      <w:pPr>
        <w:pStyle w:val="ListParagraph"/>
        <w:numPr>
          <w:ilvl w:val="0"/>
          <w:numId w:val="5"/>
        </w:numPr>
      </w:pPr>
      <w:r>
        <w:t>Northern Rock not subprime lending – so why collapse?</w:t>
      </w:r>
    </w:p>
    <w:p w:rsidR="00D7674C" w:rsidRDefault="00D7674C" w:rsidP="00D7674C">
      <w:pPr>
        <w:pStyle w:val="ListParagraph"/>
        <w:numPr>
          <w:ilvl w:val="0"/>
          <w:numId w:val="5"/>
        </w:numPr>
      </w:pPr>
      <w:r>
        <w:t>1998 – 2007 mortgages grew by 23.2% annualised, became 5</w:t>
      </w:r>
      <w:r w:rsidRPr="00D7674C">
        <w:rPr>
          <w:vertAlign w:val="superscript"/>
        </w:rPr>
        <w:t>th</w:t>
      </w:r>
      <w:r>
        <w:t xml:space="preserve"> biggest bank in terms of mortgages</w:t>
      </w:r>
    </w:p>
    <w:p w:rsidR="00D7674C" w:rsidRDefault="00D7674C" w:rsidP="00D7674C">
      <w:pPr>
        <w:pStyle w:val="ListParagraph"/>
        <w:numPr>
          <w:ilvl w:val="0"/>
          <w:numId w:val="5"/>
        </w:numPr>
      </w:pPr>
      <w:r>
        <w:t>Deposits/liabilities shrank from 60% to 23%, funding made up using mortgage backed securities issued via special purpose entities via Granite Finance Trustees and wholesale market short term funding</w:t>
      </w:r>
    </w:p>
    <w:p w:rsidR="00D7674C" w:rsidRDefault="00516928" w:rsidP="00D7674C">
      <w:pPr>
        <w:pStyle w:val="ListParagraph"/>
        <w:numPr>
          <w:ilvl w:val="0"/>
          <w:numId w:val="5"/>
        </w:numPr>
      </w:pPr>
      <w:r>
        <w:t>Crunch in shorter term wholesale funding following global crisis triggered liquidity crisis at Northern Rock</w:t>
      </w:r>
    </w:p>
    <w:p w:rsidR="00F05C7D" w:rsidRDefault="00F05C7D" w:rsidP="00F05C7D">
      <w:r>
        <w:t>FPC Stability Report May 2008</w:t>
      </w:r>
    </w:p>
    <w:p w:rsidR="00F05C7D" w:rsidRPr="00E55389" w:rsidRDefault="00F05C7D" w:rsidP="002A3F77">
      <w:pPr>
        <w:pStyle w:val="ListParagraph"/>
        <w:numPr>
          <w:ilvl w:val="0"/>
          <w:numId w:val="6"/>
        </w:numPr>
      </w:pPr>
      <w:proofErr w:type="spellStart"/>
      <w:r>
        <w:t>Pg</w:t>
      </w:r>
      <w:proofErr w:type="spellEnd"/>
      <w:r>
        <w:t xml:space="preserve"> 21: </w:t>
      </w:r>
      <w:r>
        <w:t>Highly indebted households, adverse credit borrowers and</w:t>
      </w:r>
      <w:r>
        <w:t xml:space="preserve"> </w:t>
      </w:r>
      <w:r>
        <w:t>buy-to-let investors are particularly vulnerable…Credit supply has tightened sharply for high-risk borrowers,</w:t>
      </w:r>
      <w:r>
        <w:t xml:space="preserve"> </w:t>
      </w:r>
      <w:r>
        <w:t>such as high loan to value (LTV) households, those with</w:t>
      </w:r>
      <w:r>
        <w:t xml:space="preserve"> </w:t>
      </w:r>
      <w:r>
        <w:t>adverse credit histories and buy-to-let investors. As a</w:t>
      </w:r>
      <w:r>
        <w:t xml:space="preserve"> </w:t>
      </w:r>
      <w:r>
        <w:t>proportion of the stock of outstanding UK mortgages,</w:t>
      </w:r>
      <w:r>
        <w:t xml:space="preserve"> </w:t>
      </w:r>
      <w:r>
        <w:t>adverse credit and buy-to-let loans had risen from 9% at the</w:t>
      </w:r>
      <w:r>
        <w:t xml:space="preserve"> </w:t>
      </w:r>
      <w:r>
        <w:t>end of 2004 to 14% at the end of 2007. Some lenders that</w:t>
      </w:r>
      <w:r>
        <w:t xml:space="preserve"> </w:t>
      </w:r>
      <w:r>
        <w:t>specialised in lending to these groups have exited the market</w:t>
      </w:r>
      <w:r>
        <w:t xml:space="preserve"> </w:t>
      </w:r>
      <w:r>
        <w:t>and remaining lenders have withdrawn high-risk and</w:t>
      </w:r>
      <w:r>
        <w:t xml:space="preserve"> </w:t>
      </w:r>
      <w:r>
        <w:t>buy-to-let mortgage products or priced them less</w:t>
      </w:r>
      <w:r>
        <w:t xml:space="preserve"> </w:t>
      </w:r>
      <w:r>
        <w:t>competitively to deter demand. Many high-risk borrowers</w:t>
      </w:r>
      <w:r>
        <w:t xml:space="preserve"> </w:t>
      </w:r>
      <w:r>
        <w:t>may find that they are unable to refinance expiring fixed-rate</w:t>
      </w:r>
      <w:r>
        <w:t xml:space="preserve"> </w:t>
      </w:r>
      <w:r>
        <w:t>mortgage deals and will instead move onto the standard</w:t>
      </w:r>
      <w:r>
        <w:t xml:space="preserve"> </w:t>
      </w:r>
      <w:r>
        <w:t>variable rate. This will result in a jump in their average</w:t>
      </w:r>
      <w:r>
        <w:t xml:space="preserve"> </w:t>
      </w:r>
      <w:r>
        <w:t>effective mortgage rate of around 2.5 percentage points. As</w:t>
      </w:r>
      <w:r>
        <w:t xml:space="preserve"> </w:t>
      </w:r>
      <w:r>
        <w:t>in the United States, this repayment shock is occurring at the</w:t>
      </w:r>
      <w:r>
        <w:t xml:space="preserve"> </w:t>
      </w:r>
      <w:r>
        <w:t>same time as house prices are falling. Those who bought in</w:t>
      </w:r>
      <w:r>
        <w:t xml:space="preserve"> </w:t>
      </w:r>
      <w:r>
        <w:t>recent years with high loan to income multiples and/or high</w:t>
      </w:r>
      <w:r>
        <w:t xml:space="preserve"> </w:t>
      </w:r>
      <w:r>
        <w:t>LTV ratios will be particularly vulnerable to further shocks to</w:t>
      </w:r>
      <w:r>
        <w:t xml:space="preserve"> </w:t>
      </w:r>
      <w:r>
        <w:t>their disposable income, such as higher inflation or</w:t>
      </w:r>
      <w:r>
        <w:t xml:space="preserve"> </w:t>
      </w:r>
      <w:bookmarkStart w:id="0" w:name="_GoBack"/>
      <w:bookmarkEnd w:id="0"/>
      <w:r>
        <w:t>unemployment</w:t>
      </w:r>
    </w:p>
    <w:sectPr w:rsidR="00F05C7D" w:rsidRPr="00E55389" w:rsidSect="001B2168">
      <w:pgSz w:w="11906" w:h="16838" w:code="9"/>
      <w:pgMar w:top="1440" w:right="1440" w:bottom="1440" w:left="1440" w:header="397" w:footer="9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A467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E740AB"/>
    <w:multiLevelType w:val="hybridMultilevel"/>
    <w:tmpl w:val="205E1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176A"/>
    <w:multiLevelType w:val="hybridMultilevel"/>
    <w:tmpl w:val="F81CF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5CED"/>
    <w:multiLevelType w:val="hybridMultilevel"/>
    <w:tmpl w:val="9BE4FA96"/>
    <w:lvl w:ilvl="0" w:tplc="FBC6634C">
      <w:start w:val="1"/>
      <w:numFmt w:val="bullet"/>
      <w:pStyle w:val="ListBullet21"/>
      <w:lvlText w:val="o"/>
      <w:lvlJc w:val="left"/>
      <w:pPr>
        <w:tabs>
          <w:tab w:val="num" w:pos="690"/>
        </w:tabs>
        <w:ind w:left="690" w:hanging="360"/>
      </w:pPr>
      <w:rPr>
        <w:rFonts w:ascii="Courier New" w:hAnsi="Courier New" w:hint="default"/>
      </w:rPr>
    </w:lvl>
    <w:lvl w:ilvl="1" w:tplc="1AAED61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7674C"/>
    <w:rsid w:val="00037827"/>
    <w:rsid w:val="000A149C"/>
    <w:rsid w:val="000D5530"/>
    <w:rsid w:val="0011366F"/>
    <w:rsid w:val="00190932"/>
    <w:rsid w:val="001B2168"/>
    <w:rsid w:val="00291C1C"/>
    <w:rsid w:val="002A1A10"/>
    <w:rsid w:val="003C54D3"/>
    <w:rsid w:val="003E0656"/>
    <w:rsid w:val="004A6532"/>
    <w:rsid w:val="00502526"/>
    <w:rsid w:val="005043E5"/>
    <w:rsid w:val="00516928"/>
    <w:rsid w:val="005A77C9"/>
    <w:rsid w:val="005F67E2"/>
    <w:rsid w:val="00612241"/>
    <w:rsid w:val="007433DF"/>
    <w:rsid w:val="00792BB1"/>
    <w:rsid w:val="00920BFB"/>
    <w:rsid w:val="00980BD4"/>
    <w:rsid w:val="009A7573"/>
    <w:rsid w:val="009D5668"/>
    <w:rsid w:val="009F755D"/>
    <w:rsid w:val="00A2123E"/>
    <w:rsid w:val="00A65E0A"/>
    <w:rsid w:val="00A768B6"/>
    <w:rsid w:val="00A8399A"/>
    <w:rsid w:val="00A90A35"/>
    <w:rsid w:val="00AA4230"/>
    <w:rsid w:val="00B32BED"/>
    <w:rsid w:val="00CB5DEB"/>
    <w:rsid w:val="00D7674C"/>
    <w:rsid w:val="00DF37FB"/>
    <w:rsid w:val="00E2530F"/>
    <w:rsid w:val="00E34D7E"/>
    <w:rsid w:val="00E43E54"/>
    <w:rsid w:val="00E55389"/>
    <w:rsid w:val="00F05C7D"/>
    <w:rsid w:val="00F50888"/>
    <w:rsid w:val="00F867DE"/>
    <w:rsid w:val="00FA67EB"/>
    <w:rsid w:val="00FC3271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3A40B-6E18-4432-A58D-97EA15FA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EB"/>
    <w:pPr>
      <w:spacing w:after="240" w:line="312" w:lineRule="auto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CB5DEB"/>
    <w:pPr>
      <w:keepNext/>
      <w:spacing w:before="240" w:after="360"/>
      <w:outlineLvl w:val="0"/>
    </w:pPr>
    <w:rPr>
      <w:rFonts w:cs="Arial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B5DEB"/>
    <w:pPr>
      <w:keepNext/>
      <w:spacing w:before="240" w:after="0"/>
      <w:outlineLvl w:val="1"/>
    </w:pPr>
    <w:rPr>
      <w:rFonts w:cs="Arial"/>
      <w:b/>
      <w:bCs/>
      <w:sz w:val="26"/>
      <w:szCs w:val="28"/>
    </w:rPr>
  </w:style>
  <w:style w:type="paragraph" w:styleId="Heading3">
    <w:name w:val="heading 3"/>
    <w:basedOn w:val="Normal"/>
    <w:next w:val="Normal"/>
    <w:qFormat/>
    <w:rsid w:val="00CB5DEB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header">
    <w:name w:val="Body header"/>
    <w:basedOn w:val="Normal"/>
    <w:next w:val="Normal"/>
    <w:rsid w:val="00CB5DEB"/>
    <w:pPr>
      <w:pBdr>
        <w:bottom w:val="single" w:sz="4" w:space="1" w:color="auto"/>
      </w:pBdr>
      <w:spacing w:before="1920" w:after="360" w:line="240" w:lineRule="auto"/>
    </w:pPr>
    <w:rPr>
      <w:bCs/>
      <w:sz w:val="56"/>
    </w:rPr>
  </w:style>
  <w:style w:type="paragraph" w:styleId="Date">
    <w:name w:val="Date"/>
    <w:basedOn w:val="Normal"/>
    <w:next w:val="Normal"/>
    <w:semiHidden/>
    <w:rsid w:val="00CB5DEB"/>
    <w:pPr>
      <w:spacing w:before="480" w:after="0" w:line="240" w:lineRule="auto"/>
    </w:pPr>
  </w:style>
  <w:style w:type="paragraph" w:styleId="Footer">
    <w:name w:val="footer"/>
    <w:basedOn w:val="Normal"/>
    <w:semiHidden/>
    <w:rsid w:val="00CB5DEB"/>
    <w:pPr>
      <w:tabs>
        <w:tab w:val="center" w:pos="4500"/>
        <w:tab w:val="right" w:pos="8820"/>
      </w:tabs>
    </w:pPr>
    <w:rPr>
      <w:sz w:val="18"/>
    </w:rPr>
  </w:style>
  <w:style w:type="paragraph" w:styleId="Header">
    <w:name w:val="header"/>
    <w:basedOn w:val="Normal"/>
    <w:semiHidden/>
    <w:rsid w:val="00CB5DE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sid w:val="00CB5DEB"/>
    <w:rPr>
      <w:color w:val="0000FF"/>
      <w:u w:val="single"/>
    </w:rPr>
  </w:style>
  <w:style w:type="paragraph" w:customStyle="1" w:styleId="InvoiceBodyHeader">
    <w:name w:val="Invoice Body Header"/>
    <w:basedOn w:val="Normal"/>
    <w:rsid w:val="00CB5DEB"/>
    <w:pPr>
      <w:pBdr>
        <w:bottom w:val="single" w:sz="4" w:space="1" w:color="auto"/>
      </w:pBdr>
      <w:spacing w:after="360"/>
    </w:pPr>
    <w:rPr>
      <w:sz w:val="56"/>
    </w:rPr>
  </w:style>
  <w:style w:type="paragraph" w:customStyle="1" w:styleId="Invoiceconditions">
    <w:name w:val="Invoice conditions"/>
    <w:basedOn w:val="Normal"/>
    <w:rsid w:val="00CB5DEB"/>
    <w:pPr>
      <w:keepNext/>
      <w:keepLines/>
      <w:spacing w:after="120" w:line="240" w:lineRule="auto"/>
      <w:ind w:right="1055"/>
    </w:pPr>
    <w:rPr>
      <w:bCs/>
      <w:sz w:val="14"/>
    </w:rPr>
  </w:style>
  <w:style w:type="paragraph" w:customStyle="1" w:styleId="InvoiceReturnAddress">
    <w:name w:val="Invoice Return Address"/>
    <w:basedOn w:val="Normal"/>
    <w:rsid w:val="00CB5DEB"/>
    <w:pPr>
      <w:spacing w:after="0" w:line="288" w:lineRule="auto"/>
    </w:pPr>
    <w:rPr>
      <w:sz w:val="18"/>
    </w:rPr>
  </w:style>
  <w:style w:type="paragraph" w:customStyle="1" w:styleId="InvoiceDate">
    <w:name w:val="Invoice Date"/>
    <w:basedOn w:val="InvoiceReturnAddress"/>
    <w:next w:val="InvoiceReturnAddress"/>
    <w:rsid w:val="00CB5DEB"/>
    <w:pPr>
      <w:spacing w:before="360"/>
    </w:pPr>
  </w:style>
  <w:style w:type="paragraph" w:customStyle="1" w:styleId="Invoiceheading">
    <w:name w:val="Invoice heading"/>
    <w:basedOn w:val="Normal"/>
    <w:rsid w:val="00CB5DEB"/>
    <w:pPr>
      <w:spacing w:after="0"/>
    </w:pPr>
    <w:rPr>
      <w:b/>
      <w:sz w:val="16"/>
    </w:rPr>
  </w:style>
  <w:style w:type="paragraph" w:customStyle="1" w:styleId="Invoiceitem">
    <w:name w:val="Invoice item"/>
    <w:basedOn w:val="Normal"/>
    <w:rsid w:val="00CB5DEB"/>
    <w:pPr>
      <w:spacing w:after="0"/>
    </w:pPr>
    <w:rPr>
      <w:bCs/>
      <w:sz w:val="16"/>
    </w:rPr>
  </w:style>
  <w:style w:type="paragraph" w:styleId="List">
    <w:name w:val="List"/>
    <w:basedOn w:val="Normal"/>
    <w:semiHidden/>
    <w:rsid w:val="00CB5DEB"/>
    <w:pPr>
      <w:ind w:left="283" w:hanging="283"/>
    </w:pPr>
  </w:style>
  <w:style w:type="paragraph" w:styleId="List5">
    <w:name w:val="List 5"/>
    <w:basedOn w:val="Normal"/>
    <w:semiHidden/>
    <w:rsid w:val="00CB5DEB"/>
    <w:pPr>
      <w:ind w:left="1415" w:hanging="283"/>
    </w:pPr>
  </w:style>
  <w:style w:type="paragraph" w:styleId="ListBullet">
    <w:name w:val="List Bullet"/>
    <w:basedOn w:val="Normal"/>
    <w:autoRedefine/>
    <w:semiHidden/>
    <w:rsid w:val="00CB5DEB"/>
    <w:pPr>
      <w:numPr>
        <w:numId w:val="3"/>
      </w:numPr>
      <w:spacing w:after="0"/>
      <w:ind w:left="357" w:hanging="357"/>
    </w:pPr>
  </w:style>
  <w:style w:type="paragraph" w:customStyle="1" w:styleId="Normalnospaceafter">
    <w:name w:val="Normal no space after"/>
    <w:basedOn w:val="Normal"/>
    <w:rsid w:val="00CB5DEB"/>
    <w:pPr>
      <w:spacing w:after="0"/>
    </w:pPr>
  </w:style>
  <w:style w:type="paragraph" w:customStyle="1" w:styleId="OutwardAddressLast">
    <w:name w:val="Outward Address Last"/>
    <w:basedOn w:val="Normal"/>
    <w:rsid w:val="00CB5DEB"/>
    <w:pPr>
      <w:spacing w:after="480"/>
    </w:pPr>
  </w:style>
  <w:style w:type="paragraph" w:customStyle="1" w:styleId="ReturnAddress">
    <w:name w:val="Return Address"/>
    <w:basedOn w:val="Normal"/>
    <w:rsid w:val="00CB5DEB"/>
    <w:pPr>
      <w:spacing w:after="0"/>
    </w:pPr>
    <w:rPr>
      <w:noProof/>
      <w:sz w:val="18"/>
    </w:rPr>
  </w:style>
  <w:style w:type="paragraph" w:styleId="Salutation">
    <w:name w:val="Salutation"/>
    <w:basedOn w:val="Normal"/>
    <w:next w:val="Normal"/>
    <w:semiHidden/>
    <w:rsid w:val="00CB5DEB"/>
    <w:pPr>
      <w:spacing w:after="1200"/>
    </w:pPr>
  </w:style>
  <w:style w:type="paragraph" w:customStyle="1" w:styleId="Training">
    <w:name w:val="Training"/>
    <w:basedOn w:val="Normal"/>
    <w:rsid w:val="00CB5DEB"/>
    <w:pPr>
      <w:spacing w:after="120"/>
    </w:pPr>
    <w:rPr>
      <w:i/>
      <w:iCs/>
      <w:sz w:val="12"/>
    </w:rPr>
  </w:style>
  <w:style w:type="paragraph" w:customStyle="1" w:styleId="Label">
    <w:name w:val="Label"/>
    <w:basedOn w:val="Normal"/>
    <w:rsid w:val="00CB5DEB"/>
    <w:pPr>
      <w:spacing w:after="0" w:line="240" w:lineRule="auto"/>
    </w:pPr>
  </w:style>
  <w:style w:type="paragraph" w:styleId="Caption">
    <w:name w:val="caption"/>
    <w:basedOn w:val="Normal"/>
    <w:next w:val="Normal"/>
    <w:qFormat/>
    <w:rsid w:val="00CB5DEB"/>
    <w:pPr>
      <w:spacing w:before="120" w:after="120"/>
    </w:pPr>
    <w:rPr>
      <w:b/>
      <w:bCs/>
      <w:sz w:val="20"/>
      <w:szCs w:val="20"/>
    </w:rPr>
  </w:style>
  <w:style w:type="paragraph" w:styleId="EnvelopeAddress">
    <w:name w:val="envelope address"/>
    <w:basedOn w:val="Normal"/>
    <w:semiHidden/>
    <w:rsid w:val="00CB5DEB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customStyle="1" w:styleId="LargeHeader">
    <w:name w:val="Large Header"/>
    <w:basedOn w:val="Normal"/>
    <w:next w:val="Normal"/>
    <w:rsid w:val="00CB5DEB"/>
    <w:pPr>
      <w:spacing w:after="480" w:line="264" w:lineRule="auto"/>
    </w:pPr>
    <w:rPr>
      <w:sz w:val="56"/>
    </w:rPr>
  </w:style>
  <w:style w:type="paragraph" w:customStyle="1" w:styleId="LargeNormal">
    <w:name w:val="Large Normal"/>
    <w:basedOn w:val="Normal"/>
    <w:rsid w:val="00CB5DEB"/>
    <w:rPr>
      <w:sz w:val="28"/>
    </w:rPr>
  </w:style>
  <w:style w:type="paragraph" w:customStyle="1" w:styleId="ListBullet21">
    <w:name w:val="List Bullet 21"/>
    <w:basedOn w:val="Normal"/>
    <w:rsid w:val="00CB5DEB"/>
    <w:pPr>
      <w:numPr>
        <w:numId w:val="4"/>
      </w:numPr>
      <w:spacing w:after="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7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isk.econ.queensu.ca/wp-content/uploads/2013/10/Shin-Northern-RockJEP-20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Sara_Mahmoud</dc:creator>
  <cp:keywords/>
  <dc:description/>
  <cp:lastModifiedBy>Sara_Mahmoud</cp:lastModifiedBy>
  <cp:revision>1</cp:revision>
  <dcterms:created xsi:type="dcterms:W3CDTF">2016-02-25T17:11:00Z</dcterms:created>
  <dcterms:modified xsi:type="dcterms:W3CDTF">2016-02-25T18:03:00Z</dcterms:modified>
</cp:coreProperties>
</file>