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14B4E" w14:textId="77777777" w:rsidR="00585C0A" w:rsidRPr="004471B2" w:rsidRDefault="00585C0A" w:rsidP="00585C0A">
      <w:pPr>
        <w:ind w:left="420"/>
        <w:jc w:val="right"/>
        <w:rPr>
          <w:i/>
          <w:sz w:val="22"/>
          <w:szCs w:val="22"/>
        </w:rPr>
      </w:pPr>
      <w:r w:rsidRPr="004471B2">
        <w:rPr>
          <w:i/>
          <w:sz w:val="22"/>
          <w:szCs w:val="22"/>
        </w:rPr>
        <w:t>Prof. Evgeniya Duzhak</w:t>
      </w:r>
    </w:p>
    <w:p w14:paraId="3A92B2A0" w14:textId="77777777" w:rsidR="00585C0A" w:rsidRPr="00762BCB" w:rsidRDefault="001004B3" w:rsidP="001004B3">
      <w:pPr>
        <w:spacing w:line="288" w:lineRule="auto"/>
        <w:ind w:left="420"/>
        <w:jc w:val="center"/>
        <w:rPr>
          <w:sz w:val="22"/>
          <w:szCs w:val="22"/>
        </w:rPr>
      </w:pPr>
      <w:r>
        <w:t xml:space="preserve">  </w:t>
      </w:r>
      <w:r w:rsidR="00585C0A">
        <w:t>Name______________________________</w:t>
      </w:r>
      <w:r w:rsidR="00206294">
        <w:t>_</w:t>
      </w:r>
      <w:r w:rsidR="00585C0A">
        <w:t>_</w:t>
      </w:r>
      <w:proofErr w:type="gramStart"/>
      <w:r w:rsidR="00585C0A">
        <w:t xml:space="preserve">_  </w:t>
      </w:r>
      <w:r w:rsidR="00585C0A">
        <w:tab/>
      </w:r>
      <w:proofErr w:type="gramEnd"/>
      <w:r w:rsidR="00585C0A">
        <w:tab/>
      </w:r>
      <w:r w:rsidR="00762BCB">
        <w:t xml:space="preserve"> </w:t>
      </w:r>
      <w:r w:rsidR="00206294">
        <w:tab/>
        <w:t xml:space="preserve">   </w:t>
      </w:r>
      <w:r w:rsidR="00762BCB">
        <w:t xml:space="preserve"> </w:t>
      </w:r>
      <w:r>
        <w:t xml:space="preserve">      </w:t>
      </w:r>
      <w:r w:rsidR="00585C0A" w:rsidRPr="00762BCB">
        <w:rPr>
          <w:sz w:val="22"/>
          <w:szCs w:val="22"/>
        </w:rPr>
        <w:t xml:space="preserve">ECO </w:t>
      </w:r>
      <w:r w:rsidR="00100EA1">
        <w:rPr>
          <w:sz w:val="22"/>
          <w:szCs w:val="22"/>
        </w:rPr>
        <w:t>140</w:t>
      </w:r>
    </w:p>
    <w:p w14:paraId="28DB72F1" w14:textId="1453296E" w:rsidR="00585C0A" w:rsidRPr="00762BCB" w:rsidRDefault="001004B3" w:rsidP="001004B3">
      <w:pPr>
        <w:spacing w:line="288" w:lineRule="auto"/>
        <w:jc w:val="center"/>
        <w:rPr>
          <w:sz w:val="22"/>
          <w:szCs w:val="22"/>
        </w:rPr>
      </w:pPr>
      <w:r>
        <w:t xml:space="preserve">             </w:t>
      </w:r>
      <w:r w:rsidR="000D1BBA">
        <w:t>GSI</w:t>
      </w:r>
      <w:r w:rsidR="00585C0A">
        <w:t>_______________</w:t>
      </w:r>
      <w:r w:rsidR="004471B2">
        <w:t>_</w:t>
      </w:r>
      <w:r w:rsidR="00585C0A">
        <w:t>__________</w:t>
      </w:r>
      <w:r w:rsidR="004471B2">
        <w:t>__</w:t>
      </w:r>
      <w:r w:rsidR="00585C0A">
        <w:t>___</w:t>
      </w:r>
      <w:r>
        <w:tab/>
      </w:r>
      <w:r>
        <w:tab/>
      </w:r>
      <w:r>
        <w:tab/>
        <w:t xml:space="preserve">        </w:t>
      </w:r>
      <w:r>
        <w:tab/>
        <w:t xml:space="preserve">          </w:t>
      </w:r>
      <w:r w:rsidR="00585C0A">
        <w:t xml:space="preserve"> </w:t>
      </w:r>
      <w:r w:rsidR="00FB5885">
        <w:t>Fall</w:t>
      </w:r>
      <w:r w:rsidR="003D29A0">
        <w:rPr>
          <w:sz w:val="22"/>
          <w:szCs w:val="22"/>
        </w:rPr>
        <w:t xml:space="preserve"> </w:t>
      </w:r>
      <w:r w:rsidR="004471B2">
        <w:rPr>
          <w:sz w:val="22"/>
          <w:szCs w:val="22"/>
        </w:rPr>
        <w:t>20</w:t>
      </w:r>
      <w:r w:rsidR="007801E6">
        <w:rPr>
          <w:sz w:val="22"/>
          <w:szCs w:val="22"/>
        </w:rPr>
        <w:t>20</w:t>
      </w:r>
    </w:p>
    <w:p w14:paraId="05D55568" w14:textId="77777777" w:rsidR="00585C0A" w:rsidRPr="00D55D2D" w:rsidRDefault="00585C0A" w:rsidP="00585C0A">
      <w:pPr>
        <w:ind w:left="420"/>
        <w:rPr>
          <w:sz w:val="16"/>
        </w:rPr>
      </w:pPr>
    </w:p>
    <w:p w14:paraId="643A1FB1" w14:textId="77777777" w:rsidR="009908B0" w:rsidRDefault="00585C0A" w:rsidP="00585C0A">
      <w:pPr>
        <w:jc w:val="center"/>
        <w:rPr>
          <w:b/>
          <w:sz w:val="26"/>
          <w:szCs w:val="26"/>
          <w:u w:val="single"/>
        </w:rPr>
      </w:pPr>
      <w:r w:rsidRPr="00585C0A">
        <w:rPr>
          <w:b/>
          <w:sz w:val="26"/>
          <w:szCs w:val="26"/>
          <w:u w:val="single"/>
        </w:rPr>
        <w:t>Homework 1</w:t>
      </w:r>
    </w:p>
    <w:p w14:paraId="24DEA9E3" w14:textId="77777777" w:rsidR="00585C0A" w:rsidRDefault="00585C0A" w:rsidP="00585C0A">
      <w:pPr>
        <w:jc w:val="center"/>
        <w:rPr>
          <w:b/>
          <w:sz w:val="26"/>
          <w:szCs w:val="26"/>
          <w:u w:val="single"/>
        </w:rPr>
      </w:pPr>
    </w:p>
    <w:p w14:paraId="0D28221D" w14:textId="77777777" w:rsidR="00C8604C" w:rsidRDefault="00647EA9" w:rsidP="00C8604C">
      <w:pPr>
        <w:ind w:hanging="270"/>
      </w:pPr>
      <w:r w:rsidRPr="00AD5941">
        <w:rPr>
          <w:b/>
        </w:rPr>
        <w:t>1</w:t>
      </w:r>
      <w:r>
        <w:rPr>
          <w:b/>
          <w:i/>
        </w:rPr>
        <w:t xml:space="preserve">. </w:t>
      </w:r>
      <w:r w:rsidR="00C8604C">
        <w:t xml:space="preserve">Let </w:t>
      </w:r>
      <w:proofErr w:type="gramStart"/>
      <w:r w:rsidR="00C8604C">
        <w:t>A,B</w:t>
      </w:r>
      <w:proofErr w:type="gramEnd"/>
      <w:r w:rsidR="00C8604C">
        <w:t>,C be annual returns on Apple INC, government Bonds and CityGroup INC  stocks respectively. The table below describes the probability distributions for these stock returns based on the state of the economy.</w:t>
      </w:r>
    </w:p>
    <w:p w14:paraId="57B1724C" w14:textId="77777777" w:rsidR="00C8604C" w:rsidRPr="002C719B" w:rsidRDefault="00C8604C" w:rsidP="00C8604C">
      <w:pPr>
        <w:ind w:hanging="360"/>
        <w:rPr>
          <w:sz w:val="16"/>
          <w:szCs w:val="16"/>
        </w:rPr>
      </w:pPr>
    </w:p>
    <w:p w14:paraId="4D7ABD8D" w14:textId="77777777" w:rsidR="00C8604C" w:rsidRDefault="00C8604C" w:rsidP="00C8604C">
      <w:pPr>
        <w:ind w:hanging="36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9"/>
        <w:gridCol w:w="939"/>
        <w:gridCol w:w="1008"/>
        <w:gridCol w:w="1008"/>
        <w:gridCol w:w="1008"/>
        <w:gridCol w:w="1008"/>
        <w:gridCol w:w="1008"/>
      </w:tblGrid>
      <w:tr w:rsidR="00C8604C" w14:paraId="631FC17A" w14:textId="77777777" w:rsidTr="007426F2">
        <w:trPr>
          <w:jc w:val="center"/>
        </w:trPr>
        <w:tc>
          <w:tcPr>
            <w:tcW w:w="1299" w:type="dxa"/>
          </w:tcPr>
          <w:p w14:paraId="78C6B24B" w14:textId="77777777" w:rsidR="00C8604C" w:rsidRDefault="00C8604C" w:rsidP="007426F2">
            <w:pPr>
              <w:ind w:hanging="360"/>
              <w:jc w:val="right"/>
            </w:pPr>
          </w:p>
        </w:tc>
        <w:tc>
          <w:tcPr>
            <w:tcW w:w="939" w:type="dxa"/>
            <w:tcBorders>
              <w:bottom w:val="single" w:sz="8" w:space="0" w:color="auto"/>
            </w:tcBorders>
          </w:tcPr>
          <w:p w14:paraId="79B2F2E9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A</w:t>
            </w:r>
          </w:p>
        </w:tc>
        <w:tc>
          <w:tcPr>
            <w:tcW w:w="1008" w:type="dxa"/>
            <w:tcBorders>
              <w:bottom w:val="single" w:sz="8" w:space="0" w:color="auto"/>
            </w:tcBorders>
          </w:tcPr>
          <w:p w14:paraId="611DC4A9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p(A)</w:t>
            </w:r>
          </w:p>
        </w:tc>
        <w:tc>
          <w:tcPr>
            <w:tcW w:w="1008" w:type="dxa"/>
            <w:tcBorders>
              <w:bottom w:val="single" w:sz="8" w:space="0" w:color="auto"/>
            </w:tcBorders>
          </w:tcPr>
          <w:p w14:paraId="4E0E7683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B</w:t>
            </w:r>
          </w:p>
        </w:tc>
        <w:tc>
          <w:tcPr>
            <w:tcW w:w="1008" w:type="dxa"/>
            <w:tcBorders>
              <w:bottom w:val="single" w:sz="8" w:space="0" w:color="auto"/>
            </w:tcBorders>
          </w:tcPr>
          <w:p w14:paraId="1BE567BE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P(B)</w:t>
            </w:r>
          </w:p>
        </w:tc>
        <w:tc>
          <w:tcPr>
            <w:tcW w:w="1008" w:type="dxa"/>
            <w:tcBorders>
              <w:bottom w:val="single" w:sz="8" w:space="0" w:color="auto"/>
            </w:tcBorders>
          </w:tcPr>
          <w:p w14:paraId="4AC9A9EE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C</w:t>
            </w:r>
          </w:p>
        </w:tc>
        <w:tc>
          <w:tcPr>
            <w:tcW w:w="1008" w:type="dxa"/>
            <w:tcBorders>
              <w:bottom w:val="single" w:sz="8" w:space="0" w:color="auto"/>
            </w:tcBorders>
          </w:tcPr>
          <w:p w14:paraId="3588FB5C" w14:textId="77777777" w:rsidR="00C8604C" w:rsidRPr="002214CF" w:rsidRDefault="00C8604C" w:rsidP="00C8604C">
            <w:pPr>
              <w:ind w:hanging="360"/>
              <w:jc w:val="center"/>
              <w:rPr>
                <w:b/>
                <w:i/>
              </w:rPr>
            </w:pPr>
            <w:r w:rsidRPr="002214CF">
              <w:rPr>
                <w:b/>
                <w:i/>
              </w:rPr>
              <w:t>P(C)</w:t>
            </w:r>
          </w:p>
        </w:tc>
      </w:tr>
      <w:tr w:rsidR="00C8604C" w14:paraId="037875DA" w14:textId="77777777" w:rsidTr="007426F2">
        <w:trPr>
          <w:trHeight w:val="288"/>
          <w:jc w:val="center"/>
        </w:trPr>
        <w:tc>
          <w:tcPr>
            <w:tcW w:w="1299" w:type="dxa"/>
            <w:tcBorders>
              <w:right w:val="single" w:sz="8" w:space="0" w:color="auto"/>
            </w:tcBorders>
          </w:tcPr>
          <w:p w14:paraId="544E42FB" w14:textId="77777777" w:rsidR="00C8604C" w:rsidRPr="002214CF" w:rsidRDefault="00C8604C" w:rsidP="007426F2">
            <w:pPr>
              <w:ind w:hanging="360"/>
              <w:jc w:val="right"/>
              <w:rPr>
                <w:i/>
              </w:rPr>
            </w:pPr>
            <w:r w:rsidRPr="002214CF">
              <w:rPr>
                <w:i/>
              </w:rPr>
              <w:t>Recession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C72F8" w14:textId="77777777" w:rsidR="00C8604C" w:rsidRDefault="00C8604C" w:rsidP="00C8604C">
            <w:pPr>
              <w:ind w:hanging="360"/>
              <w:jc w:val="center"/>
            </w:pPr>
            <w:r>
              <w:t>0.04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83817E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B79BE" w14:textId="77777777" w:rsidR="00C8604C" w:rsidRDefault="00C8604C" w:rsidP="00C8604C">
            <w:pPr>
              <w:ind w:hanging="360"/>
              <w:jc w:val="center"/>
            </w:pPr>
            <w:r>
              <w:t>0.09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4A45FE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6BDE31" w14:textId="77777777" w:rsidR="00C8604C" w:rsidRDefault="00C8604C" w:rsidP="00C8604C">
            <w:pPr>
              <w:ind w:hanging="360"/>
              <w:jc w:val="center"/>
            </w:pPr>
            <w:r>
              <w:t>-0.2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37CB20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</w:tr>
      <w:tr w:rsidR="00C8604C" w14:paraId="67254948" w14:textId="77777777" w:rsidTr="007426F2">
        <w:trPr>
          <w:trHeight w:val="288"/>
          <w:jc w:val="center"/>
        </w:trPr>
        <w:tc>
          <w:tcPr>
            <w:tcW w:w="1299" w:type="dxa"/>
            <w:tcBorders>
              <w:right w:val="single" w:sz="8" w:space="0" w:color="auto"/>
            </w:tcBorders>
          </w:tcPr>
          <w:p w14:paraId="3F4DDCF9" w14:textId="77777777" w:rsidR="00C8604C" w:rsidRPr="002214CF" w:rsidRDefault="00C8604C" w:rsidP="007426F2">
            <w:pPr>
              <w:ind w:hanging="360"/>
              <w:jc w:val="right"/>
              <w:rPr>
                <w:i/>
              </w:rPr>
            </w:pPr>
            <w:smartTag w:uri="urn:schemas-microsoft-com:office:smarttags" w:element="place">
              <w:smartTag w:uri="urn:schemas-microsoft-com:office:smarttags" w:element="City">
                <w:r w:rsidRPr="002214CF">
                  <w:rPr>
                    <w:i/>
                  </w:rPr>
                  <w:t>Normal</w:t>
                </w:r>
              </w:smartTag>
            </w:smartTag>
          </w:p>
        </w:tc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231FD0" w14:textId="77777777" w:rsidR="00C8604C" w:rsidRDefault="00C8604C" w:rsidP="00C8604C">
            <w:pPr>
              <w:ind w:hanging="360"/>
              <w:jc w:val="center"/>
            </w:pPr>
            <w:r>
              <w:t>0.22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8842DB" w14:textId="77777777" w:rsidR="00C8604C" w:rsidRDefault="00C8604C" w:rsidP="00C8604C">
            <w:pPr>
              <w:ind w:hanging="360"/>
              <w:jc w:val="center"/>
            </w:pPr>
            <w:r>
              <w:t>0.6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9B2A9" w14:textId="77777777" w:rsidR="00C8604C" w:rsidRDefault="00C8604C" w:rsidP="00C8604C">
            <w:pPr>
              <w:ind w:hanging="360"/>
              <w:jc w:val="center"/>
            </w:pPr>
            <w:r>
              <w:t>0.1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C7D4D7" w14:textId="77777777" w:rsidR="00C8604C" w:rsidRDefault="00C8604C" w:rsidP="00C8604C">
            <w:pPr>
              <w:ind w:hanging="360"/>
              <w:jc w:val="center"/>
            </w:pPr>
            <w:r>
              <w:t>0.6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3CEE9C" w14:textId="77777777" w:rsidR="00C8604C" w:rsidRDefault="00C8604C" w:rsidP="00C8604C">
            <w:pPr>
              <w:ind w:hanging="360"/>
              <w:jc w:val="center"/>
            </w:pPr>
            <w:r>
              <w:t>0.1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A9A7C" w14:textId="77777777" w:rsidR="00C8604C" w:rsidRDefault="00C8604C" w:rsidP="00C8604C">
            <w:pPr>
              <w:ind w:hanging="360"/>
              <w:jc w:val="center"/>
            </w:pPr>
            <w:r>
              <w:t>0.6</w:t>
            </w:r>
          </w:p>
        </w:tc>
      </w:tr>
      <w:tr w:rsidR="00C8604C" w14:paraId="11D5A072" w14:textId="77777777" w:rsidTr="007426F2">
        <w:trPr>
          <w:trHeight w:val="288"/>
          <w:jc w:val="center"/>
        </w:trPr>
        <w:tc>
          <w:tcPr>
            <w:tcW w:w="1299" w:type="dxa"/>
            <w:tcBorders>
              <w:right w:val="single" w:sz="8" w:space="0" w:color="auto"/>
            </w:tcBorders>
          </w:tcPr>
          <w:p w14:paraId="1C793EE0" w14:textId="77777777" w:rsidR="00C8604C" w:rsidRPr="002214CF" w:rsidRDefault="00C8604C" w:rsidP="007426F2">
            <w:pPr>
              <w:ind w:hanging="360"/>
              <w:jc w:val="right"/>
              <w:rPr>
                <w:i/>
              </w:rPr>
            </w:pPr>
            <w:r w:rsidRPr="002214CF">
              <w:rPr>
                <w:i/>
              </w:rPr>
              <w:t>Expansion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6DEA8B" w14:textId="77777777" w:rsidR="00C8604C" w:rsidRDefault="00C8604C" w:rsidP="00C8604C">
            <w:pPr>
              <w:ind w:hanging="360"/>
              <w:jc w:val="center"/>
            </w:pPr>
            <w:r>
              <w:t>0.3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CBC829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CABBDE" w14:textId="77777777" w:rsidR="00C8604C" w:rsidRDefault="00C8604C" w:rsidP="00C8604C">
            <w:pPr>
              <w:ind w:hanging="360"/>
              <w:jc w:val="center"/>
            </w:pPr>
            <w:r>
              <w:t>0.11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95E793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1C785" w14:textId="77777777" w:rsidR="00C8604C" w:rsidRDefault="00C8604C" w:rsidP="00C8604C">
            <w:pPr>
              <w:ind w:hanging="360"/>
              <w:jc w:val="center"/>
            </w:pPr>
            <w:r>
              <w:t>0.4</w:t>
            </w:r>
          </w:p>
        </w:tc>
        <w:tc>
          <w:tcPr>
            <w:tcW w:w="10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B02058" w14:textId="77777777" w:rsidR="00C8604C" w:rsidRDefault="00C8604C" w:rsidP="00C8604C">
            <w:pPr>
              <w:ind w:hanging="360"/>
              <w:jc w:val="center"/>
            </w:pPr>
            <w:r>
              <w:t>0.2</w:t>
            </w:r>
          </w:p>
        </w:tc>
      </w:tr>
    </w:tbl>
    <w:p w14:paraId="4B78EC09" w14:textId="77777777" w:rsidR="00C8604C" w:rsidRDefault="00C8604C" w:rsidP="00C8604C">
      <w:pPr>
        <w:ind w:hanging="360"/>
      </w:pPr>
      <w:r>
        <w:t xml:space="preserve"> </w:t>
      </w:r>
    </w:p>
    <w:p w14:paraId="7903FF11" w14:textId="77777777" w:rsidR="00C8604C" w:rsidRDefault="00C8604C" w:rsidP="00C8604C">
      <w:pPr>
        <w:numPr>
          <w:ilvl w:val="0"/>
          <w:numId w:val="2"/>
        </w:numPr>
        <w:tabs>
          <w:tab w:val="clear" w:pos="720"/>
        </w:tabs>
        <w:ind w:left="0"/>
      </w:pPr>
      <w:r>
        <w:t>Are A, B and C random variables?</w:t>
      </w:r>
    </w:p>
    <w:p w14:paraId="295D1B4D" w14:textId="77777777" w:rsidR="00C8604C" w:rsidRDefault="00C8604C" w:rsidP="00C8604C">
      <w:pPr>
        <w:ind w:hanging="360"/>
      </w:pPr>
    </w:p>
    <w:p w14:paraId="73ED10A4" w14:textId="77777777" w:rsidR="00C8604C" w:rsidRDefault="00C8604C" w:rsidP="00C8604C">
      <w:pPr>
        <w:ind w:hanging="360"/>
      </w:pPr>
      <w:r>
        <w:t>Yes,    No      (circle the correct answer)</w:t>
      </w:r>
    </w:p>
    <w:p w14:paraId="68A46234" w14:textId="77777777" w:rsidR="00C8604C" w:rsidRDefault="00C8604C" w:rsidP="00C8604C">
      <w:pPr>
        <w:ind w:hanging="360"/>
      </w:pPr>
    </w:p>
    <w:p w14:paraId="05586433" w14:textId="77777777" w:rsidR="00C8604C" w:rsidRDefault="00C8604C" w:rsidP="00C8604C">
      <w:pPr>
        <w:numPr>
          <w:ilvl w:val="0"/>
          <w:numId w:val="2"/>
        </w:numPr>
        <w:tabs>
          <w:tab w:val="clear" w:pos="720"/>
        </w:tabs>
        <w:ind w:left="0"/>
      </w:pPr>
      <w:r>
        <w:t>Is it   discrete  or    continuous   probability distribution?  (circle the correct answer)</w:t>
      </w:r>
    </w:p>
    <w:p w14:paraId="2B089CF2" w14:textId="77777777" w:rsidR="00C8604C" w:rsidRDefault="00C8604C" w:rsidP="00C8604C">
      <w:pPr>
        <w:ind w:hanging="360"/>
      </w:pPr>
    </w:p>
    <w:p w14:paraId="513EE161" w14:textId="77777777" w:rsidR="00C8604C" w:rsidRDefault="00C8604C" w:rsidP="00C8604C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0"/>
        <w:rPr>
          <w:lang w:eastAsia="en-US"/>
        </w:rPr>
      </w:pPr>
      <w:r w:rsidRPr="007A7D17">
        <w:rPr>
          <w:lang w:eastAsia="en-US"/>
        </w:rPr>
        <w:t>For each random variable, compute the expected value, variance, standard deviation</w:t>
      </w:r>
      <w:r>
        <w:rPr>
          <w:lang w:eastAsia="en-US"/>
        </w:rPr>
        <w:t xml:space="preserve">. </w:t>
      </w:r>
      <w:r w:rsidRPr="00BD4244">
        <w:rPr>
          <w:b/>
          <w:lang w:eastAsia="en-US"/>
        </w:rPr>
        <w:t xml:space="preserve">Comment </w:t>
      </w:r>
      <w:r>
        <w:rPr>
          <w:lang w:eastAsia="en-US"/>
        </w:rPr>
        <w:t xml:space="preserve">on the results for </w:t>
      </w:r>
      <w:r w:rsidRPr="0049732C">
        <w:rPr>
          <w:b/>
          <w:lang w:eastAsia="en-US"/>
        </w:rPr>
        <w:t>each</w:t>
      </w:r>
      <w:r>
        <w:rPr>
          <w:lang w:eastAsia="en-US"/>
        </w:rPr>
        <w:t xml:space="preserve"> stock. (</w:t>
      </w:r>
      <w:r w:rsidRPr="00A5006B">
        <w:rPr>
          <w:b/>
          <w:lang w:eastAsia="en-US"/>
        </w:rPr>
        <w:t>Show</w:t>
      </w:r>
      <w:r>
        <w:rPr>
          <w:lang w:eastAsia="en-US"/>
        </w:rPr>
        <w:t xml:space="preserve"> your work. )</w:t>
      </w:r>
    </w:p>
    <w:p w14:paraId="74592B8A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BE83D27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E[</w:t>
      </w:r>
      <w:r w:rsidRPr="00B83388">
        <w:rPr>
          <w:i/>
          <w:lang w:eastAsia="en-US"/>
        </w:rPr>
        <w:t>A</w:t>
      </w:r>
      <w:r>
        <w:rPr>
          <w:lang w:eastAsia="en-US"/>
        </w:rPr>
        <w:t xml:space="preserve">] = </w:t>
      </w:r>
    </w:p>
    <w:p w14:paraId="377EC9ED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6154AE3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9E6AC5F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Var[</w:t>
      </w:r>
      <w:r w:rsidRPr="00B83388">
        <w:rPr>
          <w:i/>
          <w:lang w:eastAsia="en-US"/>
        </w:rPr>
        <w:t>A</w:t>
      </w:r>
      <w:r>
        <w:rPr>
          <w:lang w:eastAsia="en-US"/>
        </w:rPr>
        <w:t xml:space="preserve">] = </w:t>
      </w:r>
    </w:p>
    <w:p w14:paraId="316FA469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23031934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8EA9730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AB6E839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05F7C01B" w14:textId="090D88D6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sd[</w:t>
      </w:r>
      <w:r w:rsidRPr="00B83388">
        <w:rPr>
          <w:i/>
          <w:lang w:eastAsia="en-US"/>
        </w:rPr>
        <w:t>A</w:t>
      </w:r>
      <w:r>
        <w:rPr>
          <w:lang w:eastAsia="en-US"/>
        </w:rPr>
        <w:t xml:space="preserve">] = </w:t>
      </w:r>
    </w:p>
    <w:p w14:paraId="674722BA" w14:textId="2F0C211F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F5F7D25" w14:textId="0D51014F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542DD3D" w14:textId="1C8576DF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72E00AF" w14:textId="4ADD11D7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E023DE6" w14:textId="570D5D65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36C4D86A" w14:textId="77777777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A2C9CBA" w14:textId="77777777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0C9186C8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E[</w:t>
      </w:r>
      <w:r w:rsidRPr="00B83388">
        <w:rPr>
          <w:i/>
          <w:lang w:eastAsia="en-US"/>
        </w:rPr>
        <w:t>B</w:t>
      </w:r>
      <w:r>
        <w:rPr>
          <w:lang w:eastAsia="en-US"/>
        </w:rPr>
        <w:t xml:space="preserve">] = </w:t>
      </w:r>
    </w:p>
    <w:p w14:paraId="45EC5842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702BF42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5F70144D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9C7B931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Var[</w:t>
      </w:r>
      <w:r w:rsidRPr="00B83388">
        <w:rPr>
          <w:i/>
          <w:lang w:eastAsia="en-US"/>
        </w:rPr>
        <w:t>B</w:t>
      </w:r>
      <w:r>
        <w:rPr>
          <w:lang w:eastAsia="en-US"/>
        </w:rPr>
        <w:t xml:space="preserve">] = </w:t>
      </w:r>
    </w:p>
    <w:p w14:paraId="328C6F44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lastRenderedPageBreak/>
        <w:t>sd[</w:t>
      </w:r>
      <w:r w:rsidRPr="00B83388">
        <w:rPr>
          <w:i/>
          <w:lang w:eastAsia="en-US"/>
        </w:rPr>
        <w:t>B</w:t>
      </w:r>
      <w:r>
        <w:rPr>
          <w:lang w:eastAsia="en-US"/>
        </w:rPr>
        <w:t>] =</w:t>
      </w:r>
    </w:p>
    <w:p w14:paraId="50954185" w14:textId="78B0CFE2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322410AA" w14:textId="2CA01237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3E79443" w14:textId="362F7E5F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570FC68C" w14:textId="1340C001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3612A35B" w14:textId="77777777" w:rsidR="00576B98" w:rsidRDefault="00576B98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08FF5F8A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800EAE7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6407B7A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E[</w:t>
      </w:r>
      <w:r w:rsidRPr="00B83388">
        <w:rPr>
          <w:i/>
          <w:lang w:eastAsia="en-US"/>
        </w:rPr>
        <w:t>C</w:t>
      </w:r>
      <w:r>
        <w:rPr>
          <w:lang w:eastAsia="en-US"/>
        </w:rPr>
        <w:t xml:space="preserve">] = </w:t>
      </w:r>
    </w:p>
    <w:p w14:paraId="52CDF62C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269E3AE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350610D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DA81D91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Var[</w:t>
      </w:r>
      <w:r w:rsidRPr="00B83388">
        <w:rPr>
          <w:i/>
          <w:lang w:eastAsia="en-US"/>
        </w:rPr>
        <w:t>C</w:t>
      </w:r>
      <w:r>
        <w:rPr>
          <w:lang w:eastAsia="en-US"/>
        </w:rPr>
        <w:t xml:space="preserve">] = </w:t>
      </w:r>
    </w:p>
    <w:p w14:paraId="6583289A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3B98F8F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30C54534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AFCB73B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C0E1604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sd[</w:t>
      </w:r>
      <w:r w:rsidRPr="00B83388">
        <w:rPr>
          <w:i/>
          <w:lang w:eastAsia="en-US"/>
        </w:rPr>
        <w:t>C</w:t>
      </w:r>
      <w:r>
        <w:rPr>
          <w:lang w:eastAsia="en-US"/>
        </w:rPr>
        <w:t xml:space="preserve">] = </w:t>
      </w:r>
    </w:p>
    <w:p w14:paraId="736F9182" w14:textId="77777777" w:rsidR="00C8604C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A2E2463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7369CB0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>Comment:</w:t>
      </w:r>
    </w:p>
    <w:p w14:paraId="05260B05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1F8174B1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446674C8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299AE543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38F9B6BD" w14:textId="0411AE5B" w:rsidR="00CD41CA" w:rsidRDefault="00C8604C" w:rsidP="00C8604C">
      <w:pPr>
        <w:autoSpaceDE w:val="0"/>
        <w:autoSpaceDN w:val="0"/>
        <w:adjustRightInd w:val="0"/>
        <w:ind w:hanging="360"/>
        <w:rPr>
          <w:lang w:eastAsia="en-US"/>
        </w:rPr>
      </w:pPr>
      <w:r>
        <w:rPr>
          <w:lang w:eastAsia="en-US"/>
        </w:rPr>
        <w:t xml:space="preserve"> </w:t>
      </w:r>
    </w:p>
    <w:p w14:paraId="5EE43571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73E32682" w14:textId="77777777" w:rsidR="00CD41CA" w:rsidRDefault="00CD41CA" w:rsidP="00C8604C">
      <w:pPr>
        <w:autoSpaceDE w:val="0"/>
        <w:autoSpaceDN w:val="0"/>
        <w:adjustRightInd w:val="0"/>
        <w:ind w:hanging="360"/>
        <w:rPr>
          <w:lang w:eastAsia="en-US"/>
        </w:rPr>
      </w:pPr>
    </w:p>
    <w:p w14:paraId="6C495018" w14:textId="77777777" w:rsidR="00C8604C" w:rsidRDefault="00C8604C" w:rsidP="00C8604C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0"/>
      </w:pPr>
      <w:r>
        <w:t>Suppose you have a portfolio consisting of $200 in Apple INC stocks, $200 in government bonds and $100 in CitiGroup INC stocks. Calculate the expected annual return (note that the answer should be in % units):</w:t>
      </w:r>
    </w:p>
    <w:p w14:paraId="5392A71F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3C223A96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082E5CAB" w14:textId="77777777" w:rsidR="00CD41CA" w:rsidRDefault="00CD41CA" w:rsidP="00C8604C">
      <w:pPr>
        <w:autoSpaceDE w:val="0"/>
        <w:autoSpaceDN w:val="0"/>
        <w:adjustRightInd w:val="0"/>
        <w:ind w:hanging="360"/>
      </w:pPr>
    </w:p>
    <w:p w14:paraId="75A5CD3B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74BF4AB7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69A2391A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0F758692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2AB846A3" w14:textId="77777777" w:rsidR="00C8604C" w:rsidRDefault="00C8604C" w:rsidP="00C8604C">
      <w:pPr>
        <w:numPr>
          <w:ilvl w:val="0"/>
          <w:numId w:val="2"/>
        </w:numPr>
        <w:tabs>
          <w:tab w:val="clear" w:pos="720"/>
        </w:tabs>
        <w:autoSpaceDE w:val="0"/>
        <w:autoSpaceDN w:val="0"/>
        <w:adjustRightInd w:val="0"/>
        <w:ind w:left="0"/>
      </w:pPr>
      <w:r>
        <w:t xml:space="preserve">Given that </w:t>
      </w:r>
      <w:r w:rsidRPr="00435316">
        <w:rPr>
          <w:i/>
        </w:rPr>
        <w:t>A, B</w:t>
      </w:r>
      <w:r>
        <w:t xml:space="preserve"> and </w:t>
      </w:r>
      <w:r w:rsidRPr="00435316">
        <w:rPr>
          <w:i/>
        </w:rPr>
        <w:t>C</w:t>
      </w:r>
      <w:r>
        <w:t xml:space="preserve"> are independent, calculate the variance and standard deviation of the </w:t>
      </w:r>
      <w:r w:rsidRPr="0049732C">
        <w:rPr>
          <w:b/>
        </w:rPr>
        <w:t>returns</w:t>
      </w:r>
      <w:r>
        <w:t xml:space="preserve"> to that portfolio.(</w:t>
      </w:r>
      <w:r w:rsidRPr="0049732C">
        <w:rPr>
          <w:i/>
        </w:rPr>
        <w:t>Hint</w:t>
      </w:r>
      <w:r>
        <w:t>: Calculate Var(0.4</w:t>
      </w:r>
      <w:r w:rsidRPr="00435316">
        <w:rPr>
          <w:i/>
        </w:rPr>
        <w:t>A</w:t>
      </w:r>
      <w:r>
        <w:t>+0.4</w:t>
      </w:r>
      <w:r w:rsidRPr="00435316">
        <w:rPr>
          <w:i/>
        </w:rPr>
        <w:t>B</w:t>
      </w:r>
      <w:r>
        <w:t>+0.2</w:t>
      </w:r>
      <w:r w:rsidRPr="00435316">
        <w:rPr>
          <w:i/>
        </w:rPr>
        <w:t>C</w:t>
      </w:r>
      <w:r>
        <w:t>))</w:t>
      </w:r>
    </w:p>
    <w:p w14:paraId="7A7AAC82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4F38FA80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57EEE354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0293FDC3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027AD911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3DE60FA2" w14:textId="77777777" w:rsidR="00C8604C" w:rsidRDefault="00C8604C" w:rsidP="00C8604C">
      <w:pPr>
        <w:autoSpaceDE w:val="0"/>
        <w:autoSpaceDN w:val="0"/>
        <w:adjustRightInd w:val="0"/>
        <w:ind w:hanging="360"/>
      </w:pPr>
    </w:p>
    <w:p w14:paraId="0476D4A7" w14:textId="786402E7" w:rsidR="00995AC8" w:rsidRPr="005F2316" w:rsidRDefault="00995AC8" w:rsidP="00576B98">
      <w:pPr>
        <w:autoSpaceDE w:val="0"/>
        <w:autoSpaceDN w:val="0"/>
        <w:adjustRightInd w:val="0"/>
        <w:ind w:left="270" w:hanging="360"/>
        <w:rPr>
          <w:color w:val="000000"/>
        </w:rPr>
      </w:pPr>
      <w:r w:rsidRPr="00983B4C">
        <w:rPr>
          <w:b/>
          <w:sz w:val="26"/>
          <w:szCs w:val="26"/>
        </w:rPr>
        <w:lastRenderedPageBreak/>
        <w:t>2</w:t>
      </w:r>
      <w:r>
        <w:rPr>
          <w:b/>
          <w:i/>
        </w:rPr>
        <w:t xml:space="preserve">. </w:t>
      </w:r>
      <w:r>
        <w:t xml:space="preserve"> </w:t>
      </w:r>
      <w:r w:rsidRPr="00762BCB">
        <w:t xml:space="preserve">The file </w:t>
      </w:r>
      <w:r>
        <w:rPr>
          <w:b/>
        </w:rPr>
        <w:t>gold_sp500</w:t>
      </w:r>
      <w:r w:rsidRPr="00ED244D">
        <w:rPr>
          <w:b/>
        </w:rPr>
        <w:t>.xls</w:t>
      </w:r>
      <w:r w:rsidRPr="00762BCB">
        <w:t xml:space="preserve"> contains</w:t>
      </w:r>
      <w:r w:rsidR="0088424E">
        <w:t xml:space="preserve"> a</w:t>
      </w:r>
      <w:r w:rsidRPr="00762BCB">
        <w:t xml:space="preserve"> </w:t>
      </w:r>
      <w:r>
        <w:t xml:space="preserve">table with </w:t>
      </w:r>
      <w:r>
        <w:rPr>
          <w:rFonts w:ascii="TimesNewRomanPSMT" w:hAnsi="TimesNewRomanPSMT" w:cs="TimesNewRomanPSMT"/>
          <w:lang w:eastAsia="en-US"/>
        </w:rPr>
        <w:t xml:space="preserve">weekly data for the prices of gold and </w:t>
      </w:r>
      <w:r w:rsidR="0088424E">
        <w:rPr>
          <w:rFonts w:ascii="TimesNewRomanPSMT" w:hAnsi="TimesNewRomanPSMT" w:cs="TimesNewRomanPSMT"/>
          <w:lang w:eastAsia="en-US"/>
        </w:rPr>
        <w:t xml:space="preserve">the </w:t>
      </w:r>
      <w:r>
        <w:rPr>
          <w:rFonts w:ascii="TimesNewRomanPSMT" w:hAnsi="TimesNewRomanPSMT" w:cs="TimesNewRomanPSMT"/>
          <w:lang w:eastAsia="en-US"/>
        </w:rPr>
        <w:t>S&amp;P</w:t>
      </w:r>
      <w:r w:rsidR="0088424E">
        <w:rPr>
          <w:rFonts w:ascii="TimesNewRomanPSMT" w:hAnsi="TimesNewRomanPSMT" w:cs="TimesNewRomanPSMT"/>
          <w:lang w:eastAsia="en-US"/>
        </w:rPr>
        <w:t xml:space="preserve"> </w:t>
      </w:r>
      <w:r>
        <w:rPr>
          <w:rFonts w:ascii="TimesNewRomanPSMT" w:hAnsi="TimesNewRomanPSMT" w:cs="TimesNewRomanPSMT"/>
          <w:lang w:eastAsia="en-US"/>
        </w:rPr>
        <w:t xml:space="preserve">500 </w:t>
      </w:r>
      <w:r w:rsidR="0088424E">
        <w:rPr>
          <w:rFonts w:ascii="TimesNewRomanPSMT" w:hAnsi="TimesNewRomanPSMT" w:cs="TimesNewRomanPSMT"/>
          <w:lang w:eastAsia="en-US"/>
        </w:rPr>
        <w:t>i</w:t>
      </w:r>
      <w:r>
        <w:rPr>
          <w:rFonts w:ascii="TimesNewRomanPSMT" w:hAnsi="TimesNewRomanPSMT" w:cs="TimesNewRomanPSMT"/>
          <w:lang w:eastAsia="en-US"/>
        </w:rPr>
        <w:t>ndex for the period 1985</w:t>
      </w:r>
      <w:r w:rsidR="0088424E">
        <w:rPr>
          <w:rFonts w:ascii="TimesNewRomanPSMT" w:hAnsi="TimesNewRomanPSMT" w:cs="TimesNewRomanPSMT"/>
          <w:lang w:eastAsia="en-US"/>
        </w:rPr>
        <w:t xml:space="preserve"> to </w:t>
      </w:r>
      <w:r>
        <w:rPr>
          <w:rFonts w:ascii="TimesNewRomanPSMT" w:hAnsi="TimesNewRomanPSMT" w:cs="TimesNewRomanPSMT"/>
          <w:lang w:eastAsia="en-US"/>
        </w:rPr>
        <w:t>2020.</w:t>
      </w:r>
    </w:p>
    <w:p w14:paraId="5DC8BF7E" w14:textId="77777777" w:rsidR="00995AC8" w:rsidRPr="00983B4C" w:rsidRDefault="00995AC8" w:rsidP="00995AC8">
      <w:pPr>
        <w:autoSpaceDE w:val="0"/>
        <w:autoSpaceDN w:val="0"/>
        <w:adjustRightInd w:val="0"/>
        <w:ind w:left="270"/>
        <w:rPr>
          <w:sz w:val="16"/>
        </w:rPr>
      </w:pPr>
    </w:p>
    <w:p w14:paraId="796720C8" w14:textId="77777777" w:rsidR="00995AC8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</w:pPr>
      <w:r>
        <w:t>What is the type of this data set?</w:t>
      </w:r>
    </w:p>
    <w:p w14:paraId="04619AF6" w14:textId="77777777" w:rsidR="00995AC8" w:rsidRDefault="00995AC8" w:rsidP="00995AC8">
      <w:pPr>
        <w:autoSpaceDE w:val="0"/>
        <w:autoSpaceDN w:val="0"/>
        <w:adjustRightInd w:val="0"/>
        <w:ind w:left="270"/>
      </w:pPr>
    </w:p>
    <w:p w14:paraId="2F827E0D" w14:textId="77777777" w:rsidR="00995AC8" w:rsidRDefault="00995AC8" w:rsidP="00995AC8">
      <w:pPr>
        <w:autoSpaceDE w:val="0"/>
        <w:autoSpaceDN w:val="0"/>
        <w:adjustRightInd w:val="0"/>
        <w:ind w:left="270"/>
      </w:pPr>
    </w:p>
    <w:p w14:paraId="3C2A726B" w14:textId="5F251290" w:rsidR="00995AC8" w:rsidRDefault="00EE2275" w:rsidP="00995AC8">
      <w:pPr>
        <w:numPr>
          <w:ilvl w:val="0"/>
          <w:numId w:val="4"/>
        </w:numPr>
        <w:autoSpaceDE w:val="0"/>
        <w:autoSpaceDN w:val="0"/>
        <w:adjustRightInd w:val="0"/>
        <w:ind w:left="270"/>
      </w:pPr>
      <w:r>
        <w:t>Make a time series p</w:t>
      </w:r>
      <w:r w:rsidR="00995AC8">
        <w:t xml:space="preserve">lot </w:t>
      </w:r>
      <w:r>
        <w:t xml:space="preserve">of </w:t>
      </w:r>
      <w:r w:rsidR="00995AC8">
        <w:t>the data. Make sure it looks professional. Include labels, title, units of measurement.</w:t>
      </w:r>
      <w:r w:rsidR="00202007">
        <w:t xml:space="preserve"> Interpret the plot.</w:t>
      </w:r>
      <w:r w:rsidR="00995AC8">
        <w:t xml:space="preserve"> Attach the printout.</w:t>
      </w:r>
    </w:p>
    <w:p w14:paraId="43744777" w14:textId="77777777" w:rsidR="00995AC8" w:rsidRDefault="00995AC8" w:rsidP="00995AC8">
      <w:pPr>
        <w:autoSpaceDE w:val="0"/>
        <w:autoSpaceDN w:val="0"/>
        <w:adjustRightInd w:val="0"/>
        <w:ind w:left="270"/>
      </w:pPr>
    </w:p>
    <w:p w14:paraId="5EE67CD7" w14:textId="77777777" w:rsidR="00995AC8" w:rsidRDefault="00995AC8" w:rsidP="00995AC8">
      <w:pPr>
        <w:autoSpaceDE w:val="0"/>
        <w:autoSpaceDN w:val="0"/>
        <w:adjustRightInd w:val="0"/>
        <w:ind w:left="270"/>
      </w:pPr>
    </w:p>
    <w:p w14:paraId="4B50316D" w14:textId="11F5FC5B" w:rsidR="00995AC8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  <w:r>
        <w:rPr>
          <w:rFonts w:ascii="TimesNewRomanPSMT" w:hAnsi="TimesNewRomanPSMT" w:cs="TimesNewRomanPSMT"/>
          <w:lang w:eastAsia="en-US"/>
        </w:rPr>
        <w:t>Pick a stock of a company that has a ticker that starts with the same letter as your last name (</w:t>
      </w:r>
      <w:r w:rsidRPr="00576B98">
        <w:rPr>
          <w:rFonts w:ascii="TimesNewRomanPSMT" w:hAnsi="TimesNewRomanPSMT" w:cs="TimesNewRomanPSMT"/>
          <w:color w:val="002060"/>
          <w:lang w:eastAsia="en-US"/>
        </w:rPr>
        <w:t>e</w:t>
      </w:r>
      <w:r w:rsidR="0088424E" w:rsidRPr="00576B98">
        <w:rPr>
          <w:rFonts w:ascii="TimesNewRomanPSMT" w:hAnsi="TimesNewRomanPSMT" w:cs="TimesNewRomanPSMT"/>
          <w:color w:val="002060"/>
          <w:lang w:eastAsia="en-US"/>
        </w:rPr>
        <w:t>.</w:t>
      </w:r>
      <w:r w:rsidRPr="00576B98">
        <w:rPr>
          <w:rFonts w:ascii="TimesNewRomanPSMT" w:hAnsi="TimesNewRomanPSMT" w:cs="TimesNewRomanPSMT"/>
          <w:color w:val="002060"/>
          <w:lang w:eastAsia="en-US"/>
        </w:rPr>
        <w:t>g. Duzhak = DIS for Walt Disney company</w:t>
      </w:r>
      <w:r>
        <w:rPr>
          <w:rFonts w:ascii="TimesNewRomanPSMT" w:hAnsi="TimesNewRomanPSMT" w:cs="TimesNewRomanPSMT"/>
          <w:lang w:eastAsia="en-US"/>
        </w:rPr>
        <w:t>). Find and download weekly data for your stock over the same period as the rest of the observations in your data set. Add it to</w:t>
      </w:r>
      <w:r w:rsidR="00EE2275">
        <w:rPr>
          <w:rFonts w:ascii="TimesNewRomanPSMT" w:hAnsi="TimesNewRomanPSMT" w:cs="TimesNewRomanPSMT"/>
          <w:lang w:eastAsia="en-US"/>
        </w:rPr>
        <w:t xml:space="preserve"> the</w:t>
      </w:r>
      <w:r>
        <w:rPr>
          <w:rFonts w:ascii="TimesNewRomanPSMT" w:hAnsi="TimesNewRomanPSMT" w:cs="TimesNewRomanPSMT"/>
          <w:lang w:eastAsia="en-US"/>
        </w:rPr>
        <w:t xml:space="preserve"> existing data file.</w:t>
      </w:r>
    </w:p>
    <w:p w14:paraId="5E84FCF6" w14:textId="77777777" w:rsidR="00995AC8" w:rsidRDefault="00995AC8" w:rsidP="00995AC8">
      <w:p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</w:p>
    <w:p w14:paraId="2EE94575" w14:textId="78B41D4A" w:rsidR="00995AC8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  <w:r w:rsidRPr="006D22D0">
        <w:rPr>
          <w:rFonts w:ascii="TimesNewRomanPSMT" w:hAnsi="TimesNewRomanPSMT" w:cs="TimesNewRomanPSMT"/>
          <w:lang w:eastAsia="en-US"/>
        </w:rPr>
        <w:t>Using this data, estimate the mean</w:t>
      </w:r>
      <w:r>
        <w:rPr>
          <w:rFonts w:ascii="TimesNewRomanPSMT" w:hAnsi="TimesNewRomanPSMT" w:cs="TimesNewRomanPSMT"/>
          <w:lang w:eastAsia="en-US"/>
        </w:rPr>
        <w:t xml:space="preserve">, </w:t>
      </w:r>
      <w:r w:rsidRPr="006D22D0">
        <w:rPr>
          <w:rFonts w:ascii="TimesNewRomanPSMT" w:hAnsi="TimesNewRomanPSMT" w:cs="TimesNewRomanPSMT"/>
          <w:lang w:eastAsia="en-US"/>
        </w:rPr>
        <w:t>standard deviation</w:t>
      </w:r>
      <w:r>
        <w:rPr>
          <w:rFonts w:ascii="TimesNewRomanPSMT" w:hAnsi="TimesNewRomanPSMT" w:cs="TimesNewRomanPSMT"/>
          <w:lang w:eastAsia="en-US"/>
        </w:rPr>
        <w:t>, skewness</w:t>
      </w:r>
      <w:r w:rsidR="0088424E">
        <w:rPr>
          <w:rFonts w:ascii="TimesNewRomanPSMT" w:hAnsi="TimesNewRomanPSMT" w:cs="TimesNewRomanPSMT"/>
          <w:lang w:eastAsia="en-US"/>
        </w:rPr>
        <w:t>,</w:t>
      </w:r>
      <w:r>
        <w:rPr>
          <w:rFonts w:ascii="TimesNewRomanPSMT" w:hAnsi="TimesNewRomanPSMT" w:cs="TimesNewRomanPSMT"/>
          <w:lang w:eastAsia="en-US"/>
        </w:rPr>
        <w:t xml:space="preserve"> and kurtosis</w:t>
      </w:r>
      <w:r w:rsidRPr="006D22D0">
        <w:rPr>
          <w:rFonts w:ascii="TimesNewRomanPSMT" w:hAnsi="TimesNewRomanPSMT" w:cs="TimesNewRomanPSMT"/>
          <w:lang w:eastAsia="en-US"/>
        </w:rPr>
        <w:t xml:space="preserve"> of gold</w:t>
      </w:r>
      <w:r>
        <w:rPr>
          <w:rFonts w:ascii="TimesNewRomanPSMT" w:hAnsi="TimesNewRomanPSMT" w:cs="TimesNewRomanPSMT"/>
          <w:lang w:eastAsia="en-US"/>
        </w:rPr>
        <w:t>, S&amp;P</w:t>
      </w:r>
      <w:r w:rsidR="0088424E">
        <w:rPr>
          <w:rFonts w:ascii="TimesNewRomanPSMT" w:hAnsi="TimesNewRomanPSMT" w:cs="TimesNewRomanPSMT"/>
          <w:lang w:eastAsia="en-US"/>
        </w:rPr>
        <w:t xml:space="preserve"> </w:t>
      </w:r>
      <w:proofErr w:type="gramStart"/>
      <w:r>
        <w:rPr>
          <w:rFonts w:ascii="TimesNewRomanPSMT" w:hAnsi="TimesNewRomanPSMT" w:cs="TimesNewRomanPSMT"/>
          <w:lang w:eastAsia="en-US"/>
        </w:rPr>
        <w:t>500</w:t>
      </w:r>
      <w:proofErr w:type="gramEnd"/>
      <w:r>
        <w:rPr>
          <w:rFonts w:ascii="TimesNewRomanPSMT" w:hAnsi="TimesNewRomanPSMT" w:cs="TimesNewRomanPSMT"/>
          <w:lang w:eastAsia="en-US"/>
        </w:rPr>
        <w:t xml:space="preserve"> and your stock </w:t>
      </w:r>
      <w:r w:rsidRPr="006D22D0">
        <w:rPr>
          <w:rFonts w:ascii="TimesNewRomanPSMT" w:hAnsi="TimesNewRomanPSMT" w:cs="TimesNewRomanPSMT"/>
          <w:lang w:eastAsia="en-US"/>
        </w:rPr>
        <w:t xml:space="preserve">prices for </w:t>
      </w:r>
      <w:r w:rsidRPr="006D22D0">
        <w:rPr>
          <w:b/>
          <w:bCs/>
          <w:i/>
          <w:iCs/>
          <w:lang w:eastAsia="en-US"/>
        </w:rPr>
        <w:t xml:space="preserve">each </w:t>
      </w:r>
      <w:r w:rsidRPr="006D22D0">
        <w:rPr>
          <w:bCs/>
          <w:iCs/>
          <w:lang w:eastAsia="en-US"/>
        </w:rPr>
        <w:t>decade</w:t>
      </w:r>
      <w:r w:rsidRPr="006D22D0">
        <w:rPr>
          <w:rFonts w:ascii="TimesNewRomanPSMT" w:hAnsi="TimesNewRomanPSMT" w:cs="TimesNewRomanPSMT"/>
          <w:lang w:eastAsia="en-US"/>
        </w:rPr>
        <w:t xml:space="preserve">. Put your answers into </w:t>
      </w:r>
      <w:r w:rsidR="0088424E">
        <w:rPr>
          <w:rFonts w:ascii="TimesNewRomanPSMT" w:hAnsi="TimesNewRomanPSMT" w:cs="TimesNewRomanPSMT"/>
          <w:lang w:eastAsia="en-US"/>
        </w:rPr>
        <w:t xml:space="preserve">the </w:t>
      </w:r>
      <w:r w:rsidRPr="006D22D0">
        <w:rPr>
          <w:rFonts w:ascii="TimesNewRomanPSMT" w:hAnsi="TimesNewRomanPSMT" w:cs="TimesNewRomanPSMT"/>
          <w:lang w:eastAsia="en-US"/>
        </w:rPr>
        <w:t>“Answer_T</w:t>
      </w:r>
      <w:r w:rsidR="00576B98">
        <w:rPr>
          <w:rFonts w:ascii="TimesNewRomanPSMT" w:hAnsi="TimesNewRomanPSMT" w:cs="TimesNewRomanPSMT"/>
          <w:lang w:eastAsia="en-US"/>
        </w:rPr>
        <w:t>able</w:t>
      </w:r>
      <w:r w:rsidRPr="006D22D0">
        <w:rPr>
          <w:rFonts w:ascii="TimesNewRomanPSMT" w:hAnsi="TimesNewRomanPSMT" w:cs="TimesNewRomanPSMT"/>
          <w:lang w:eastAsia="en-US"/>
        </w:rPr>
        <w:t xml:space="preserve">” </w:t>
      </w:r>
      <w:r w:rsidR="00EE2275">
        <w:rPr>
          <w:rFonts w:ascii="TimesNewRomanPSMT" w:hAnsi="TimesNewRomanPSMT" w:cs="TimesNewRomanPSMT"/>
          <w:lang w:eastAsia="en-US"/>
        </w:rPr>
        <w:t>table</w:t>
      </w:r>
      <w:r w:rsidR="00576B98">
        <w:rPr>
          <w:rFonts w:ascii="TimesNewRomanPSMT" w:hAnsi="TimesNewRomanPSMT" w:cs="TimesNewRomanPSMT"/>
          <w:lang w:eastAsia="en-US"/>
        </w:rPr>
        <w:t xml:space="preserve"> below</w:t>
      </w:r>
      <w:r w:rsidRPr="006D22D0">
        <w:rPr>
          <w:rFonts w:ascii="TimesNewRomanPSMT" w:hAnsi="TimesNewRomanPSMT" w:cs="TimesNewRomanPSMT"/>
          <w:lang w:eastAsia="en-US"/>
        </w:rPr>
        <w:t xml:space="preserve">. </w:t>
      </w:r>
      <w:r>
        <w:rPr>
          <w:b/>
          <w:bCs/>
          <w:lang w:eastAsia="en-US"/>
        </w:rPr>
        <w:t>Interpret the</w:t>
      </w:r>
      <w:r w:rsidRPr="006D22D0">
        <w:rPr>
          <w:b/>
          <w:bCs/>
          <w:lang w:eastAsia="en-US"/>
        </w:rPr>
        <w:t xml:space="preserve"> results</w:t>
      </w:r>
      <w:r w:rsidRPr="006D22D0">
        <w:rPr>
          <w:rFonts w:ascii="TimesNewRomanPSMT" w:hAnsi="TimesNewRomanPSMT" w:cs="TimesNewRomanPSMT"/>
          <w:lang w:eastAsia="en-US"/>
        </w:rPr>
        <w:t>.</w:t>
      </w:r>
    </w:p>
    <w:p w14:paraId="461A560C" w14:textId="77777777" w:rsidR="00995AC8" w:rsidRDefault="00995AC8" w:rsidP="00995AC8">
      <w:pPr>
        <w:pStyle w:val="ListParagraph"/>
        <w:rPr>
          <w:rFonts w:ascii="TimesNewRomanPSMT" w:hAnsi="TimesNewRomanPSMT" w:cs="TimesNewRomanPSMT"/>
          <w:lang w:eastAsia="en-US"/>
        </w:rPr>
      </w:pPr>
    </w:p>
    <w:p w14:paraId="7B63DB34" w14:textId="77777777" w:rsidR="00995AC8" w:rsidRDefault="00995AC8" w:rsidP="00995AC8">
      <w:p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</w:p>
    <w:p w14:paraId="09E3142B" w14:textId="0BFFBDD2" w:rsidR="00D53394" w:rsidRDefault="00995AC8" w:rsidP="00D53394">
      <w:p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  <w:r>
        <w:rPr>
          <w:rFonts w:ascii="TimesNewRomanPSMT" w:hAnsi="TimesNewRomanPSMT" w:cs="TimesNewRomanPSMT"/>
          <w:lang w:eastAsia="en-US"/>
        </w:rPr>
        <w:t xml:space="preserve">Create a new data series, </w:t>
      </w:r>
      <w:proofErr w:type="gramStart"/>
      <w:r>
        <w:rPr>
          <w:i/>
          <w:iCs/>
          <w:lang w:eastAsia="en-US"/>
        </w:rPr>
        <w:t>ln</w:t>
      </w:r>
      <w:r>
        <w:rPr>
          <w:rFonts w:ascii="TimesNewRomanPSMT" w:hAnsi="TimesNewRomanPSMT" w:cs="TimesNewRomanPSMT"/>
          <w:lang w:eastAsia="en-US"/>
        </w:rPr>
        <w:t>(</w:t>
      </w:r>
      <w:proofErr w:type="gramEnd"/>
      <w:r w:rsidRPr="00202007">
        <w:rPr>
          <w:rFonts w:ascii="TimesNewRomanPSMT" w:hAnsi="TimesNewRomanPSMT" w:cs="TimesNewRomanPSMT"/>
          <w:i/>
          <w:iCs/>
          <w:lang w:eastAsia="en-US"/>
        </w:rPr>
        <w:t>Gold), ln(S&amp;P500) and ln(Your stock</w:t>
      </w:r>
      <w:r>
        <w:rPr>
          <w:rFonts w:ascii="TimesNewRomanPSMT" w:hAnsi="TimesNewRomanPSMT" w:cs="TimesNewRomanPSMT"/>
          <w:lang w:eastAsia="en-US"/>
        </w:rPr>
        <w:t xml:space="preserve">), by taking a natural log of every observation. Then make </w:t>
      </w:r>
      <w:r w:rsidR="00EE2275">
        <w:rPr>
          <w:rFonts w:ascii="TimesNewRomanPSMT" w:hAnsi="TimesNewRomanPSMT" w:cs="TimesNewRomanPSMT"/>
          <w:lang w:eastAsia="en-US"/>
        </w:rPr>
        <w:t>the</w:t>
      </w:r>
      <w:r>
        <w:rPr>
          <w:rFonts w:ascii="TimesNewRomanPSMT" w:hAnsi="TimesNewRomanPSMT" w:cs="TimesNewRomanPSMT"/>
          <w:lang w:eastAsia="en-US"/>
        </w:rPr>
        <w:t xml:space="preserve"> new series, measuring a percentage change in </w:t>
      </w:r>
      <w:r w:rsidR="00EE2275">
        <w:rPr>
          <w:rFonts w:ascii="TimesNewRomanPSMT" w:hAnsi="TimesNewRomanPSMT" w:cs="TimesNewRomanPSMT"/>
          <w:lang w:eastAsia="en-US"/>
        </w:rPr>
        <w:t xml:space="preserve">the </w:t>
      </w:r>
      <w:r>
        <w:rPr>
          <w:rFonts w:ascii="TimesNewRomanPSMT" w:hAnsi="TimesNewRomanPSMT" w:cs="TimesNewRomanPSMT"/>
          <w:lang w:eastAsia="en-US"/>
        </w:rPr>
        <w:t xml:space="preserve">price of </w:t>
      </w:r>
      <w:r w:rsidR="00EE2275">
        <w:rPr>
          <w:rFonts w:ascii="TimesNewRomanPSMT" w:hAnsi="TimesNewRomanPSMT" w:cs="TimesNewRomanPSMT"/>
          <w:lang w:eastAsia="en-US"/>
        </w:rPr>
        <w:t xml:space="preserve">a </w:t>
      </w:r>
      <w:r>
        <w:rPr>
          <w:rFonts w:ascii="TimesNewRomanPSMT" w:hAnsi="TimesNewRomanPSMT" w:cs="TimesNewRomanPSMT"/>
          <w:lang w:eastAsia="en-US"/>
        </w:rPr>
        <w:t xml:space="preserve">commodity/security. For </w:t>
      </w:r>
      <w:r w:rsidR="0088424E">
        <w:rPr>
          <w:rFonts w:ascii="TimesNewRomanPSMT" w:hAnsi="TimesNewRomanPSMT" w:cs="TimesNewRomanPSMT"/>
          <w:lang w:eastAsia="en-US"/>
        </w:rPr>
        <w:t>example, the</w:t>
      </w:r>
      <w:r>
        <w:rPr>
          <w:rFonts w:ascii="TimesNewRomanPSMT" w:hAnsi="TimesNewRomanPSMT" w:cs="TimesNewRomanPSMT"/>
          <w:lang w:eastAsia="en-US"/>
        </w:rPr>
        <w:t xml:space="preserve"> percentage change in the price of gold for a given month can be found according to the formula Δ</w:t>
      </w:r>
      <w:proofErr w:type="gramStart"/>
      <w:r>
        <w:rPr>
          <w:i/>
          <w:iCs/>
          <w:lang w:eastAsia="en-US"/>
        </w:rPr>
        <w:t>ln</w:t>
      </w:r>
      <w:r>
        <w:rPr>
          <w:rFonts w:ascii="TimesNewRomanPSMT" w:hAnsi="TimesNewRomanPSMT" w:cs="TimesNewRomanPSMT"/>
          <w:lang w:eastAsia="en-US"/>
        </w:rPr>
        <w:t>(</w:t>
      </w:r>
      <w:proofErr w:type="gramEnd"/>
      <w:r w:rsidRPr="00202007">
        <w:rPr>
          <w:rFonts w:ascii="TimesNewRomanPSMT" w:hAnsi="TimesNewRomanPSMT" w:cs="TimesNewRomanPSMT"/>
          <w:i/>
          <w:iCs/>
          <w:lang w:eastAsia="en-US"/>
        </w:rPr>
        <w:t>Gold</w:t>
      </w:r>
      <w:r>
        <w:rPr>
          <w:rFonts w:ascii="TimesNewRomanPSMT" w:hAnsi="TimesNewRomanPSMT" w:cs="TimesNewRomanPSMT"/>
          <w:lang w:eastAsia="en-US"/>
        </w:rPr>
        <w:t xml:space="preserve">) = </w:t>
      </w:r>
      <w:r>
        <w:rPr>
          <w:i/>
          <w:iCs/>
          <w:lang w:eastAsia="en-US"/>
        </w:rPr>
        <w:t>ln</w:t>
      </w:r>
      <w:r>
        <w:rPr>
          <w:rFonts w:ascii="TimesNewRomanPSMT" w:hAnsi="TimesNewRomanPSMT" w:cs="TimesNewRomanPSMT"/>
          <w:lang w:eastAsia="en-US"/>
        </w:rPr>
        <w:t>(Gold</w:t>
      </w:r>
      <w:r>
        <w:rPr>
          <w:rFonts w:ascii="TimesNewRomanPSMT" w:hAnsi="TimesNewRomanPSMT" w:cs="TimesNewRomanPSMT"/>
          <w:sz w:val="16"/>
          <w:szCs w:val="16"/>
          <w:lang w:eastAsia="en-US"/>
        </w:rPr>
        <w:t>t</w:t>
      </w:r>
      <w:r>
        <w:rPr>
          <w:rFonts w:ascii="TimesNewRomanPSMT" w:hAnsi="TimesNewRomanPSMT" w:cs="TimesNewRomanPSMT"/>
          <w:lang w:eastAsia="en-US"/>
        </w:rPr>
        <w:t xml:space="preserve">) – </w:t>
      </w:r>
      <w:r>
        <w:rPr>
          <w:i/>
          <w:iCs/>
          <w:lang w:eastAsia="en-US"/>
        </w:rPr>
        <w:t>ln</w:t>
      </w:r>
      <w:r>
        <w:rPr>
          <w:rFonts w:ascii="TimesNewRomanPSMT" w:hAnsi="TimesNewRomanPSMT" w:cs="TimesNewRomanPSMT"/>
          <w:lang w:eastAsia="en-US"/>
        </w:rPr>
        <w:t>(Gold</w:t>
      </w:r>
      <w:r>
        <w:rPr>
          <w:rFonts w:ascii="TimesNewRomanPSMT" w:hAnsi="TimesNewRomanPSMT" w:cs="TimesNewRomanPSMT"/>
          <w:sz w:val="16"/>
          <w:szCs w:val="16"/>
          <w:lang w:eastAsia="en-US"/>
        </w:rPr>
        <w:t>t-1</w:t>
      </w:r>
      <w:r>
        <w:rPr>
          <w:rFonts w:ascii="TimesNewRomanPSMT" w:hAnsi="TimesNewRomanPSMT" w:cs="TimesNewRomanPSMT"/>
          <w:lang w:eastAsia="en-US"/>
        </w:rPr>
        <w:t xml:space="preserve">). </w:t>
      </w:r>
      <w:r w:rsidR="00B44B50">
        <w:rPr>
          <w:rFonts w:ascii="TimesNewRomanPSMT" w:hAnsi="TimesNewRomanPSMT" w:cs="TimesNewRomanPSMT"/>
          <w:lang w:eastAsia="en-US"/>
        </w:rPr>
        <w:t>Call th</w:t>
      </w:r>
      <w:r w:rsidR="00D53394">
        <w:rPr>
          <w:rFonts w:ascii="TimesNewRomanPSMT" w:hAnsi="TimesNewRomanPSMT" w:cs="TimesNewRomanPSMT"/>
          <w:lang w:eastAsia="en-US"/>
        </w:rPr>
        <w:t>ese</w:t>
      </w:r>
      <w:r w:rsidR="00B44B50">
        <w:rPr>
          <w:rFonts w:ascii="TimesNewRomanPSMT" w:hAnsi="TimesNewRomanPSMT" w:cs="TimesNewRomanPSMT"/>
          <w:lang w:eastAsia="en-US"/>
        </w:rPr>
        <w:t xml:space="preserve"> variables </w:t>
      </w:r>
      <w:r w:rsidR="00B44B50" w:rsidRPr="00202007">
        <w:rPr>
          <w:rFonts w:ascii="TimesNewRomanPSMT" w:hAnsi="TimesNewRomanPSMT" w:cs="TimesNewRomanPSMT"/>
          <w:i/>
          <w:iCs/>
          <w:lang w:eastAsia="en-US"/>
        </w:rPr>
        <w:t>rGold</w:t>
      </w:r>
      <w:r w:rsidR="00D53394" w:rsidRPr="00202007">
        <w:rPr>
          <w:rFonts w:ascii="TimesNewRomanPSMT" w:hAnsi="TimesNewRomanPSMT" w:cs="TimesNewRomanPSMT"/>
          <w:i/>
          <w:iCs/>
          <w:lang w:eastAsia="en-US"/>
        </w:rPr>
        <w:t>,</w:t>
      </w:r>
      <w:r w:rsidR="00B44B50" w:rsidRPr="00202007">
        <w:rPr>
          <w:rFonts w:ascii="TimesNewRomanPSMT" w:hAnsi="TimesNewRomanPSMT" w:cs="TimesNewRomanPSMT"/>
          <w:i/>
          <w:iCs/>
          <w:lang w:eastAsia="en-US"/>
        </w:rPr>
        <w:t xml:space="preserve"> rSP500</w:t>
      </w:r>
      <w:r w:rsidR="00D53394" w:rsidRPr="00202007">
        <w:rPr>
          <w:rFonts w:ascii="TimesNewRomanPSMT" w:hAnsi="TimesNewRomanPSMT" w:cs="TimesNewRomanPSMT"/>
          <w:i/>
          <w:iCs/>
          <w:lang w:eastAsia="en-US"/>
        </w:rPr>
        <w:t>,</w:t>
      </w:r>
      <w:r w:rsidR="00B44B50" w:rsidRPr="00202007">
        <w:rPr>
          <w:rFonts w:ascii="TimesNewRomanPSMT" w:hAnsi="TimesNewRomanPSMT" w:cs="TimesNewRomanPSMT"/>
          <w:i/>
          <w:iCs/>
          <w:lang w:eastAsia="en-US"/>
        </w:rPr>
        <w:t xml:space="preserve"> </w:t>
      </w:r>
      <w:proofErr w:type="gramStart"/>
      <w:r w:rsidR="00B44B50" w:rsidRPr="00202007">
        <w:rPr>
          <w:rFonts w:ascii="TimesNewRomanPSMT" w:hAnsi="TimesNewRomanPSMT" w:cs="TimesNewRomanPSMT"/>
          <w:i/>
          <w:iCs/>
          <w:lang w:eastAsia="en-US"/>
        </w:rPr>
        <w:t>r</w:t>
      </w:r>
      <w:r w:rsidR="00D53394" w:rsidRPr="00202007">
        <w:rPr>
          <w:rFonts w:ascii="TimesNewRomanPSMT" w:hAnsi="TimesNewRomanPSMT" w:cs="TimesNewRomanPSMT"/>
          <w:i/>
          <w:iCs/>
          <w:lang w:eastAsia="en-US"/>
        </w:rPr>
        <w:t>”</w:t>
      </w:r>
      <w:r w:rsidR="00B44B50" w:rsidRPr="00202007">
        <w:rPr>
          <w:rFonts w:ascii="TimesNewRomanPSMT" w:hAnsi="TimesNewRomanPSMT" w:cs="TimesNewRomanPSMT"/>
          <w:i/>
          <w:iCs/>
          <w:lang w:eastAsia="en-US"/>
        </w:rPr>
        <w:t>Your</w:t>
      </w:r>
      <w:proofErr w:type="gramEnd"/>
      <w:r w:rsidR="0088424E" w:rsidRPr="00202007">
        <w:rPr>
          <w:rFonts w:ascii="TimesNewRomanPSMT" w:hAnsi="TimesNewRomanPSMT" w:cs="TimesNewRomanPSMT"/>
          <w:i/>
          <w:iCs/>
          <w:lang w:eastAsia="en-US"/>
        </w:rPr>
        <w:t xml:space="preserve"> s</w:t>
      </w:r>
      <w:r w:rsidR="00B44B50" w:rsidRPr="00202007">
        <w:rPr>
          <w:rFonts w:ascii="TimesNewRomanPSMT" w:hAnsi="TimesNewRomanPSMT" w:cs="TimesNewRomanPSMT"/>
          <w:i/>
          <w:iCs/>
          <w:lang w:eastAsia="en-US"/>
        </w:rPr>
        <w:t>tock name”.</w:t>
      </w:r>
      <w:r w:rsidR="00B44B50">
        <w:rPr>
          <w:rFonts w:ascii="TimesNewRomanPSMT" w:hAnsi="TimesNewRomanPSMT" w:cs="TimesNewRomanPSMT"/>
          <w:lang w:eastAsia="en-US"/>
        </w:rPr>
        <w:t xml:space="preserve"> </w:t>
      </w:r>
    </w:p>
    <w:p w14:paraId="1E46CD9C" w14:textId="77777777" w:rsidR="00D53394" w:rsidRDefault="00D53394" w:rsidP="00D53394">
      <w:pPr>
        <w:autoSpaceDE w:val="0"/>
        <w:autoSpaceDN w:val="0"/>
        <w:adjustRightInd w:val="0"/>
        <w:ind w:left="270"/>
        <w:rPr>
          <w:rFonts w:ascii="TimesNewRomanPSMT" w:hAnsi="TimesNewRomanPSMT" w:cs="TimesNewRomanPSMT"/>
          <w:lang w:eastAsia="en-US"/>
        </w:rPr>
      </w:pPr>
    </w:p>
    <w:p w14:paraId="767B11F3" w14:textId="6A6C8B1D" w:rsidR="00D53394" w:rsidRDefault="00D53394" w:rsidP="00D53394">
      <w:pPr>
        <w:autoSpaceDE w:val="0"/>
        <w:autoSpaceDN w:val="0"/>
        <w:adjustRightInd w:val="0"/>
        <w:rPr>
          <w:rFonts w:ascii="TimesNewRomanPSMT" w:hAnsi="TimesNewRomanPSMT" w:cs="TimesNewRomanPSMT"/>
          <w:lang w:eastAsia="en-US"/>
        </w:rPr>
      </w:pPr>
    </w:p>
    <w:p w14:paraId="6121D0D8" w14:textId="77777777" w:rsidR="00D53394" w:rsidRDefault="00D53394" w:rsidP="00D53394">
      <w:pPr>
        <w:autoSpaceDE w:val="0"/>
        <w:autoSpaceDN w:val="0"/>
        <w:adjustRightInd w:val="0"/>
        <w:rPr>
          <w:rFonts w:ascii="TimesNewRomanPSMT" w:hAnsi="TimesNewRomanPSMT" w:cs="TimesNewRomanPSMT"/>
          <w:lang w:eastAsia="en-US"/>
        </w:rPr>
      </w:pPr>
    </w:p>
    <w:p w14:paraId="40DD59B8" w14:textId="6D21DD28" w:rsidR="00995AC8" w:rsidRPr="00D53394" w:rsidRDefault="00995AC8" w:rsidP="00D53394">
      <w:pPr>
        <w:pStyle w:val="ListParagraph"/>
        <w:numPr>
          <w:ilvl w:val="0"/>
          <w:numId w:val="4"/>
        </w:numPr>
        <w:tabs>
          <w:tab w:val="clear" w:pos="720"/>
        </w:tabs>
        <w:autoSpaceDE w:val="0"/>
        <w:autoSpaceDN w:val="0"/>
        <w:adjustRightInd w:val="0"/>
        <w:ind w:left="270"/>
        <w:rPr>
          <w:color w:val="000000"/>
        </w:rPr>
      </w:pPr>
      <w:r w:rsidRPr="00D53394">
        <w:rPr>
          <w:rFonts w:ascii="TimesNewRomanPSMT" w:hAnsi="TimesNewRomanPSMT" w:cs="TimesNewRomanPSMT"/>
          <w:lang w:eastAsia="en-US"/>
        </w:rPr>
        <w:t xml:space="preserve">Find </w:t>
      </w:r>
      <w:r w:rsidR="00D53394" w:rsidRPr="00D53394">
        <w:rPr>
          <w:rFonts w:ascii="TimesNewRomanPSMT" w:hAnsi="TimesNewRomanPSMT" w:cs="TimesNewRomanPSMT"/>
          <w:lang w:eastAsia="en-US"/>
        </w:rPr>
        <w:t xml:space="preserve">the </w:t>
      </w:r>
      <w:r w:rsidRPr="00D53394">
        <w:rPr>
          <w:rFonts w:ascii="TimesNewRomanPSMT" w:hAnsi="TimesNewRomanPSMT" w:cs="TimesNewRomanPSMT"/>
          <w:lang w:eastAsia="en-US"/>
        </w:rPr>
        <w:t>mean, standard deviation, skewness</w:t>
      </w:r>
      <w:r w:rsidR="0088424E">
        <w:rPr>
          <w:rFonts w:ascii="TimesNewRomanPSMT" w:hAnsi="TimesNewRomanPSMT" w:cs="TimesNewRomanPSMT"/>
          <w:lang w:eastAsia="en-US"/>
        </w:rPr>
        <w:t>,</w:t>
      </w:r>
      <w:r w:rsidRPr="00D53394">
        <w:rPr>
          <w:rFonts w:ascii="TimesNewRomanPSMT" w:hAnsi="TimesNewRomanPSMT" w:cs="TimesNewRomanPSMT"/>
          <w:lang w:eastAsia="en-US"/>
        </w:rPr>
        <w:t xml:space="preserve"> and kurtosis </w:t>
      </w:r>
      <w:r w:rsidR="00D53394">
        <w:rPr>
          <w:rFonts w:ascii="TimesNewRomanPSMT" w:hAnsi="TimesNewRomanPSMT" w:cs="TimesNewRomanPSMT"/>
          <w:lang w:eastAsia="en-US"/>
        </w:rPr>
        <w:t>for the created returns</w:t>
      </w:r>
      <w:r w:rsidRPr="00D53394">
        <w:rPr>
          <w:rFonts w:ascii="TimesNewRomanPSMT" w:hAnsi="TimesNewRomanPSMT" w:cs="TimesNewRomanPSMT"/>
          <w:lang w:eastAsia="en-US"/>
        </w:rPr>
        <w:t xml:space="preserve"> for each decade. </w:t>
      </w:r>
      <w:r w:rsidR="00D53394" w:rsidRPr="00D53394">
        <w:rPr>
          <w:rFonts w:ascii="TimesNewRomanPSMT" w:hAnsi="TimesNewRomanPSMT" w:cs="TimesNewRomanPSMT"/>
          <w:lang w:eastAsia="en-US"/>
        </w:rPr>
        <w:t xml:space="preserve">Put the </w:t>
      </w:r>
      <w:r w:rsidR="00D53394">
        <w:rPr>
          <w:rFonts w:ascii="TimesNewRomanPSMT" w:hAnsi="TimesNewRomanPSMT" w:cs="TimesNewRomanPSMT"/>
          <w:lang w:eastAsia="en-US"/>
        </w:rPr>
        <w:t>answers</w:t>
      </w:r>
      <w:r w:rsidR="00D53394" w:rsidRPr="00D53394">
        <w:rPr>
          <w:rFonts w:ascii="TimesNewRomanPSMT" w:hAnsi="TimesNewRomanPSMT" w:cs="TimesNewRomanPSMT"/>
          <w:lang w:eastAsia="en-US"/>
        </w:rPr>
        <w:t xml:space="preserve"> in</w:t>
      </w:r>
      <w:r w:rsidR="00D53394">
        <w:rPr>
          <w:rFonts w:ascii="TimesNewRomanPSMT" w:hAnsi="TimesNewRomanPSMT" w:cs="TimesNewRomanPSMT"/>
          <w:lang w:eastAsia="en-US"/>
        </w:rPr>
        <w:t>to</w:t>
      </w:r>
      <w:r w:rsidR="00D53394" w:rsidRPr="00D53394">
        <w:rPr>
          <w:rFonts w:ascii="TimesNewRomanPSMT" w:hAnsi="TimesNewRomanPSMT" w:cs="TimesNewRomanPSMT"/>
          <w:lang w:eastAsia="en-US"/>
        </w:rPr>
        <w:t xml:space="preserve"> the table</w:t>
      </w:r>
      <w:r w:rsidRPr="00D53394">
        <w:rPr>
          <w:rFonts w:ascii="TimesNewRomanPSMT" w:hAnsi="TimesNewRomanPSMT" w:cs="TimesNewRomanPSMT"/>
          <w:lang w:eastAsia="en-US"/>
        </w:rPr>
        <w:t xml:space="preserve">. </w:t>
      </w:r>
      <w:r w:rsidRPr="00D53394">
        <w:rPr>
          <w:b/>
          <w:bCs/>
          <w:lang w:eastAsia="en-US"/>
        </w:rPr>
        <w:t xml:space="preserve">Comment on your results. </w:t>
      </w:r>
    </w:p>
    <w:p w14:paraId="06C7BD31" w14:textId="77777777" w:rsidR="00995AC8" w:rsidRPr="00B70EC5" w:rsidRDefault="00995AC8" w:rsidP="00995AC8">
      <w:pPr>
        <w:autoSpaceDE w:val="0"/>
        <w:autoSpaceDN w:val="0"/>
        <w:adjustRightInd w:val="0"/>
        <w:ind w:left="270"/>
        <w:rPr>
          <w:color w:val="000000"/>
        </w:rPr>
      </w:pPr>
    </w:p>
    <w:p w14:paraId="37B1B002" w14:textId="72F8EBD2" w:rsidR="00995AC8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 w:rsidRPr="006D22D0">
        <w:rPr>
          <w:bCs/>
          <w:lang w:eastAsia="en-US"/>
        </w:rPr>
        <w:t>How do these res</w:t>
      </w:r>
      <w:r w:rsidRPr="00D53394">
        <w:rPr>
          <w:bCs/>
          <w:lang w:eastAsia="en-US"/>
        </w:rPr>
        <w:t>ults compare to the on</w:t>
      </w:r>
      <w:r w:rsidR="0088424E">
        <w:rPr>
          <w:bCs/>
          <w:lang w:eastAsia="en-US"/>
        </w:rPr>
        <w:t>es</w:t>
      </w:r>
      <w:r w:rsidRPr="00D53394">
        <w:rPr>
          <w:bCs/>
          <w:lang w:eastAsia="en-US"/>
        </w:rPr>
        <w:t xml:space="preserve"> obtained in part (d)? </w:t>
      </w:r>
      <w:r w:rsidR="00D53394" w:rsidRPr="00D53394">
        <w:rPr>
          <w:bCs/>
          <w:lang w:eastAsia="en-US"/>
        </w:rPr>
        <w:t>Are they very different? Why?</w:t>
      </w:r>
    </w:p>
    <w:p w14:paraId="728119A1" w14:textId="77777777" w:rsidR="00995AC8" w:rsidRDefault="00995AC8" w:rsidP="00995AC8">
      <w:pPr>
        <w:autoSpaceDE w:val="0"/>
        <w:autoSpaceDN w:val="0"/>
        <w:adjustRightInd w:val="0"/>
        <w:ind w:left="270"/>
        <w:rPr>
          <w:color w:val="000000"/>
        </w:rPr>
      </w:pPr>
    </w:p>
    <w:p w14:paraId="5DC11937" w14:textId="2D62A408" w:rsidR="00995AC8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>
        <w:rPr>
          <w:color w:val="000000"/>
        </w:rPr>
        <w:t xml:space="preserve">Make a histogram of </w:t>
      </w:r>
      <w:r w:rsidRPr="00202007">
        <w:rPr>
          <w:i/>
          <w:iCs/>
          <w:color w:val="000000"/>
        </w:rPr>
        <w:t xml:space="preserve">S&amp;P500 </w:t>
      </w:r>
      <w:r>
        <w:rPr>
          <w:color w:val="000000"/>
        </w:rPr>
        <w:t>returns with 51 bins. Does it look normal</w:t>
      </w:r>
      <w:r w:rsidR="0088424E">
        <w:rPr>
          <w:color w:val="000000"/>
        </w:rPr>
        <w:t>ly distributed</w:t>
      </w:r>
      <w:r>
        <w:rPr>
          <w:color w:val="000000"/>
        </w:rPr>
        <w:t xml:space="preserve">? Use the first 4 moments of the distribution to argue your case. </w:t>
      </w:r>
    </w:p>
    <w:p w14:paraId="53F14A31" w14:textId="10FE3C1D" w:rsidR="00995AC8" w:rsidRDefault="00995AC8" w:rsidP="00995AC8">
      <w:pPr>
        <w:autoSpaceDE w:val="0"/>
        <w:autoSpaceDN w:val="0"/>
        <w:adjustRightInd w:val="0"/>
        <w:ind w:left="360"/>
        <w:rPr>
          <w:color w:val="000000"/>
        </w:rPr>
      </w:pPr>
    </w:p>
    <w:p w14:paraId="41146931" w14:textId="77777777" w:rsidR="00202007" w:rsidRPr="00202007" w:rsidRDefault="00202007" w:rsidP="00202007">
      <w:pPr>
        <w:autoSpaceDE w:val="0"/>
        <w:autoSpaceDN w:val="0"/>
        <w:adjustRightInd w:val="0"/>
        <w:ind w:left="270"/>
        <w:rPr>
          <w:color w:val="000000"/>
        </w:rPr>
      </w:pPr>
    </w:p>
    <w:p w14:paraId="217829F0" w14:textId="391B252C" w:rsidR="00B44B50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>
        <w:rPr>
          <w:color w:val="000000"/>
        </w:rPr>
        <w:t xml:space="preserve">Find </w:t>
      </w:r>
      <w:r w:rsidR="00EE2275">
        <w:rPr>
          <w:color w:val="000000"/>
        </w:rPr>
        <w:t xml:space="preserve">the </w:t>
      </w:r>
      <w:r w:rsidR="0088424E">
        <w:rPr>
          <w:i/>
          <w:color w:val="000000"/>
        </w:rPr>
        <w:t>c</w:t>
      </w:r>
      <w:r w:rsidRPr="00EE2275">
        <w:rPr>
          <w:i/>
          <w:color w:val="000000"/>
        </w:rPr>
        <w:t>orr</w:t>
      </w:r>
      <w:r w:rsidR="00336F41" w:rsidRPr="00EE2275">
        <w:rPr>
          <w:i/>
          <w:color w:val="000000"/>
        </w:rPr>
        <w:t>elation</w:t>
      </w:r>
      <w:r w:rsidR="00336F41">
        <w:rPr>
          <w:color w:val="000000"/>
        </w:rPr>
        <w:t xml:space="preserve"> between </w:t>
      </w:r>
      <w:r w:rsidR="00336F41" w:rsidRPr="00202007">
        <w:rPr>
          <w:i/>
          <w:iCs/>
          <w:color w:val="000000"/>
        </w:rPr>
        <w:t>Gold, S&amp;P500</w:t>
      </w:r>
      <w:r w:rsidR="0088424E">
        <w:rPr>
          <w:color w:val="000000"/>
        </w:rPr>
        <w:t>,</w:t>
      </w:r>
      <w:r w:rsidR="00336F41">
        <w:rPr>
          <w:color w:val="000000"/>
        </w:rPr>
        <w:t xml:space="preserve"> and </w:t>
      </w:r>
      <w:r w:rsidR="00202007">
        <w:rPr>
          <w:i/>
          <w:iCs/>
          <w:color w:val="000000"/>
        </w:rPr>
        <w:t>Y</w:t>
      </w:r>
      <w:r w:rsidR="00336F41" w:rsidRPr="00202007">
        <w:rPr>
          <w:i/>
          <w:iCs/>
          <w:color w:val="000000"/>
        </w:rPr>
        <w:t>our stock</w:t>
      </w:r>
      <w:r w:rsidRPr="00202007">
        <w:rPr>
          <w:i/>
          <w:iCs/>
          <w:color w:val="000000"/>
        </w:rPr>
        <w:t xml:space="preserve"> </w:t>
      </w:r>
      <w:r>
        <w:rPr>
          <w:color w:val="000000"/>
        </w:rPr>
        <w:t>for each decade.</w:t>
      </w:r>
      <w:r w:rsidR="00D53394">
        <w:rPr>
          <w:color w:val="000000"/>
        </w:rPr>
        <w:t xml:space="preserve"> Repeat the same calculations for the returns.</w:t>
      </w:r>
      <w:r w:rsidR="00EE2275">
        <w:rPr>
          <w:color w:val="000000"/>
        </w:rPr>
        <w:t xml:space="preserve"> Put your answers into the table.</w:t>
      </w:r>
      <w:r w:rsidR="00D53394">
        <w:rPr>
          <w:color w:val="000000"/>
        </w:rPr>
        <w:t xml:space="preserve"> Interpret your findings. </w:t>
      </w:r>
    </w:p>
    <w:p w14:paraId="139CF443" w14:textId="77777777" w:rsidR="00F44240" w:rsidRDefault="00F44240" w:rsidP="00F44240">
      <w:pPr>
        <w:autoSpaceDE w:val="0"/>
        <w:autoSpaceDN w:val="0"/>
        <w:adjustRightInd w:val="0"/>
        <w:ind w:left="270"/>
        <w:rPr>
          <w:color w:val="000000"/>
        </w:rPr>
      </w:pPr>
    </w:p>
    <w:p w14:paraId="14D4CA2F" w14:textId="57C80130" w:rsidR="00197187" w:rsidRPr="0088424E" w:rsidRDefault="00995AC8" w:rsidP="001B0413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 w:rsidRPr="00197187">
        <w:rPr>
          <w:color w:val="000000"/>
        </w:rPr>
        <w:t>Is Gold a good hedge against the market portfolio?</w:t>
      </w:r>
      <w:r w:rsidRPr="00197187">
        <w:rPr>
          <w:b/>
          <w:bCs/>
          <w:lang w:eastAsia="en-US"/>
        </w:rPr>
        <w:t xml:space="preserve"> </w:t>
      </w:r>
      <w:r w:rsidR="00EE2275" w:rsidRPr="0088424E">
        <w:rPr>
          <w:lang w:eastAsia="en-US"/>
        </w:rPr>
        <w:t>Why</w:t>
      </w:r>
      <w:r w:rsidR="00D53394" w:rsidRPr="0088424E">
        <w:rPr>
          <w:lang w:eastAsia="en-US"/>
        </w:rPr>
        <w:t>? Would you rather use the resu</w:t>
      </w:r>
      <w:r w:rsidR="00197187" w:rsidRPr="0088424E">
        <w:rPr>
          <w:lang w:eastAsia="en-US"/>
        </w:rPr>
        <w:t>lts you obtained for prices or for the returns</w:t>
      </w:r>
      <w:r w:rsidR="00EE2275" w:rsidRPr="0088424E">
        <w:rPr>
          <w:lang w:eastAsia="en-US"/>
        </w:rPr>
        <w:t xml:space="preserve"> to back up your a</w:t>
      </w:r>
      <w:r w:rsidR="0088424E" w:rsidRPr="0088424E">
        <w:rPr>
          <w:lang w:eastAsia="en-US"/>
        </w:rPr>
        <w:t>ns</w:t>
      </w:r>
      <w:r w:rsidR="00EE2275" w:rsidRPr="0088424E">
        <w:rPr>
          <w:lang w:eastAsia="en-US"/>
        </w:rPr>
        <w:t>wer</w:t>
      </w:r>
      <w:r w:rsidR="00197187" w:rsidRPr="0088424E">
        <w:rPr>
          <w:lang w:eastAsia="en-US"/>
        </w:rPr>
        <w:t>? Explain.</w:t>
      </w:r>
    </w:p>
    <w:p w14:paraId="1E4F7401" w14:textId="4374E29E" w:rsidR="0088424E" w:rsidRDefault="0088424E" w:rsidP="0088424E">
      <w:pPr>
        <w:autoSpaceDE w:val="0"/>
        <w:autoSpaceDN w:val="0"/>
        <w:adjustRightInd w:val="0"/>
        <w:ind w:left="270"/>
        <w:rPr>
          <w:color w:val="000000"/>
        </w:rPr>
      </w:pPr>
      <w:r>
        <w:rPr>
          <w:color w:val="000000"/>
        </w:rPr>
        <w:t>Hint: A hedge against the S&amp;P 500 is an asset that appreciates in value at times when the S&amp;P 500 performs poorly.</w:t>
      </w:r>
    </w:p>
    <w:p w14:paraId="5B3080D7" w14:textId="471453CB" w:rsidR="00EC7A89" w:rsidRDefault="00EC7A89" w:rsidP="00197187">
      <w:pPr>
        <w:autoSpaceDE w:val="0"/>
        <w:autoSpaceDN w:val="0"/>
        <w:adjustRightInd w:val="0"/>
        <w:rPr>
          <w:i/>
          <w:iCs/>
        </w:rPr>
      </w:pPr>
    </w:p>
    <w:p w14:paraId="3AD7FB30" w14:textId="2E32E771" w:rsidR="00995AC8" w:rsidRDefault="00995AC8" w:rsidP="00197187">
      <w:pPr>
        <w:autoSpaceDE w:val="0"/>
        <w:autoSpaceDN w:val="0"/>
        <w:adjustRightInd w:val="0"/>
        <w:ind w:left="270"/>
        <w:rPr>
          <w:color w:val="000000"/>
        </w:rPr>
      </w:pPr>
    </w:p>
    <w:p w14:paraId="71E5A234" w14:textId="77777777" w:rsidR="00EC7A89" w:rsidRDefault="00EC7A89" w:rsidP="00197187">
      <w:pPr>
        <w:autoSpaceDE w:val="0"/>
        <w:autoSpaceDN w:val="0"/>
        <w:adjustRightInd w:val="0"/>
        <w:ind w:left="270"/>
        <w:rPr>
          <w:color w:val="000000"/>
        </w:rPr>
      </w:pPr>
    </w:p>
    <w:p w14:paraId="1703308A" w14:textId="7C3420FD" w:rsidR="00EC7A89" w:rsidRDefault="00EC7A89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>
        <w:rPr>
          <w:color w:val="000000"/>
        </w:rPr>
        <w:t xml:space="preserve">Find the correlations between the returns on </w:t>
      </w:r>
      <w:r w:rsidRPr="00202007">
        <w:rPr>
          <w:i/>
          <w:iCs/>
          <w:color w:val="000000"/>
        </w:rPr>
        <w:t>S&amp;P500</w:t>
      </w:r>
      <w:r>
        <w:rPr>
          <w:color w:val="000000"/>
        </w:rPr>
        <w:t xml:space="preserve"> and </w:t>
      </w:r>
      <w:r w:rsidRPr="00202007">
        <w:rPr>
          <w:i/>
          <w:iCs/>
          <w:color w:val="000000"/>
        </w:rPr>
        <w:t>Gold</w:t>
      </w:r>
      <w:r>
        <w:rPr>
          <w:color w:val="000000"/>
        </w:rPr>
        <w:t xml:space="preserve"> in 2020. </w:t>
      </w:r>
      <w:r w:rsidR="00F37C93">
        <w:rPr>
          <w:color w:val="000000"/>
        </w:rPr>
        <w:t>Interpret the coefficient and provide plausible explanation.</w:t>
      </w:r>
    </w:p>
    <w:p w14:paraId="46FAAC74" w14:textId="003E4DC0" w:rsidR="00F44240" w:rsidRDefault="00F44240" w:rsidP="00F44240">
      <w:pPr>
        <w:autoSpaceDE w:val="0"/>
        <w:autoSpaceDN w:val="0"/>
        <w:adjustRightInd w:val="0"/>
        <w:ind w:left="270"/>
        <w:rPr>
          <w:color w:val="000000"/>
        </w:rPr>
      </w:pPr>
    </w:p>
    <w:p w14:paraId="542DE886" w14:textId="77777777" w:rsidR="00F37C93" w:rsidRPr="00EC7A89" w:rsidRDefault="00F37C93" w:rsidP="00F44240">
      <w:pPr>
        <w:autoSpaceDE w:val="0"/>
        <w:autoSpaceDN w:val="0"/>
        <w:adjustRightInd w:val="0"/>
        <w:ind w:left="270"/>
        <w:rPr>
          <w:color w:val="000000"/>
        </w:rPr>
      </w:pPr>
    </w:p>
    <w:p w14:paraId="0ACC2CCB" w14:textId="6ECBAEF0" w:rsidR="00995AC8" w:rsidRPr="00904EAB" w:rsidRDefault="00995AC8" w:rsidP="00995AC8">
      <w:pPr>
        <w:numPr>
          <w:ilvl w:val="0"/>
          <w:numId w:val="4"/>
        </w:numPr>
        <w:autoSpaceDE w:val="0"/>
        <w:autoSpaceDN w:val="0"/>
        <w:adjustRightInd w:val="0"/>
        <w:ind w:left="270"/>
        <w:rPr>
          <w:color w:val="000000"/>
        </w:rPr>
      </w:pPr>
      <w:r w:rsidRPr="00904EAB">
        <w:rPr>
          <w:lang w:eastAsia="en-US"/>
        </w:rPr>
        <w:t xml:space="preserve">How does </w:t>
      </w:r>
      <w:r w:rsidRPr="00202007">
        <w:rPr>
          <w:i/>
          <w:iCs/>
          <w:lang w:eastAsia="en-US"/>
        </w:rPr>
        <w:t>your stock</w:t>
      </w:r>
      <w:r w:rsidRPr="00904EAB">
        <w:rPr>
          <w:lang w:eastAsia="en-US"/>
        </w:rPr>
        <w:t xml:space="preserve"> compare to the other assets? Use the results you obtained in (c) – (g) to answer this question.</w:t>
      </w:r>
    </w:p>
    <w:p w14:paraId="55DF1EBE" w14:textId="77777777" w:rsidR="00995AC8" w:rsidRDefault="00995AC8" w:rsidP="00995AC8">
      <w:pPr>
        <w:autoSpaceDE w:val="0"/>
        <w:autoSpaceDN w:val="0"/>
        <w:adjustRightInd w:val="0"/>
        <w:rPr>
          <w:b/>
          <w:bCs/>
          <w:lang w:eastAsia="en-US"/>
        </w:rPr>
      </w:pPr>
    </w:p>
    <w:p w14:paraId="6BAB454C" w14:textId="77777777" w:rsidR="00995AC8" w:rsidRDefault="00995AC8" w:rsidP="00995AC8">
      <w:pPr>
        <w:autoSpaceDE w:val="0"/>
        <w:autoSpaceDN w:val="0"/>
        <w:adjustRightInd w:val="0"/>
        <w:rPr>
          <w:b/>
          <w:bCs/>
          <w:lang w:eastAsia="en-US"/>
        </w:rPr>
      </w:pPr>
    </w:p>
    <w:p w14:paraId="5394D0AA" w14:textId="77777777" w:rsidR="00497130" w:rsidRDefault="00497130" w:rsidP="00CD41CA">
      <w:pPr>
        <w:jc w:val="both"/>
        <w:rPr>
          <w:color w:val="000000"/>
        </w:rPr>
      </w:pPr>
    </w:p>
    <w:p w14:paraId="0E614BAD" w14:textId="3B6B8885" w:rsidR="00F44240" w:rsidRDefault="00F37C93" w:rsidP="00CD41CA">
      <w:pPr>
        <w:jc w:val="both"/>
        <w:rPr>
          <w:color w:val="000000"/>
        </w:rPr>
      </w:pPr>
      <w:r>
        <w:rPr>
          <w:color w:val="000000"/>
        </w:rPr>
        <w:t>ANSWER_TABLE</w:t>
      </w:r>
    </w:p>
    <w:p w14:paraId="27612392" w14:textId="549E55EE" w:rsidR="00F37C93" w:rsidRDefault="00F37C93" w:rsidP="00CD41CA">
      <w:pPr>
        <w:jc w:val="both"/>
        <w:rPr>
          <w:color w:val="000000"/>
        </w:rPr>
      </w:pPr>
    </w:p>
    <w:tbl>
      <w:tblPr>
        <w:tblW w:w="9190" w:type="dxa"/>
        <w:tblLook w:val="04A0" w:firstRow="1" w:lastRow="0" w:firstColumn="1" w:lastColumn="0" w:noHBand="0" w:noVBand="1"/>
      </w:tblPr>
      <w:tblGrid>
        <w:gridCol w:w="1155"/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F37C93" w14:paraId="16959F41" w14:textId="77777777" w:rsidTr="00576B98">
        <w:trPr>
          <w:trHeight w:val="293"/>
        </w:trPr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90A" w14:textId="77777777" w:rsidR="00F37C93" w:rsidRDefault="00F37C93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684E2" w14:textId="77777777" w:rsidR="00F37C93" w:rsidRDefault="00F37C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80'</w:t>
            </w:r>
            <w:proofErr w:type="gram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s(</w:t>
            </w:r>
            <w:proofErr w:type="gram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1985-1990)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49A2F" w14:textId="77777777" w:rsidR="00F37C93" w:rsidRDefault="00F37C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90's (1990-2000)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BCCDF" w14:textId="77777777" w:rsidR="00F37C93" w:rsidRDefault="00F37C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00's (2000-2010)</w:t>
            </w:r>
          </w:p>
        </w:tc>
        <w:tc>
          <w:tcPr>
            <w:tcW w:w="204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F7203" w14:textId="77777777" w:rsidR="00F37C93" w:rsidRDefault="00F37C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10's (2010-2019)</w:t>
            </w:r>
          </w:p>
        </w:tc>
      </w:tr>
      <w:tr w:rsidR="00F37C93" w14:paraId="189D5E84" w14:textId="77777777" w:rsidTr="00576B98">
        <w:trPr>
          <w:trHeight w:val="263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0B4301" w14:textId="77777777" w:rsidR="00F37C93" w:rsidRDefault="00F37C93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162E4B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14:paraId="19FABE2D" w14:textId="33D5B688" w:rsidR="00F37C93" w:rsidRDefault="00576B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</w:t>
            </w:r>
            <w:r w:rsidR="00F37C93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ev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5E9066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DD680E8" w14:textId="62E0612E" w:rsidR="00F37C93" w:rsidRDefault="00576B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St.dev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1C14AE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522D3A" w14:textId="0AD7A48B" w:rsidR="00F37C93" w:rsidRDefault="00576B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St.dev</w:t>
            </w:r>
          </w:p>
        </w:tc>
        <w:tc>
          <w:tcPr>
            <w:tcW w:w="1020" w:type="dxa"/>
            <w:tcBorders>
              <w:top w:val="single" w:sz="12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9DF7FD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DDEBF7"/>
            <w:noWrap/>
            <w:vAlign w:val="bottom"/>
            <w:hideMark/>
          </w:tcPr>
          <w:p w14:paraId="633F90A8" w14:textId="01866B63" w:rsidR="00F37C93" w:rsidRDefault="00576B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St.dev</w:t>
            </w:r>
          </w:p>
        </w:tc>
      </w:tr>
      <w:tr w:rsidR="00F37C93" w14:paraId="60A8A73D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3FAD7D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Gold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F95CF" w14:textId="7294552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531AA4" w14:textId="4D668F4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1C38B" w14:textId="53786925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278DA7" w14:textId="440A1FF2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1790" w14:textId="76AF743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FEA544" w14:textId="402C185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6CCCA" w14:textId="482EA2E5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BB25E0" w14:textId="0454E700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0F9F936C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4B717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SP500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0B55D" w14:textId="70356DE2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28A799E" w14:textId="39D30A0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86B28" w14:textId="2922DF08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1E39F53" w14:textId="790753B2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D2B3" w14:textId="0A8A5C65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96E290" w14:textId="7BC68933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E8E5F" w14:textId="2B872C98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128A71C" w14:textId="3F93FE14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463CEADB" w14:textId="77777777" w:rsidTr="00576B98">
        <w:trPr>
          <w:trHeight w:val="263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E75D31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DIS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06AB" w14:textId="14CF78F7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9DF9288" w14:textId="0849DDD2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53F08" w14:textId="6E95EA4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4FD54B" w14:textId="2999065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91B6" w14:textId="080E59D5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D00C96F" w14:textId="089CF27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8AC1" w14:textId="4F5EF2FF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7A3E960" w14:textId="4CC57D2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3F256244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0AAB60" w14:textId="77777777" w:rsidR="00F37C93" w:rsidRPr="00576B98" w:rsidRDefault="00F37C93">
            <w:pPr>
              <w:jc w:val="right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5D5737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75E7D4E9" w14:textId="6983ECED" w:rsidR="00F37C93" w:rsidRDefault="00576B9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F37C93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DFD944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14:paraId="7B9EF1D2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B0099D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4B6D9D7B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3F6288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6E0B4"/>
            <w:noWrap/>
            <w:vAlign w:val="bottom"/>
            <w:hideMark/>
          </w:tcPr>
          <w:p w14:paraId="65B3D5FE" w14:textId="77777777" w:rsidR="00F37C93" w:rsidRDefault="00F37C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sd</w:t>
            </w:r>
          </w:p>
        </w:tc>
      </w:tr>
      <w:tr w:rsidR="00F37C93" w14:paraId="4E6E0FA1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37A140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rGold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1BFDC" w14:textId="61497164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49A29D2" w14:textId="2176AFF8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34164" w14:textId="0EEC7CA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308CF2" w14:textId="79DF848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BDDCE" w14:textId="62A1F27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7990306" w14:textId="6F60762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5D932" w14:textId="2A67E8F3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53A08BC" w14:textId="63A77607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16242CC3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5A6CBA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rSP500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A0238" w14:textId="5F3C09E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0418DA" w14:textId="6362C568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A3C70" w14:textId="7533E84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2D54FA" w14:textId="0EA54425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1CED1" w14:textId="6DBD34F3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07F327" w14:textId="612BF0AE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80718" w14:textId="048E464F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04FB28" w14:textId="5990014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1E9F94D2" w14:textId="77777777" w:rsidTr="00576B98">
        <w:trPr>
          <w:trHeight w:val="263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5F8CE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rDIS</w:t>
            </w: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A0A6" w14:textId="38967F3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3DC16B" w14:textId="50250DF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1F9CB" w14:textId="5DD85AED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048A502" w14:textId="74F7B49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036A" w14:textId="05D91B44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62AA22" w14:textId="22D94FDA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5D622" w14:textId="6422B727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794B2E3" w14:textId="1D55156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37C93" w14:paraId="7B1A3FA6" w14:textId="77777777" w:rsidTr="00576B98">
        <w:trPr>
          <w:trHeight w:val="255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1CF48F" w14:textId="77777777" w:rsidR="00F37C93" w:rsidRPr="00576B98" w:rsidRDefault="00F37C93">
            <w:pPr>
              <w:jc w:val="center"/>
              <w:rPr>
                <w:i/>
                <w:iCs/>
                <w:sz w:val="20"/>
                <w:szCs w:val="20"/>
              </w:rPr>
            </w:pPr>
            <w:r w:rsidRPr="00576B98">
              <w:rPr>
                <w:i/>
                <w:iCs/>
                <w:sz w:val="20"/>
                <w:szCs w:val="20"/>
              </w:rPr>
              <w:t>Corr(</w:t>
            </w:r>
            <w:proofErr w:type="gramStart"/>
            <w:r w:rsidRPr="00576B98">
              <w:rPr>
                <w:i/>
                <w:iCs/>
                <w:sz w:val="20"/>
                <w:szCs w:val="20"/>
              </w:rPr>
              <w:t>G,SP</w:t>
            </w:r>
            <w:proofErr w:type="gramEnd"/>
            <w:r w:rsidRPr="00576B98">
              <w:rPr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FB99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66FAEB" w14:textId="7C8EB047" w:rsidR="00F37C93" w:rsidRDefault="00576B9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F37C93">
              <w:rPr>
                <w:rFonts w:ascii="Arial" w:hAnsi="Arial" w:cs="Arial"/>
                <w:sz w:val="20"/>
                <w:szCs w:val="20"/>
              </w:rPr>
              <w:t>eturn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D726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E951C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37E1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B6B03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1561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11E20F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</w:t>
            </w:r>
          </w:p>
        </w:tc>
      </w:tr>
      <w:tr w:rsidR="00F37C93" w14:paraId="4C03A9EE" w14:textId="77777777" w:rsidTr="00576B98">
        <w:trPr>
          <w:trHeight w:val="263"/>
        </w:trPr>
        <w:tc>
          <w:tcPr>
            <w:tcW w:w="103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08BA37" w14:textId="77777777" w:rsidR="00F37C93" w:rsidRDefault="00F37C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CB403" w14:textId="36CB8FF6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3F29D60" w14:textId="3468E2A4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2DE3" w14:textId="0D63455E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93847" w14:textId="25B0DEE2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0DB53" w14:textId="321D3617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6AEFB2" w14:textId="41AA020B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A52E8" w14:textId="6869E603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5CB86EA" w14:textId="009B7F29" w:rsidR="00F37C93" w:rsidRDefault="00F37C9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95366A6" w14:textId="77777777" w:rsidR="00F37C93" w:rsidRDefault="00F37C93" w:rsidP="00CD41CA">
      <w:pPr>
        <w:jc w:val="both"/>
        <w:rPr>
          <w:color w:val="000000"/>
        </w:rPr>
      </w:pPr>
    </w:p>
    <w:sectPr w:rsidR="00F37C93" w:rsidSect="00680B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8C8D" w14:textId="77777777" w:rsidR="00BB242B" w:rsidRDefault="00BB242B" w:rsidP="001127C0">
      <w:r>
        <w:separator/>
      </w:r>
    </w:p>
  </w:endnote>
  <w:endnote w:type="continuationSeparator" w:id="0">
    <w:p w14:paraId="05B54807" w14:textId="77777777" w:rsidR="00BB242B" w:rsidRDefault="00BB242B" w:rsidP="00112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678E9" w14:textId="77777777" w:rsidR="00BA25DE" w:rsidRDefault="00BA2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DC08" w14:textId="77777777" w:rsidR="00BA25DE" w:rsidRDefault="00BA25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6D28A" w14:textId="77777777" w:rsidR="00BA25DE" w:rsidRDefault="00BA2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D53D5" w14:textId="77777777" w:rsidR="00BB242B" w:rsidRDefault="00BB242B" w:rsidP="001127C0">
      <w:r>
        <w:separator/>
      </w:r>
    </w:p>
  </w:footnote>
  <w:footnote w:type="continuationSeparator" w:id="0">
    <w:p w14:paraId="007A8F90" w14:textId="77777777" w:rsidR="00BB242B" w:rsidRDefault="00BB242B" w:rsidP="001127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8065C1" w14:textId="77777777" w:rsidR="00BA25DE" w:rsidRDefault="00BA2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1B997" w14:textId="77777777" w:rsidR="00BA25DE" w:rsidRDefault="00BA25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A5B6C" w14:textId="77777777" w:rsidR="00BA25DE" w:rsidRDefault="00BA2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10F"/>
    <w:multiLevelType w:val="hybridMultilevel"/>
    <w:tmpl w:val="77E4EC00"/>
    <w:lvl w:ilvl="0" w:tplc="D9E499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BE683D"/>
    <w:multiLevelType w:val="multilevel"/>
    <w:tmpl w:val="E4A0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0706A6"/>
    <w:multiLevelType w:val="hybridMultilevel"/>
    <w:tmpl w:val="B42ECA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DA63A8"/>
    <w:multiLevelType w:val="hybridMultilevel"/>
    <w:tmpl w:val="68AE4710"/>
    <w:lvl w:ilvl="0" w:tplc="FA38CA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B852E0"/>
    <w:multiLevelType w:val="hybridMultilevel"/>
    <w:tmpl w:val="68AE4710"/>
    <w:lvl w:ilvl="0" w:tplc="FA38CA8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removePersonalInformation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C0A"/>
    <w:rsid w:val="00007533"/>
    <w:rsid w:val="000C7478"/>
    <w:rsid w:val="000D1BBA"/>
    <w:rsid w:val="000E42EE"/>
    <w:rsid w:val="001004B3"/>
    <w:rsid w:val="00100EA1"/>
    <w:rsid w:val="001127C0"/>
    <w:rsid w:val="0011336C"/>
    <w:rsid w:val="00142BC5"/>
    <w:rsid w:val="001774B2"/>
    <w:rsid w:val="001920FC"/>
    <w:rsid w:val="00197187"/>
    <w:rsid w:val="001C0793"/>
    <w:rsid w:val="001D5FE8"/>
    <w:rsid w:val="001F3E36"/>
    <w:rsid w:val="00202007"/>
    <w:rsid w:val="00206294"/>
    <w:rsid w:val="002214CF"/>
    <w:rsid w:val="00230481"/>
    <w:rsid w:val="00230521"/>
    <w:rsid w:val="00297132"/>
    <w:rsid w:val="002A4DD1"/>
    <w:rsid w:val="002B0964"/>
    <w:rsid w:val="002C719B"/>
    <w:rsid w:val="002E4F4A"/>
    <w:rsid w:val="003023A4"/>
    <w:rsid w:val="00336F41"/>
    <w:rsid w:val="003D29A0"/>
    <w:rsid w:val="00415131"/>
    <w:rsid w:val="00417E26"/>
    <w:rsid w:val="00435316"/>
    <w:rsid w:val="004471B2"/>
    <w:rsid w:val="0045676E"/>
    <w:rsid w:val="00497130"/>
    <w:rsid w:val="0049732C"/>
    <w:rsid w:val="00526A33"/>
    <w:rsid w:val="00537314"/>
    <w:rsid w:val="00554AAA"/>
    <w:rsid w:val="00565751"/>
    <w:rsid w:val="00576B98"/>
    <w:rsid w:val="0058140C"/>
    <w:rsid w:val="00585C0A"/>
    <w:rsid w:val="005938D2"/>
    <w:rsid w:val="005C17B3"/>
    <w:rsid w:val="005C61B1"/>
    <w:rsid w:val="005E3783"/>
    <w:rsid w:val="005F2316"/>
    <w:rsid w:val="00605366"/>
    <w:rsid w:val="0061335F"/>
    <w:rsid w:val="00647EA9"/>
    <w:rsid w:val="0066381B"/>
    <w:rsid w:val="00680B5A"/>
    <w:rsid w:val="006861EC"/>
    <w:rsid w:val="006A41A3"/>
    <w:rsid w:val="006B7337"/>
    <w:rsid w:val="006C148C"/>
    <w:rsid w:val="006E1FB8"/>
    <w:rsid w:val="00707BAB"/>
    <w:rsid w:val="0071041C"/>
    <w:rsid w:val="00727191"/>
    <w:rsid w:val="007426F2"/>
    <w:rsid w:val="00762BCB"/>
    <w:rsid w:val="007801E6"/>
    <w:rsid w:val="007847A4"/>
    <w:rsid w:val="007A7D17"/>
    <w:rsid w:val="007C0D6C"/>
    <w:rsid w:val="00804C62"/>
    <w:rsid w:val="008154D1"/>
    <w:rsid w:val="0088424E"/>
    <w:rsid w:val="008960FF"/>
    <w:rsid w:val="008A771D"/>
    <w:rsid w:val="008C5292"/>
    <w:rsid w:val="008E6413"/>
    <w:rsid w:val="008F67CA"/>
    <w:rsid w:val="009052AD"/>
    <w:rsid w:val="009453DB"/>
    <w:rsid w:val="00952369"/>
    <w:rsid w:val="00954FB5"/>
    <w:rsid w:val="00973C79"/>
    <w:rsid w:val="00983B4C"/>
    <w:rsid w:val="009908B0"/>
    <w:rsid w:val="00995AC8"/>
    <w:rsid w:val="009E724D"/>
    <w:rsid w:val="00A5006B"/>
    <w:rsid w:val="00A7148A"/>
    <w:rsid w:val="00A72AC6"/>
    <w:rsid w:val="00A8306E"/>
    <w:rsid w:val="00AA3EAB"/>
    <w:rsid w:val="00AD5941"/>
    <w:rsid w:val="00B278BF"/>
    <w:rsid w:val="00B44B50"/>
    <w:rsid w:val="00B83388"/>
    <w:rsid w:val="00B95BB6"/>
    <w:rsid w:val="00BA25DE"/>
    <w:rsid w:val="00BB242B"/>
    <w:rsid w:val="00BD4244"/>
    <w:rsid w:val="00BF45AE"/>
    <w:rsid w:val="00C133E6"/>
    <w:rsid w:val="00C25F4F"/>
    <w:rsid w:val="00C8604C"/>
    <w:rsid w:val="00CC35DB"/>
    <w:rsid w:val="00CD033E"/>
    <w:rsid w:val="00CD41CA"/>
    <w:rsid w:val="00D46D3A"/>
    <w:rsid w:val="00D53394"/>
    <w:rsid w:val="00D542C8"/>
    <w:rsid w:val="00D55D2D"/>
    <w:rsid w:val="00D821BD"/>
    <w:rsid w:val="00E05C39"/>
    <w:rsid w:val="00E253E9"/>
    <w:rsid w:val="00E36305"/>
    <w:rsid w:val="00E9742A"/>
    <w:rsid w:val="00EB1E43"/>
    <w:rsid w:val="00EB4B59"/>
    <w:rsid w:val="00EB5DCF"/>
    <w:rsid w:val="00EC7A89"/>
    <w:rsid w:val="00ED244D"/>
    <w:rsid w:val="00EE2275"/>
    <w:rsid w:val="00EE3490"/>
    <w:rsid w:val="00F3141E"/>
    <w:rsid w:val="00F37C93"/>
    <w:rsid w:val="00F44240"/>
    <w:rsid w:val="00FB5885"/>
    <w:rsid w:val="00FD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45C9A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5C0A"/>
    <w:rPr>
      <w:sz w:val="24"/>
      <w:szCs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5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4DD1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5C61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61B1"/>
    <w:rPr>
      <w:rFonts w:ascii="Segoe UI" w:hAnsi="Segoe UI" w:cs="Segoe UI"/>
      <w:sz w:val="18"/>
      <w:szCs w:val="18"/>
      <w:lang w:eastAsia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27C0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27C0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1127C0"/>
    <w:rPr>
      <w:vertAlign w:val="superscript"/>
    </w:rPr>
  </w:style>
  <w:style w:type="paragraph" w:styleId="Header">
    <w:name w:val="header"/>
    <w:basedOn w:val="Normal"/>
    <w:link w:val="HeaderChar"/>
    <w:unhideWhenUsed/>
    <w:rsid w:val="00BA25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25DE"/>
    <w:rPr>
      <w:sz w:val="24"/>
      <w:szCs w:val="24"/>
      <w:lang w:eastAsia="de-DE"/>
    </w:rPr>
  </w:style>
  <w:style w:type="paragraph" w:styleId="Footer">
    <w:name w:val="footer"/>
    <w:basedOn w:val="Normal"/>
    <w:link w:val="FooterChar"/>
    <w:unhideWhenUsed/>
    <w:rsid w:val="00BA2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A25DE"/>
    <w:rPr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2020-09-10T03:56:00Z</dcterms:created>
  <dcterms:modified xsi:type="dcterms:W3CDTF">2020-09-14T20:12:00Z</dcterms:modified>
</cp:coreProperties>
</file>