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1B322" w14:textId="2B8E87F5" w:rsidR="005C633B" w:rsidRPr="0080140B" w:rsidRDefault="005B065E" w:rsidP="00EA1903">
      <w:pPr>
        <w:spacing w:before="240" w:after="240" w:line="480" w:lineRule="auto"/>
        <w:rPr>
          <w:rFonts w:ascii="Times New Roman" w:hAnsi="Times New Roman" w:cs="Times New Roman"/>
        </w:rPr>
      </w:pPr>
      <w:r w:rsidRPr="00CB0BAA">
        <w:rPr>
          <w:rFonts w:ascii="Times New Roman" w:hAnsi="Times New Roman" w:cs="Times New Roman"/>
        </w:rPr>
        <w:t>Beyond naturalness? Social dimensions of gene editing in agriculture</w:t>
      </w:r>
    </w:p>
    <w:p w14:paraId="21AEBE0D" w14:textId="476DB7F8" w:rsidR="00D440DE" w:rsidRDefault="005C633B" w:rsidP="00EA1903">
      <w:pPr>
        <w:spacing w:before="240" w:after="240" w:line="480" w:lineRule="auto"/>
        <w:rPr>
          <w:rFonts w:ascii="Times New Roman" w:hAnsi="Times New Roman" w:cs="Times New Roman"/>
          <w:b w:val="0"/>
          <w:bCs/>
        </w:rPr>
      </w:pPr>
      <w:r w:rsidRPr="00710B1C">
        <w:rPr>
          <w:rFonts w:ascii="Times New Roman" w:hAnsi="Times New Roman" w:cs="Times New Roman"/>
          <w:b w:val="0"/>
          <w:bCs/>
        </w:rPr>
        <w:t xml:space="preserve">Novel </w:t>
      </w:r>
      <w:r w:rsidR="00BA5694">
        <w:rPr>
          <w:rFonts w:ascii="Times New Roman" w:hAnsi="Times New Roman" w:cs="Times New Roman"/>
          <w:b w:val="0"/>
          <w:bCs/>
        </w:rPr>
        <w:t>gene</w:t>
      </w:r>
      <w:r w:rsidR="003F5E34">
        <w:rPr>
          <w:rFonts w:ascii="Times New Roman" w:hAnsi="Times New Roman" w:cs="Times New Roman"/>
          <w:b w:val="0"/>
          <w:bCs/>
        </w:rPr>
        <w:t>-</w:t>
      </w:r>
      <w:r w:rsidR="00BA5694">
        <w:rPr>
          <w:rFonts w:ascii="Times New Roman" w:hAnsi="Times New Roman" w:cs="Times New Roman"/>
          <w:b w:val="0"/>
          <w:bCs/>
        </w:rPr>
        <w:t xml:space="preserve">editing </w:t>
      </w:r>
      <w:r w:rsidRPr="00710B1C">
        <w:rPr>
          <w:rFonts w:ascii="Times New Roman" w:hAnsi="Times New Roman" w:cs="Times New Roman"/>
          <w:b w:val="0"/>
          <w:bCs/>
        </w:rPr>
        <w:t>technologies are ushering in a new era of designing life forms</w:t>
      </w:r>
      <w:r w:rsidR="001B2081">
        <w:rPr>
          <w:rFonts w:ascii="Times New Roman" w:hAnsi="Times New Roman" w:cs="Times New Roman"/>
          <w:b w:val="0"/>
          <w:bCs/>
        </w:rPr>
        <w:t xml:space="preserve">; they are capable of modifying species </w:t>
      </w:r>
      <w:r w:rsidR="005106B7">
        <w:rPr>
          <w:rFonts w:ascii="Times New Roman" w:hAnsi="Times New Roman" w:cs="Times New Roman"/>
          <w:b w:val="0"/>
          <w:bCs/>
        </w:rPr>
        <w:t>genomes via</w:t>
      </w:r>
      <w:r w:rsidR="001B2081">
        <w:rPr>
          <w:rFonts w:ascii="Times New Roman" w:hAnsi="Times New Roman" w:cs="Times New Roman"/>
          <w:b w:val="0"/>
          <w:bCs/>
        </w:rPr>
        <w:t xml:space="preserve"> </w:t>
      </w:r>
      <w:r w:rsidR="005106B7">
        <w:rPr>
          <w:rFonts w:ascii="Times New Roman" w:hAnsi="Times New Roman" w:cs="Times New Roman"/>
          <w:b w:val="0"/>
          <w:bCs/>
        </w:rPr>
        <w:t>‘precise’ edits rather than the</w:t>
      </w:r>
      <w:r w:rsidR="001B2081">
        <w:rPr>
          <w:rFonts w:ascii="Times New Roman" w:hAnsi="Times New Roman" w:cs="Times New Roman"/>
          <w:b w:val="0"/>
          <w:bCs/>
        </w:rPr>
        <w:t xml:space="preserve"> random mutation</w:t>
      </w:r>
      <w:r w:rsidR="005106B7">
        <w:rPr>
          <w:rFonts w:ascii="Times New Roman" w:hAnsi="Times New Roman" w:cs="Times New Roman"/>
          <w:b w:val="0"/>
          <w:bCs/>
        </w:rPr>
        <w:t>s</w:t>
      </w:r>
      <w:r w:rsidR="001B2081">
        <w:rPr>
          <w:rFonts w:ascii="Times New Roman" w:hAnsi="Times New Roman" w:cs="Times New Roman"/>
          <w:b w:val="0"/>
          <w:bCs/>
        </w:rPr>
        <w:t xml:space="preserve"> </w:t>
      </w:r>
      <w:r w:rsidR="005106B7">
        <w:rPr>
          <w:rFonts w:ascii="Times New Roman" w:hAnsi="Times New Roman" w:cs="Times New Roman"/>
          <w:b w:val="0"/>
          <w:bCs/>
        </w:rPr>
        <w:t>used with</w:t>
      </w:r>
      <w:r w:rsidR="001B2081">
        <w:rPr>
          <w:rFonts w:ascii="Times New Roman" w:hAnsi="Times New Roman" w:cs="Times New Roman"/>
          <w:b w:val="0"/>
          <w:bCs/>
        </w:rPr>
        <w:t xml:space="preserve"> earlier generation genetic modification</w:t>
      </w:r>
      <w:r w:rsidRPr="00710B1C">
        <w:rPr>
          <w:rFonts w:ascii="Times New Roman" w:hAnsi="Times New Roman" w:cs="Times New Roman"/>
          <w:b w:val="0"/>
          <w:bCs/>
        </w:rPr>
        <w:t>. A mushrooming of scientific research and synthesis reports have begun to explore and document the potential scope of wha</w:t>
      </w:r>
      <w:r w:rsidR="007B3B2E">
        <w:rPr>
          <w:rFonts w:ascii="Times New Roman" w:hAnsi="Times New Roman" w:cs="Times New Roman"/>
          <w:b w:val="0"/>
          <w:bCs/>
        </w:rPr>
        <w:t>t—p</w:t>
      </w:r>
      <w:r w:rsidRPr="00710B1C">
        <w:rPr>
          <w:rFonts w:ascii="Times New Roman" w:hAnsi="Times New Roman" w:cs="Times New Roman"/>
          <w:b w:val="0"/>
          <w:bCs/>
        </w:rPr>
        <w:t>roponents claim</w:t>
      </w:r>
      <w:r w:rsidR="007B3B2E">
        <w:rPr>
          <w:rFonts w:ascii="Times New Roman" w:hAnsi="Times New Roman" w:cs="Times New Roman"/>
          <w:b w:val="0"/>
          <w:bCs/>
        </w:rPr>
        <w:t>—</w:t>
      </w:r>
      <w:r w:rsidRPr="00710B1C">
        <w:rPr>
          <w:rFonts w:ascii="Times New Roman" w:hAnsi="Times New Roman" w:cs="Times New Roman"/>
          <w:b w:val="0"/>
          <w:bCs/>
        </w:rPr>
        <w:t xml:space="preserve">are a range of applications of </w:t>
      </w:r>
      <w:r w:rsidR="008077B0">
        <w:rPr>
          <w:rFonts w:ascii="Times New Roman" w:hAnsi="Times New Roman" w:cs="Times New Roman"/>
          <w:b w:val="0"/>
          <w:bCs/>
        </w:rPr>
        <w:t xml:space="preserve">gene editing </w:t>
      </w:r>
      <w:r w:rsidR="007B3B2E">
        <w:rPr>
          <w:rFonts w:ascii="Times New Roman" w:hAnsi="Times New Roman" w:cs="Times New Roman"/>
          <w:b w:val="0"/>
          <w:bCs/>
        </w:rPr>
        <w:t xml:space="preserve">aimed </w:t>
      </w:r>
      <w:r w:rsidR="00522E37">
        <w:rPr>
          <w:rFonts w:ascii="Times New Roman" w:hAnsi="Times New Roman" w:cs="Times New Roman"/>
          <w:b w:val="0"/>
          <w:bCs/>
        </w:rPr>
        <w:t>to address food security, climate change, and other challenges facing agriculture</w:t>
      </w:r>
      <w:r w:rsidR="00BA5694">
        <w:rPr>
          <w:rFonts w:ascii="Times New Roman" w:hAnsi="Times New Roman" w:cs="Times New Roman"/>
          <w:b w:val="0"/>
          <w:bCs/>
        </w:rPr>
        <w:t xml:space="preserve">. </w:t>
      </w:r>
      <w:r w:rsidR="005E7D7A">
        <w:rPr>
          <w:rFonts w:ascii="Times New Roman" w:hAnsi="Times New Roman" w:cs="Times New Roman"/>
          <w:b w:val="0"/>
          <w:bCs/>
        </w:rPr>
        <w:t>These applications</w:t>
      </w:r>
      <w:r w:rsidR="003269DA">
        <w:rPr>
          <w:rFonts w:ascii="Times New Roman" w:hAnsi="Times New Roman" w:cs="Times New Roman"/>
          <w:b w:val="0"/>
          <w:bCs/>
        </w:rPr>
        <w:t>, however,</w:t>
      </w:r>
      <w:r w:rsidR="005E7D7A">
        <w:rPr>
          <w:rFonts w:ascii="Times New Roman" w:hAnsi="Times New Roman" w:cs="Times New Roman"/>
          <w:b w:val="0"/>
          <w:bCs/>
        </w:rPr>
        <w:t xml:space="preserve"> introduce</w:t>
      </w:r>
      <w:r w:rsidR="003269DA">
        <w:rPr>
          <w:rFonts w:ascii="Times New Roman" w:hAnsi="Times New Roman" w:cs="Times New Roman"/>
          <w:b w:val="0"/>
          <w:bCs/>
        </w:rPr>
        <w:t xml:space="preserve"> </w:t>
      </w:r>
      <w:r w:rsidR="005E7D7A" w:rsidRPr="00710B1C">
        <w:rPr>
          <w:rFonts w:ascii="Times New Roman" w:hAnsi="Times New Roman" w:cs="Times New Roman"/>
          <w:b w:val="0"/>
          <w:bCs/>
        </w:rPr>
        <w:t xml:space="preserve">social risks, ethical dilemmas and governance </w:t>
      </w:r>
      <w:r w:rsidR="00522E37">
        <w:rPr>
          <w:rFonts w:ascii="Times New Roman" w:hAnsi="Times New Roman" w:cs="Times New Roman"/>
          <w:b w:val="0"/>
          <w:bCs/>
        </w:rPr>
        <w:t>concerns</w:t>
      </w:r>
      <w:r w:rsidR="003269DA">
        <w:rPr>
          <w:rFonts w:ascii="Times New Roman" w:hAnsi="Times New Roman" w:cs="Times New Roman"/>
          <w:b w:val="0"/>
          <w:bCs/>
        </w:rPr>
        <w:t xml:space="preserve">. </w:t>
      </w:r>
      <w:r w:rsidR="00EE6CF1" w:rsidRPr="00710B1C">
        <w:rPr>
          <w:rFonts w:ascii="Times New Roman" w:hAnsi="Times New Roman" w:cs="Times New Roman"/>
          <w:b w:val="0"/>
          <w:bCs/>
        </w:rPr>
        <w:t>This thesis examine</w:t>
      </w:r>
      <w:r w:rsidR="000231E1">
        <w:rPr>
          <w:rFonts w:ascii="Times New Roman" w:hAnsi="Times New Roman" w:cs="Times New Roman"/>
          <w:b w:val="0"/>
          <w:bCs/>
        </w:rPr>
        <w:t>s key and under-explored questions of governance and public perceptions of</w:t>
      </w:r>
      <w:r w:rsidR="00EE6CF1" w:rsidRPr="00710B1C">
        <w:rPr>
          <w:rFonts w:ascii="Times New Roman" w:hAnsi="Times New Roman" w:cs="Times New Roman"/>
          <w:b w:val="0"/>
          <w:bCs/>
        </w:rPr>
        <w:t xml:space="preserve"> gene-editing technologies</w:t>
      </w:r>
      <w:r w:rsidR="000231E1">
        <w:rPr>
          <w:rFonts w:ascii="Times New Roman" w:hAnsi="Times New Roman" w:cs="Times New Roman"/>
          <w:b w:val="0"/>
          <w:bCs/>
        </w:rPr>
        <w:t xml:space="preserve"> across six empirical chapters. </w:t>
      </w:r>
    </w:p>
    <w:p w14:paraId="57F7D847" w14:textId="1CE6D329" w:rsidR="00B203EA" w:rsidRPr="00CB0BAA" w:rsidRDefault="00522E37" w:rsidP="00EA1903">
      <w:pPr>
        <w:spacing w:before="240" w:after="240" w:line="480" w:lineRule="auto"/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  <w:b w:val="0"/>
          <w:bCs/>
        </w:rPr>
        <w:t xml:space="preserve">As </w:t>
      </w:r>
      <w:r w:rsidR="00E17C7F">
        <w:rPr>
          <w:rFonts w:ascii="Times New Roman" w:hAnsi="Times New Roman" w:cs="Times New Roman"/>
          <w:b w:val="0"/>
          <w:bCs/>
        </w:rPr>
        <w:t>it</w:t>
      </w:r>
      <w:r>
        <w:rPr>
          <w:rFonts w:ascii="Times New Roman" w:hAnsi="Times New Roman" w:cs="Times New Roman"/>
          <w:b w:val="0"/>
          <w:bCs/>
        </w:rPr>
        <w:t xml:space="preserve"> blurs the line between what is ‘natural’ </w:t>
      </w:r>
      <w:r w:rsidR="000B52DA">
        <w:rPr>
          <w:rFonts w:ascii="Times New Roman" w:hAnsi="Times New Roman" w:cs="Times New Roman"/>
          <w:b w:val="0"/>
          <w:bCs/>
        </w:rPr>
        <w:t>vs.</w:t>
      </w:r>
      <w:r>
        <w:rPr>
          <w:rFonts w:ascii="Times New Roman" w:hAnsi="Times New Roman" w:cs="Times New Roman"/>
          <w:b w:val="0"/>
          <w:bCs/>
        </w:rPr>
        <w:t xml:space="preserve"> human-made, g</w:t>
      </w:r>
      <w:r w:rsidR="00D440DE">
        <w:rPr>
          <w:rFonts w:ascii="Times New Roman" w:hAnsi="Times New Roman" w:cs="Times New Roman"/>
          <w:b w:val="0"/>
          <w:bCs/>
        </w:rPr>
        <w:t>ene editing</w:t>
      </w:r>
      <w:r w:rsidR="00016267">
        <w:rPr>
          <w:rFonts w:ascii="Times New Roman" w:hAnsi="Times New Roman" w:cs="Times New Roman"/>
          <w:b w:val="0"/>
          <w:bCs/>
        </w:rPr>
        <w:t xml:space="preserve"> is </w:t>
      </w:r>
      <w:r>
        <w:rPr>
          <w:rFonts w:ascii="Times New Roman" w:hAnsi="Times New Roman" w:cs="Times New Roman"/>
          <w:b w:val="0"/>
          <w:bCs/>
        </w:rPr>
        <w:t xml:space="preserve">also </w:t>
      </w:r>
      <w:r w:rsidR="00D440DE">
        <w:rPr>
          <w:rFonts w:ascii="Times New Roman" w:hAnsi="Times New Roman" w:cs="Times New Roman"/>
          <w:b w:val="0"/>
          <w:bCs/>
        </w:rPr>
        <w:t xml:space="preserve">bringing questions of ‘naturalness’ to the fore. </w:t>
      </w:r>
      <w:r w:rsidR="000B52DA">
        <w:rPr>
          <w:rFonts w:ascii="Times New Roman" w:hAnsi="Times New Roman" w:cs="Times New Roman"/>
          <w:b w:val="0"/>
          <w:bCs/>
        </w:rPr>
        <w:t>T</w:t>
      </w:r>
      <w:r w:rsidR="00D440DE">
        <w:rPr>
          <w:rFonts w:ascii="Times New Roman" w:hAnsi="Times New Roman" w:cs="Times New Roman"/>
          <w:b w:val="0"/>
          <w:bCs/>
        </w:rPr>
        <w:t>his</w:t>
      </w:r>
      <w:r w:rsidR="003269DA">
        <w:rPr>
          <w:rFonts w:ascii="Times New Roman" w:hAnsi="Times New Roman" w:cs="Times New Roman"/>
          <w:b w:val="0"/>
          <w:bCs/>
        </w:rPr>
        <w:t xml:space="preserve"> thesis </w:t>
      </w:r>
      <w:r w:rsidR="00D440DE">
        <w:rPr>
          <w:rFonts w:ascii="Times New Roman" w:hAnsi="Times New Roman" w:cs="Times New Roman"/>
          <w:b w:val="0"/>
          <w:bCs/>
        </w:rPr>
        <w:t>traces</w:t>
      </w:r>
      <w:r w:rsidR="000B52DA">
        <w:rPr>
          <w:rFonts w:ascii="Times New Roman" w:hAnsi="Times New Roman" w:cs="Times New Roman"/>
          <w:b w:val="0"/>
          <w:bCs/>
        </w:rPr>
        <w:t xml:space="preserve">, across its chapters, </w:t>
      </w:r>
      <w:r w:rsidR="003269DA">
        <w:rPr>
          <w:rFonts w:ascii="Times New Roman" w:hAnsi="Times New Roman" w:cs="Times New Roman"/>
          <w:b w:val="0"/>
          <w:bCs/>
        </w:rPr>
        <w:t>the</w:t>
      </w:r>
      <w:r w:rsidR="003269DA" w:rsidRPr="00710B1C">
        <w:rPr>
          <w:rFonts w:ascii="Times New Roman" w:hAnsi="Times New Roman" w:cs="Times New Roman"/>
          <w:b w:val="0"/>
          <w:bCs/>
        </w:rPr>
        <w:t xml:space="preserve"> </w:t>
      </w:r>
      <w:r w:rsidR="00D812D7">
        <w:rPr>
          <w:rFonts w:ascii="Times New Roman" w:hAnsi="Times New Roman" w:cs="Times New Roman"/>
          <w:b w:val="0"/>
          <w:bCs/>
        </w:rPr>
        <w:t>multiple</w:t>
      </w:r>
      <w:r w:rsidR="003269DA">
        <w:rPr>
          <w:rFonts w:ascii="Times New Roman" w:hAnsi="Times New Roman" w:cs="Times New Roman"/>
          <w:b w:val="0"/>
          <w:bCs/>
        </w:rPr>
        <w:t xml:space="preserve"> </w:t>
      </w:r>
      <w:r w:rsidR="003269DA" w:rsidRPr="009C500A">
        <w:rPr>
          <w:rFonts w:ascii="Times New Roman" w:hAnsi="Times New Roman" w:cs="Times New Roman"/>
          <w:b w:val="0"/>
          <w:bCs/>
        </w:rPr>
        <w:t>interpretations, meanings</w:t>
      </w:r>
      <w:r w:rsidR="002026C5">
        <w:rPr>
          <w:rFonts w:ascii="Times New Roman" w:hAnsi="Times New Roman" w:cs="Times New Roman"/>
          <w:b w:val="0"/>
          <w:bCs/>
        </w:rPr>
        <w:t xml:space="preserve"> </w:t>
      </w:r>
      <w:r w:rsidR="003269DA" w:rsidRPr="009C500A">
        <w:rPr>
          <w:rFonts w:ascii="Times New Roman" w:hAnsi="Times New Roman" w:cs="Times New Roman"/>
          <w:b w:val="0"/>
          <w:bCs/>
        </w:rPr>
        <w:t xml:space="preserve">and values </w:t>
      </w:r>
      <w:r w:rsidR="00D812D7">
        <w:rPr>
          <w:rFonts w:ascii="Times New Roman" w:hAnsi="Times New Roman" w:cs="Times New Roman"/>
          <w:b w:val="0"/>
          <w:bCs/>
        </w:rPr>
        <w:t>relating to</w:t>
      </w:r>
      <w:r w:rsidR="005B504C">
        <w:rPr>
          <w:rFonts w:ascii="Times New Roman" w:hAnsi="Times New Roman" w:cs="Times New Roman"/>
          <w:b w:val="0"/>
          <w:bCs/>
        </w:rPr>
        <w:t xml:space="preserve"> </w:t>
      </w:r>
      <w:r w:rsidR="003269DA">
        <w:rPr>
          <w:rFonts w:ascii="Times New Roman" w:hAnsi="Times New Roman" w:cs="Times New Roman"/>
          <w:b w:val="0"/>
          <w:bCs/>
        </w:rPr>
        <w:t>‘naturalness’</w:t>
      </w:r>
      <w:r w:rsidR="003269DA" w:rsidRPr="009C500A">
        <w:rPr>
          <w:rFonts w:ascii="Times New Roman" w:hAnsi="Times New Roman" w:cs="Times New Roman"/>
          <w:b w:val="0"/>
          <w:bCs/>
        </w:rPr>
        <w:t xml:space="preserve"> </w:t>
      </w:r>
      <w:r w:rsidR="00D812D7">
        <w:rPr>
          <w:rFonts w:ascii="Times New Roman" w:hAnsi="Times New Roman" w:cs="Times New Roman"/>
          <w:b w:val="0"/>
          <w:bCs/>
        </w:rPr>
        <w:t xml:space="preserve">that different actors </w:t>
      </w:r>
      <w:r w:rsidR="000B52DA">
        <w:rPr>
          <w:rFonts w:ascii="Times New Roman" w:hAnsi="Times New Roman" w:cs="Times New Roman"/>
          <w:b w:val="0"/>
          <w:bCs/>
        </w:rPr>
        <w:t xml:space="preserve">and institutions </w:t>
      </w:r>
      <w:r w:rsidR="00D812D7">
        <w:rPr>
          <w:rFonts w:ascii="Times New Roman" w:hAnsi="Times New Roman" w:cs="Times New Roman"/>
          <w:b w:val="0"/>
          <w:bCs/>
        </w:rPr>
        <w:t xml:space="preserve">bring to </w:t>
      </w:r>
      <w:r w:rsidR="00362F42">
        <w:rPr>
          <w:rFonts w:ascii="Times New Roman" w:hAnsi="Times New Roman" w:cs="Times New Roman"/>
          <w:b w:val="0"/>
          <w:bCs/>
        </w:rPr>
        <w:t>their engagement with</w:t>
      </w:r>
      <w:r w:rsidR="00D812D7">
        <w:rPr>
          <w:rFonts w:ascii="Times New Roman" w:hAnsi="Times New Roman" w:cs="Times New Roman"/>
          <w:b w:val="0"/>
          <w:bCs/>
        </w:rPr>
        <w:t xml:space="preserve"> gene editing</w:t>
      </w:r>
      <w:r w:rsidR="005B504C">
        <w:rPr>
          <w:rFonts w:ascii="Times New Roman" w:hAnsi="Times New Roman" w:cs="Times New Roman"/>
          <w:b w:val="0"/>
          <w:bCs/>
        </w:rPr>
        <w:t xml:space="preserve">. </w:t>
      </w:r>
      <w:r w:rsidR="001B2081">
        <w:rPr>
          <w:rFonts w:ascii="Times New Roman" w:hAnsi="Times New Roman" w:cs="Times New Roman"/>
          <w:b w:val="0"/>
          <w:bCs/>
        </w:rPr>
        <w:t>It</w:t>
      </w:r>
      <w:r w:rsidR="00FB4DAE">
        <w:rPr>
          <w:rFonts w:ascii="Times New Roman" w:hAnsi="Times New Roman" w:cs="Times New Roman"/>
          <w:b w:val="0"/>
          <w:bCs/>
        </w:rPr>
        <w:t xml:space="preserve"> finds that</w:t>
      </w:r>
      <w:r w:rsidR="00C437D7">
        <w:rPr>
          <w:rFonts w:ascii="Times New Roman" w:hAnsi="Times New Roman" w:cs="Times New Roman"/>
          <w:b w:val="0"/>
          <w:bCs/>
        </w:rPr>
        <w:t xml:space="preserve"> assumptions </w:t>
      </w:r>
      <w:r w:rsidR="00FB4DAE">
        <w:rPr>
          <w:rFonts w:ascii="Times New Roman" w:hAnsi="Times New Roman" w:cs="Times New Roman"/>
          <w:b w:val="0"/>
          <w:bCs/>
        </w:rPr>
        <w:t>about what is</w:t>
      </w:r>
      <w:r w:rsidR="00C437D7">
        <w:rPr>
          <w:rFonts w:ascii="Times New Roman" w:hAnsi="Times New Roman" w:cs="Times New Roman"/>
          <w:b w:val="0"/>
          <w:bCs/>
        </w:rPr>
        <w:t xml:space="preserve"> </w:t>
      </w:r>
      <w:r w:rsidR="00C437D7" w:rsidRPr="00710B1C">
        <w:rPr>
          <w:rFonts w:ascii="Times New Roman" w:hAnsi="Times New Roman" w:cs="Times New Roman"/>
          <w:b w:val="0"/>
          <w:bCs/>
        </w:rPr>
        <w:t>‘natural’</w:t>
      </w:r>
      <w:r w:rsidR="00C437D7">
        <w:rPr>
          <w:rFonts w:ascii="Times New Roman" w:hAnsi="Times New Roman" w:cs="Times New Roman"/>
          <w:b w:val="0"/>
          <w:bCs/>
        </w:rPr>
        <w:t xml:space="preserve"> </w:t>
      </w:r>
      <w:r w:rsidR="001B2081">
        <w:rPr>
          <w:rFonts w:ascii="Times New Roman" w:hAnsi="Times New Roman" w:cs="Times New Roman"/>
          <w:b w:val="0"/>
          <w:bCs/>
        </w:rPr>
        <w:t>(</w:t>
      </w:r>
      <w:r w:rsidR="00E17C7F">
        <w:rPr>
          <w:rFonts w:ascii="Times New Roman" w:hAnsi="Times New Roman" w:cs="Times New Roman"/>
          <w:b w:val="0"/>
          <w:bCs/>
        </w:rPr>
        <w:t xml:space="preserve">such as </w:t>
      </w:r>
      <w:r w:rsidR="001B2081">
        <w:rPr>
          <w:rFonts w:ascii="Times New Roman" w:hAnsi="Times New Roman" w:cs="Times New Roman"/>
          <w:b w:val="0"/>
          <w:bCs/>
        </w:rPr>
        <w:t>about life</w:t>
      </w:r>
      <w:r w:rsidR="00E17C7F">
        <w:rPr>
          <w:rFonts w:ascii="Times New Roman" w:hAnsi="Times New Roman" w:cs="Times New Roman"/>
          <w:b w:val="0"/>
          <w:bCs/>
        </w:rPr>
        <w:t xml:space="preserve"> forms</w:t>
      </w:r>
      <w:r w:rsidR="001B2081">
        <w:rPr>
          <w:rFonts w:ascii="Times New Roman" w:hAnsi="Times New Roman" w:cs="Times New Roman"/>
          <w:b w:val="0"/>
          <w:bCs/>
        </w:rPr>
        <w:t xml:space="preserve">, </w:t>
      </w:r>
      <w:r w:rsidR="00E17C7F">
        <w:rPr>
          <w:rFonts w:ascii="Times New Roman" w:hAnsi="Times New Roman" w:cs="Times New Roman"/>
          <w:b w:val="0"/>
          <w:bCs/>
        </w:rPr>
        <w:t>modifications to genomes</w:t>
      </w:r>
      <w:r w:rsidR="001B2081">
        <w:rPr>
          <w:rFonts w:ascii="Times New Roman" w:hAnsi="Times New Roman" w:cs="Times New Roman"/>
          <w:b w:val="0"/>
          <w:bCs/>
        </w:rPr>
        <w:t xml:space="preserve"> </w:t>
      </w:r>
      <w:r w:rsidR="00E17C7F">
        <w:rPr>
          <w:rFonts w:ascii="Times New Roman" w:hAnsi="Times New Roman" w:cs="Times New Roman"/>
          <w:b w:val="0"/>
          <w:bCs/>
        </w:rPr>
        <w:t xml:space="preserve">or </w:t>
      </w:r>
      <w:r w:rsidR="001B2081">
        <w:rPr>
          <w:rFonts w:ascii="Times New Roman" w:hAnsi="Times New Roman" w:cs="Times New Roman"/>
          <w:b w:val="0"/>
          <w:bCs/>
        </w:rPr>
        <w:t xml:space="preserve">agricultural practices) </w:t>
      </w:r>
      <w:r w:rsidR="005B504C">
        <w:rPr>
          <w:rFonts w:ascii="Times New Roman" w:hAnsi="Times New Roman" w:cs="Times New Roman"/>
          <w:b w:val="0"/>
          <w:bCs/>
        </w:rPr>
        <w:t xml:space="preserve">are embedded in existing </w:t>
      </w:r>
      <w:r w:rsidR="00C437D7">
        <w:rPr>
          <w:rFonts w:ascii="Times New Roman" w:hAnsi="Times New Roman" w:cs="Times New Roman"/>
          <w:b w:val="0"/>
          <w:bCs/>
        </w:rPr>
        <w:t>regulat</w:t>
      </w:r>
      <w:r w:rsidR="005B504C">
        <w:rPr>
          <w:rFonts w:ascii="Times New Roman" w:hAnsi="Times New Roman" w:cs="Times New Roman"/>
          <w:b w:val="0"/>
          <w:bCs/>
        </w:rPr>
        <w:t>ions</w:t>
      </w:r>
      <w:r w:rsidR="00C437D7">
        <w:rPr>
          <w:rFonts w:ascii="Times New Roman" w:hAnsi="Times New Roman" w:cs="Times New Roman"/>
          <w:b w:val="0"/>
          <w:bCs/>
        </w:rPr>
        <w:t xml:space="preserve"> and governance </w:t>
      </w:r>
      <w:r w:rsidR="00FB4DAE">
        <w:rPr>
          <w:rFonts w:ascii="Times New Roman" w:hAnsi="Times New Roman" w:cs="Times New Roman"/>
          <w:b w:val="0"/>
          <w:bCs/>
        </w:rPr>
        <w:t>of gene editing and relevant genomic data. Yet, the thesis also finds evidence that</w:t>
      </w:r>
      <w:r w:rsidR="00E17C7F">
        <w:rPr>
          <w:rFonts w:ascii="Times New Roman" w:hAnsi="Times New Roman" w:cs="Times New Roman"/>
          <w:b w:val="0"/>
          <w:bCs/>
        </w:rPr>
        <w:t>—</w:t>
      </w:r>
      <w:r w:rsidR="00FB4DAE">
        <w:rPr>
          <w:rFonts w:ascii="Times New Roman" w:hAnsi="Times New Roman" w:cs="Times New Roman"/>
          <w:b w:val="0"/>
          <w:bCs/>
        </w:rPr>
        <w:t>contrary to what is sometimes assumed</w:t>
      </w:r>
      <w:r w:rsidR="00E17C7F">
        <w:rPr>
          <w:rFonts w:ascii="Times New Roman" w:hAnsi="Times New Roman" w:cs="Times New Roman"/>
          <w:b w:val="0"/>
          <w:bCs/>
        </w:rPr>
        <w:t>—p</w:t>
      </w:r>
      <w:r w:rsidR="00FB4DAE">
        <w:rPr>
          <w:rFonts w:ascii="Times New Roman" w:hAnsi="Times New Roman" w:cs="Times New Roman"/>
          <w:b w:val="0"/>
          <w:bCs/>
        </w:rPr>
        <w:t xml:space="preserve">ublic groups may </w:t>
      </w:r>
      <w:r w:rsidR="00E91C34">
        <w:rPr>
          <w:rFonts w:ascii="Times New Roman" w:hAnsi="Times New Roman" w:cs="Times New Roman"/>
          <w:b w:val="0"/>
          <w:bCs/>
        </w:rPr>
        <w:t>be less concerned with</w:t>
      </w:r>
      <w:r w:rsidR="00FB4DAE">
        <w:rPr>
          <w:rFonts w:ascii="Times New Roman" w:hAnsi="Times New Roman" w:cs="Times New Roman"/>
          <w:b w:val="0"/>
          <w:bCs/>
        </w:rPr>
        <w:t xml:space="preserve"> whether gene-edited organisms are ‘natural’ and more </w:t>
      </w:r>
      <w:r w:rsidR="00E91C34">
        <w:rPr>
          <w:rFonts w:ascii="Times New Roman" w:hAnsi="Times New Roman" w:cs="Times New Roman"/>
          <w:b w:val="0"/>
          <w:bCs/>
        </w:rPr>
        <w:t>with</w:t>
      </w:r>
      <w:r w:rsidR="00FB4DAE">
        <w:rPr>
          <w:rFonts w:ascii="Times New Roman" w:hAnsi="Times New Roman" w:cs="Times New Roman"/>
          <w:b w:val="0"/>
          <w:bCs/>
        </w:rPr>
        <w:t xml:space="preserve"> the types of food systems that these applications support.</w:t>
      </w:r>
    </w:p>
    <w:p w14:paraId="41F33E5C" w14:textId="1A2CA735" w:rsidR="00C40A67" w:rsidRPr="00CB0BAA" w:rsidRDefault="00C40A67" w:rsidP="00EA1903">
      <w:pPr>
        <w:spacing w:before="240" w:after="240" w:line="480" w:lineRule="auto"/>
        <w:rPr>
          <w:rFonts w:ascii="Times New Roman" w:hAnsi="Times New Roman" w:cs="Times New Roman"/>
          <w:b w:val="0"/>
          <w:bCs/>
        </w:rPr>
      </w:pPr>
      <w:r w:rsidRPr="00CB0BAA">
        <w:rPr>
          <w:rFonts w:ascii="Times New Roman" w:hAnsi="Times New Roman" w:cs="Times New Roman"/>
          <w:b w:val="0"/>
          <w:bCs/>
        </w:rPr>
        <w:t>Chapter 2</w:t>
      </w:r>
      <w:r w:rsidR="00B203EA" w:rsidRPr="00CB0BAA">
        <w:rPr>
          <w:rFonts w:ascii="Times New Roman" w:hAnsi="Times New Roman" w:cs="Times New Roman"/>
          <w:b w:val="0"/>
          <w:bCs/>
        </w:rPr>
        <w:t xml:space="preserve"> (</w:t>
      </w:r>
      <w:r w:rsidR="00AC5E92">
        <w:rPr>
          <w:rFonts w:ascii="Times New Roman" w:hAnsi="Times New Roman" w:cs="Times New Roman"/>
          <w:b w:val="0"/>
          <w:bCs/>
        </w:rPr>
        <w:t xml:space="preserve">accepted for publication in </w:t>
      </w:r>
      <w:r w:rsidR="00B203EA" w:rsidRPr="00CB0BAA">
        <w:rPr>
          <w:rFonts w:ascii="Times New Roman" w:hAnsi="Times New Roman" w:cs="Times New Roman"/>
          <w:b w:val="0"/>
          <w:bCs/>
          <w:i/>
          <w:iCs/>
        </w:rPr>
        <w:t>Environmental Science and Policy</w:t>
      </w:r>
      <w:r w:rsidR="00336BB7">
        <w:rPr>
          <w:rStyle w:val="FootnoteReference"/>
          <w:rFonts w:ascii="Times New Roman" w:hAnsi="Times New Roman" w:cs="Times New Roman"/>
          <w:b w:val="0"/>
          <w:bCs/>
          <w:i/>
          <w:iCs/>
        </w:rPr>
        <w:footnoteReference w:id="1"/>
      </w:r>
      <w:r w:rsidR="00B203EA" w:rsidRPr="00CB0BAA">
        <w:rPr>
          <w:rFonts w:ascii="Times New Roman" w:hAnsi="Times New Roman" w:cs="Times New Roman"/>
          <w:b w:val="0"/>
          <w:bCs/>
        </w:rPr>
        <w:t xml:space="preserve">) </w:t>
      </w:r>
      <w:r w:rsidR="0039323B" w:rsidRPr="00CB0BAA">
        <w:rPr>
          <w:rFonts w:ascii="Times New Roman" w:hAnsi="Times New Roman" w:cs="Times New Roman"/>
          <w:b w:val="0"/>
          <w:bCs/>
        </w:rPr>
        <w:t xml:space="preserve">explores ways of defining and operationalizing </w:t>
      </w:r>
      <w:r w:rsidR="00E91C34">
        <w:rPr>
          <w:rFonts w:ascii="Times New Roman" w:hAnsi="Times New Roman" w:cs="Times New Roman"/>
          <w:b w:val="0"/>
          <w:bCs/>
        </w:rPr>
        <w:t>‘</w:t>
      </w:r>
      <w:r w:rsidR="0039323B" w:rsidRPr="00CB0BAA">
        <w:rPr>
          <w:rFonts w:ascii="Times New Roman" w:hAnsi="Times New Roman" w:cs="Times New Roman"/>
          <w:b w:val="0"/>
          <w:bCs/>
        </w:rPr>
        <w:t>naturalness</w:t>
      </w:r>
      <w:r w:rsidR="00E91C34">
        <w:rPr>
          <w:rFonts w:ascii="Times New Roman" w:hAnsi="Times New Roman" w:cs="Times New Roman"/>
          <w:b w:val="0"/>
          <w:bCs/>
        </w:rPr>
        <w:t>’</w:t>
      </w:r>
      <w:r w:rsidR="0039323B" w:rsidRPr="00CB0BAA">
        <w:rPr>
          <w:rFonts w:ascii="Times New Roman" w:hAnsi="Times New Roman" w:cs="Times New Roman"/>
          <w:b w:val="0"/>
          <w:bCs/>
        </w:rPr>
        <w:t xml:space="preserve"> </w:t>
      </w:r>
      <w:r w:rsidR="002732E1">
        <w:rPr>
          <w:rFonts w:ascii="Times New Roman" w:hAnsi="Times New Roman" w:cs="Times New Roman"/>
          <w:b w:val="0"/>
          <w:bCs/>
        </w:rPr>
        <w:t>that</w:t>
      </w:r>
      <w:r w:rsidR="0039323B" w:rsidRPr="00CB0BAA">
        <w:rPr>
          <w:rFonts w:ascii="Times New Roman" w:hAnsi="Times New Roman" w:cs="Times New Roman"/>
          <w:b w:val="0"/>
          <w:bCs/>
        </w:rPr>
        <w:t xml:space="preserve"> might </w:t>
      </w:r>
      <w:r w:rsidR="00E91C34">
        <w:rPr>
          <w:rFonts w:ascii="Times New Roman" w:hAnsi="Times New Roman" w:cs="Times New Roman"/>
          <w:b w:val="0"/>
          <w:bCs/>
        </w:rPr>
        <w:t>illuminate</w:t>
      </w:r>
      <w:r w:rsidR="0039323B" w:rsidRPr="00CB0BAA">
        <w:rPr>
          <w:rFonts w:ascii="Times New Roman" w:hAnsi="Times New Roman" w:cs="Times New Roman"/>
          <w:b w:val="0"/>
          <w:bCs/>
        </w:rPr>
        <w:t xml:space="preserve"> attitudes towards gene editing</w:t>
      </w:r>
      <w:r w:rsidR="00E91C34">
        <w:rPr>
          <w:rFonts w:ascii="Times New Roman" w:hAnsi="Times New Roman" w:cs="Times New Roman"/>
          <w:b w:val="0"/>
          <w:bCs/>
        </w:rPr>
        <w:t xml:space="preserve"> </w:t>
      </w:r>
      <w:r w:rsidR="00E91C34">
        <w:rPr>
          <w:rFonts w:ascii="Times New Roman" w:hAnsi="Times New Roman" w:cs="Times New Roman"/>
          <w:b w:val="0"/>
          <w:bCs/>
        </w:rPr>
        <w:lastRenderedPageBreak/>
        <w:t>in agriculture</w:t>
      </w:r>
      <w:r w:rsidR="0039323B" w:rsidRPr="00CB0BAA">
        <w:rPr>
          <w:rFonts w:ascii="Times New Roman" w:hAnsi="Times New Roman" w:cs="Times New Roman"/>
          <w:b w:val="0"/>
          <w:bCs/>
        </w:rPr>
        <w:t xml:space="preserve">. </w:t>
      </w:r>
      <w:r w:rsidR="003F5F4F">
        <w:rPr>
          <w:rFonts w:ascii="Times New Roman" w:hAnsi="Times New Roman" w:cs="Times New Roman"/>
          <w:b w:val="0"/>
          <w:bCs/>
        </w:rPr>
        <w:t>It</w:t>
      </w:r>
      <w:r w:rsidR="0039323B" w:rsidRPr="00CB0BAA">
        <w:rPr>
          <w:rFonts w:ascii="Times New Roman" w:hAnsi="Times New Roman" w:cs="Times New Roman"/>
          <w:b w:val="0"/>
          <w:bCs/>
        </w:rPr>
        <w:t xml:space="preserve"> propose</w:t>
      </w:r>
      <w:r w:rsidR="003F5F4F">
        <w:rPr>
          <w:rFonts w:ascii="Times New Roman" w:hAnsi="Times New Roman" w:cs="Times New Roman"/>
          <w:b w:val="0"/>
          <w:bCs/>
        </w:rPr>
        <w:t>s</w:t>
      </w:r>
      <w:r w:rsidR="0039323B" w:rsidRPr="00CB0BAA">
        <w:rPr>
          <w:rFonts w:ascii="Times New Roman" w:hAnsi="Times New Roman" w:cs="Times New Roman"/>
          <w:b w:val="0"/>
          <w:bCs/>
        </w:rPr>
        <w:t xml:space="preserve"> an ethical framework of ‘logics of naturalness’</w:t>
      </w:r>
      <w:r w:rsidR="003F5F4F">
        <w:rPr>
          <w:rFonts w:ascii="Times New Roman" w:hAnsi="Times New Roman" w:cs="Times New Roman"/>
          <w:b w:val="0"/>
          <w:bCs/>
        </w:rPr>
        <w:t xml:space="preserve">, evaluates these logics </w:t>
      </w:r>
      <w:r w:rsidR="00386AE6">
        <w:rPr>
          <w:rFonts w:ascii="Times New Roman" w:hAnsi="Times New Roman" w:cs="Times New Roman"/>
          <w:b w:val="0"/>
          <w:bCs/>
        </w:rPr>
        <w:t>given</w:t>
      </w:r>
      <w:r w:rsidR="003F5F4F">
        <w:rPr>
          <w:rFonts w:ascii="Times New Roman" w:hAnsi="Times New Roman" w:cs="Times New Roman"/>
          <w:b w:val="0"/>
          <w:bCs/>
        </w:rPr>
        <w:t xml:space="preserve"> </w:t>
      </w:r>
      <w:r w:rsidR="0039323B" w:rsidRPr="00CB0BAA">
        <w:rPr>
          <w:rFonts w:ascii="Times New Roman" w:hAnsi="Times New Roman" w:cs="Times New Roman"/>
          <w:b w:val="0"/>
          <w:bCs/>
        </w:rPr>
        <w:t>relevant empirical work</w:t>
      </w:r>
      <w:r w:rsidR="003F5F4F">
        <w:rPr>
          <w:rFonts w:ascii="Times New Roman" w:hAnsi="Times New Roman" w:cs="Times New Roman"/>
          <w:b w:val="0"/>
          <w:bCs/>
        </w:rPr>
        <w:t>, and</w:t>
      </w:r>
      <w:r w:rsidR="0039323B" w:rsidRPr="00CB0BAA">
        <w:rPr>
          <w:rFonts w:ascii="Times New Roman" w:hAnsi="Times New Roman" w:cs="Times New Roman"/>
          <w:b w:val="0"/>
          <w:bCs/>
        </w:rPr>
        <w:t xml:space="preserve"> </w:t>
      </w:r>
      <w:r w:rsidRPr="00CB0BAA">
        <w:rPr>
          <w:rFonts w:ascii="Times New Roman" w:hAnsi="Times New Roman" w:cs="Times New Roman"/>
          <w:b w:val="0"/>
          <w:bCs/>
        </w:rPr>
        <w:t>appl</w:t>
      </w:r>
      <w:r w:rsidR="0039323B" w:rsidRPr="00CB0BAA">
        <w:rPr>
          <w:rFonts w:ascii="Times New Roman" w:hAnsi="Times New Roman" w:cs="Times New Roman"/>
          <w:b w:val="0"/>
          <w:bCs/>
        </w:rPr>
        <w:t>ies</w:t>
      </w:r>
      <w:r w:rsidRPr="00CB0BAA">
        <w:rPr>
          <w:rFonts w:ascii="Times New Roman" w:hAnsi="Times New Roman" w:cs="Times New Roman"/>
          <w:b w:val="0"/>
          <w:bCs/>
        </w:rPr>
        <w:t xml:space="preserve"> </w:t>
      </w:r>
      <w:r w:rsidR="003F5F4F">
        <w:rPr>
          <w:rFonts w:ascii="Times New Roman" w:hAnsi="Times New Roman" w:cs="Times New Roman"/>
          <w:b w:val="0"/>
          <w:bCs/>
        </w:rPr>
        <w:t>the</w:t>
      </w:r>
      <w:r w:rsidR="0039323B" w:rsidRPr="00CB0BAA">
        <w:rPr>
          <w:rFonts w:ascii="Times New Roman" w:hAnsi="Times New Roman" w:cs="Times New Roman"/>
          <w:b w:val="0"/>
          <w:bCs/>
        </w:rPr>
        <w:t xml:space="preserve"> </w:t>
      </w:r>
      <w:r w:rsidR="003F5F4F">
        <w:rPr>
          <w:rFonts w:ascii="Times New Roman" w:hAnsi="Times New Roman" w:cs="Times New Roman"/>
          <w:b w:val="0"/>
          <w:bCs/>
        </w:rPr>
        <w:t>logics</w:t>
      </w:r>
      <w:r w:rsidR="0039323B" w:rsidRPr="00CB0BAA">
        <w:rPr>
          <w:rFonts w:ascii="Times New Roman" w:hAnsi="Times New Roman" w:cs="Times New Roman"/>
          <w:b w:val="0"/>
          <w:bCs/>
        </w:rPr>
        <w:t xml:space="preserve"> to </w:t>
      </w:r>
      <w:r w:rsidRPr="00CB0BAA">
        <w:rPr>
          <w:rFonts w:ascii="Times New Roman" w:hAnsi="Times New Roman" w:cs="Times New Roman"/>
          <w:b w:val="0"/>
          <w:bCs/>
        </w:rPr>
        <w:t>gene</w:t>
      </w:r>
      <w:r w:rsidR="00313867">
        <w:rPr>
          <w:rFonts w:ascii="Times New Roman" w:hAnsi="Times New Roman" w:cs="Times New Roman"/>
          <w:b w:val="0"/>
          <w:bCs/>
        </w:rPr>
        <w:t>-</w:t>
      </w:r>
      <w:r w:rsidRPr="00CB0BAA">
        <w:rPr>
          <w:rFonts w:ascii="Times New Roman" w:hAnsi="Times New Roman" w:cs="Times New Roman"/>
          <w:b w:val="0"/>
          <w:bCs/>
        </w:rPr>
        <w:t>editing</w:t>
      </w:r>
      <w:r w:rsidR="003F5F4F">
        <w:rPr>
          <w:rFonts w:ascii="Times New Roman" w:hAnsi="Times New Roman" w:cs="Times New Roman"/>
          <w:b w:val="0"/>
          <w:bCs/>
        </w:rPr>
        <w:t xml:space="preserve"> applications</w:t>
      </w:r>
      <w:r w:rsidRPr="00CB0BAA">
        <w:rPr>
          <w:rFonts w:ascii="Times New Roman" w:hAnsi="Times New Roman" w:cs="Times New Roman"/>
          <w:b w:val="0"/>
          <w:bCs/>
        </w:rPr>
        <w:t xml:space="preserve">. </w:t>
      </w:r>
      <w:r w:rsidR="000123FE" w:rsidRPr="00CB0BAA">
        <w:rPr>
          <w:rFonts w:ascii="Times New Roman" w:hAnsi="Times New Roman" w:cs="Times New Roman"/>
          <w:b w:val="0"/>
          <w:bCs/>
        </w:rPr>
        <w:t xml:space="preserve">To my knowledge, this is </w:t>
      </w:r>
      <w:r w:rsidR="00837F95">
        <w:rPr>
          <w:rFonts w:ascii="Times New Roman" w:hAnsi="Times New Roman" w:cs="Times New Roman"/>
          <w:b w:val="0"/>
          <w:bCs/>
        </w:rPr>
        <w:t>the only paper</w:t>
      </w:r>
      <w:r w:rsidR="000123FE" w:rsidRPr="00CB0BAA">
        <w:rPr>
          <w:rFonts w:ascii="Times New Roman" w:hAnsi="Times New Roman" w:cs="Times New Roman"/>
          <w:b w:val="0"/>
          <w:bCs/>
        </w:rPr>
        <w:t xml:space="preserve"> to empirically review definitions of naturalness</w:t>
      </w:r>
      <w:r w:rsidR="002732E1">
        <w:rPr>
          <w:rFonts w:ascii="Times New Roman" w:hAnsi="Times New Roman" w:cs="Times New Roman"/>
          <w:b w:val="0"/>
          <w:bCs/>
        </w:rPr>
        <w:t xml:space="preserve"> as they relate to biotechnology</w:t>
      </w:r>
      <w:r w:rsidR="000123FE" w:rsidRPr="00CB0BAA">
        <w:rPr>
          <w:rFonts w:ascii="Times New Roman" w:hAnsi="Times New Roman" w:cs="Times New Roman"/>
          <w:b w:val="0"/>
          <w:bCs/>
        </w:rPr>
        <w:t xml:space="preserve"> across </w:t>
      </w:r>
      <w:r w:rsidR="002732E1">
        <w:rPr>
          <w:rFonts w:ascii="Times New Roman" w:hAnsi="Times New Roman" w:cs="Times New Roman"/>
          <w:b w:val="0"/>
          <w:bCs/>
        </w:rPr>
        <w:t>a range of</w:t>
      </w:r>
      <w:r w:rsidR="000123FE" w:rsidRPr="00CB0BAA">
        <w:rPr>
          <w:rFonts w:ascii="Times New Roman" w:hAnsi="Times New Roman" w:cs="Times New Roman"/>
          <w:b w:val="0"/>
          <w:bCs/>
        </w:rPr>
        <w:t xml:space="preserve"> social science</w:t>
      </w:r>
      <w:r w:rsidR="002732E1">
        <w:rPr>
          <w:rFonts w:ascii="Times New Roman" w:hAnsi="Times New Roman" w:cs="Times New Roman"/>
          <w:b w:val="0"/>
          <w:bCs/>
        </w:rPr>
        <w:t xml:space="preserve"> fields</w:t>
      </w:r>
      <w:r w:rsidR="000123FE" w:rsidRPr="00CB0BAA">
        <w:rPr>
          <w:rFonts w:ascii="Times New Roman" w:hAnsi="Times New Roman" w:cs="Times New Roman"/>
          <w:b w:val="0"/>
          <w:bCs/>
        </w:rPr>
        <w:t xml:space="preserve">. </w:t>
      </w:r>
      <w:r w:rsidR="00837F95">
        <w:rPr>
          <w:rFonts w:ascii="Times New Roman" w:hAnsi="Times New Roman" w:cs="Times New Roman"/>
          <w:b w:val="0"/>
          <w:bCs/>
        </w:rPr>
        <w:t>I conclude that</w:t>
      </w:r>
      <w:r w:rsidR="00110544" w:rsidRPr="00CB0BAA">
        <w:rPr>
          <w:rFonts w:ascii="Times New Roman" w:hAnsi="Times New Roman" w:cs="Times New Roman"/>
          <w:b w:val="0"/>
          <w:bCs/>
        </w:rPr>
        <w:t xml:space="preserve"> </w:t>
      </w:r>
      <w:r w:rsidR="009F1D2F" w:rsidRPr="00CB0BAA">
        <w:rPr>
          <w:rFonts w:ascii="Times New Roman" w:hAnsi="Times New Roman" w:cs="Times New Roman"/>
          <w:b w:val="0"/>
          <w:bCs/>
        </w:rPr>
        <w:t>ideas of naturalness may reflect different values and worldviews</w:t>
      </w:r>
      <w:r w:rsidR="00CB30D5">
        <w:rPr>
          <w:rFonts w:ascii="Times New Roman" w:hAnsi="Times New Roman" w:cs="Times New Roman"/>
          <w:b w:val="0"/>
          <w:bCs/>
        </w:rPr>
        <w:t>, particular</w:t>
      </w:r>
      <w:r w:rsidR="00345A91">
        <w:rPr>
          <w:rFonts w:ascii="Times New Roman" w:hAnsi="Times New Roman" w:cs="Times New Roman"/>
          <w:b w:val="0"/>
          <w:bCs/>
        </w:rPr>
        <w:t>ly</w:t>
      </w:r>
      <w:r w:rsidR="00CB30D5">
        <w:rPr>
          <w:rFonts w:ascii="Times New Roman" w:hAnsi="Times New Roman" w:cs="Times New Roman"/>
          <w:b w:val="0"/>
          <w:bCs/>
        </w:rPr>
        <w:t xml:space="preserve"> those rooted in </w:t>
      </w:r>
      <w:r w:rsidR="002732E1">
        <w:rPr>
          <w:rFonts w:ascii="Times New Roman" w:hAnsi="Times New Roman" w:cs="Times New Roman"/>
          <w:b w:val="0"/>
          <w:bCs/>
        </w:rPr>
        <w:t>valuing</w:t>
      </w:r>
      <w:r w:rsidR="00CB30D5">
        <w:rPr>
          <w:rFonts w:ascii="Times New Roman" w:hAnsi="Times New Roman" w:cs="Times New Roman"/>
          <w:b w:val="0"/>
          <w:bCs/>
        </w:rPr>
        <w:t xml:space="preserve"> specific human and ecological relationships.</w:t>
      </w:r>
      <w:r w:rsidR="009F1D2F" w:rsidRPr="00CB0BAA">
        <w:rPr>
          <w:rFonts w:ascii="Times New Roman" w:hAnsi="Times New Roman" w:cs="Times New Roman"/>
          <w:b w:val="0"/>
          <w:bCs/>
        </w:rPr>
        <w:t xml:space="preserve"> I propose that future public engagement work </w:t>
      </w:r>
      <w:r w:rsidR="00586D7F" w:rsidRPr="00CB0BAA">
        <w:rPr>
          <w:rFonts w:ascii="Times New Roman" w:hAnsi="Times New Roman" w:cs="Times New Roman"/>
          <w:b w:val="0"/>
          <w:bCs/>
        </w:rPr>
        <w:t>would benefit from utilizing</w:t>
      </w:r>
      <w:r w:rsidR="009F1D2F" w:rsidRPr="00CB0BAA">
        <w:rPr>
          <w:rFonts w:ascii="Times New Roman" w:hAnsi="Times New Roman" w:cs="Times New Roman"/>
          <w:b w:val="0"/>
          <w:bCs/>
        </w:rPr>
        <w:t xml:space="preserve"> </w:t>
      </w:r>
      <w:r w:rsidR="00313867">
        <w:rPr>
          <w:rFonts w:ascii="Times New Roman" w:hAnsi="Times New Roman" w:cs="Times New Roman"/>
          <w:b w:val="0"/>
          <w:bCs/>
        </w:rPr>
        <w:t xml:space="preserve">multiple </w:t>
      </w:r>
      <w:r w:rsidR="000B52DA">
        <w:rPr>
          <w:rFonts w:ascii="Times New Roman" w:hAnsi="Times New Roman" w:cs="Times New Roman"/>
          <w:b w:val="0"/>
          <w:bCs/>
        </w:rPr>
        <w:t xml:space="preserve">such </w:t>
      </w:r>
      <w:r w:rsidR="009F1D2F" w:rsidRPr="00CB0BAA">
        <w:rPr>
          <w:rFonts w:ascii="Times New Roman" w:hAnsi="Times New Roman" w:cs="Times New Roman"/>
          <w:b w:val="0"/>
          <w:bCs/>
        </w:rPr>
        <w:t xml:space="preserve">definitions of naturalness to </w:t>
      </w:r>
      <w:r w:rsidR="002732E1">
        <w:rPr>
          <w:rFonts w:ascii="Times New Roman" w:hAnsi="Times New Roman" w:cs="Times New Roman"/>
          <w:b w:val="0"/>
          <w:bCs/>
        </w:rPr>
        <w:t>identify</w:t>
      </w:r>
      <w:r w:rsidR="009F1D2F" w:rsidRPr="00CB0BAA">
        <w:rPr>
          <w:rFonts w:ascii="Times New Roman" w:hAnsi="Times New Roman" w:cs="Times New Roman"/>
          <w:b w:val="0"/>
          <w:bCs/>
        </w:rPr>
        <w:t xml:space="preserve"> the </w:t>
      </w:r>
      <w:r w:rsidR="002732E1">
        <w:rPr>
          <w:rFonts w:ascii="Times New Roman" w:hAnsi="Times New Roman" w:cs="Times New Roman"/>
          <w:b w:val="0"/>
          <w:bCs/>
        </w:rPr>
        <w:t xml:space="preserve">spectrum of </w:t>
      </w:r>
      <w:r w:rsidR="009F1D2F" w:rsidRPr="00CB0BAA">
        <w:rPr>
          <w:rFonts w:ascii="Times New Roman" w:hAnsi="Times New Roman" w:cs="Times New Roman"/>
          <w:b w:val="0"/>
          <w:bCs/>
        </w:rPr>
        <w:t xml:space="preserve">values underpinning </w:t>
      </w:r>
      <w:r w:rsidR="000669A5">
        <w:rPr>
          <w:rFonts w:ascii="Times New Roman" w:hAnsi="Times New Roman" w:cs="Times New Roman"/>
          <w:b w:val="0"/>
          <w:bCs/>
        </w:rPr>
        <w:t xml:space="preserve">responses to </w:t>
      </w:r>
      <w:r w:rsidR="009F1D2F" w:rsidRPr="00CB0BAA">
        <w:rPr>
          <w:rFonts w:ascii="Times New Roman" w:hAnsi="Times New Roman" w:cs="Times New Roman"/>
          <w:b w:val="0"/>
          <w:bCs/>
        </w:rPr>
        <w:t>novel technologies.</w:t>
      </w:r>
      <w:r w:rsidR="00A305E9" w:rsidRPr="00CB0BAA">
        <w:rPr>
          <w:rFonts w:ascii="Times New Roman" w:hAnsi="Times New Roman" w:cs="Times New Roman"/>
          <w:b w:val="0"/>
          <w:bCs/>
        </w:rPr>
        <w:t xml:space="preserve"> </w:t>
      </w:r>
    </w:p>
    <w:p w14:paraId="32DF90DC" w14:textId="6EF4A006" w:rsidR="00CF24A3" w:rsidRDefault="00C40A67" w:rsidP="00EA1903">
      <w:pPr>
        <w:spacing w:before="240" w:after="240" w:line="480" w:lineRule="auto"/>
        <w:rPr>
          <w:rFonts w:ascii="Times New Roman" w:hAnsi="Times New Roman" w:cs="Times New Roman"/>
          <w:b w:val="0"/>
          <w:bCs/>
        </w:rPr>
      </w:pPr>
      <w:r w:rsidRPr="00CB0BAA">
        <w:rPr>
          <w:rFonts w:ascii="Times New Roman" w:hAnsi="Times New Roman" w:cs="Times New Roman"/>
          <w:b w:val="0"/>
          <w:bCs/>
        </w:rPr>
        <w:t>Chapter 3</w:t>
      </w:r>
      <w:r w:rsidR="00A543EB" w:rsidRPr="00CB0BAA">
        <w:rPr>
          <w:rFonts w:ascii="Times New Roman" w:hAnsi="Times New Roman" w:cs="Times New Roman"/>
          <w:b w:val="0"/>
          <w:bCs/>
        </w:rPr>
        <w:t xml:space="preserve"> (published in </w:t>
      </w:r>
      <w:r w:rsidR="00A543EB" w:rsidRPr="00CB0BAA">
        <w:rPr>
          <w:rFonts w:ascii="Times New Roman" w:hAnsi="Times New Roman" w:cs="Times New Roman"/>
          <w:b w:val="0"/>
          <w:bCs/>
          <w:i/>
          <w:iCs/>
        </w:rPr>
        <w:t>Science and Public Policy</w:t>
      </w:r>
      <w:r w:rsidR="00BD6BDD" w:rsidRPr="00CB0BAA">
        <w:rPr>
          <w:rStyle w:val="FootnoteReference"/>
          <w:rFonts w:ascii="Times New Roman" w:hAnsi="Times New Roman" w:cs="Times New Roman"/>
          <w:b w:val="0"/>
          <w:bCs/>
          <w:i/>
          <w:iCs/>
        </w:rPr>
        <w:footnoteReference w:id="2"/>
      </w:r>
      <w:r w:rsidR="00A543EB" w:rsidRPr="00CB0BAA">
        <w:rPr>
          <w:rFonts w:ascii="Times New Roman" w:hAnsi="Times New Roman" w:cs="Times New Roman"/>
          <w:b w:val="0"/>
          <w:bCs/>
        </w:rPr>
        <w:t>)</w:t>
      </w:r>
      <w:r w:rsidRPr="00CB0BAA">
        <w:rPr>
          <w:rFonts w:ascii="Times New Roman" w:hAnsi="Times New Roman" w:cs="Times New Roman"/>
          <w:b w:val="0"/>
          <w:bCs/>
        </w:rPr>
        <w:t xml:space="preserve"> </w:t>
      </w:r>
      <w:r w:rsidR="002B030F">
        <w:rPr>
          <w:rFonts w:ascii="Times New Roman" w:hAnsi="Times New Roman" w:cs="Times New Roman"/>
          <w:b w:val="0"/>
          <w:bCs/>
        </w:rPr>
        <w:t>reviews</w:t>
      </w:r>
      <w:r w:rsidRPr="00CB0BAA">
        <w:rPr>
          <w:rFonts w:ascii="Times New Roman" w:hAnsi="Times New Roman" w:cs="Times New Roman"/>
          <w:b w:val="0"/>
          <w:bCs/>
        </w:rPr>
        <w:t xml:space="preserve"> </w:t>
      </w:r>
      <w:r w:rsidR="00CD4A17">
        <w:rPr>
          <w:rFonts w:ascii="Times New Roman" w:hAnsi="Times New Roman" w:cs="Times New Roman"/>
          <w:b w:val="0"/>
          <w:bCs/>
        </w:rPr>
        <w:t>the</w:t>
      </w:r>
      <w:r w:rsidRPr="00CB0BAA">
        <w:rPr>
          <w:rFonts w:ascii="Times New Roman" w:hAnsi="Times New Roman" w:cs="Times New Roman"/>
          <w:b w:val="0"/>
          <w:bCs/>
        </w:rPr>
        <w:t xml:space="preserve"> basis by which </w:t>
      </w:r>
      <w:r w:rsidR="001619E3">
        <w:rPr>
          <w:rFonts w:ascii="Times New Roman" w:hAnsi="Times New Roman" w:cs="Times New Roman"/>
          <w:b w:val="0"/>
          <w:bCs/>
        </w:rPr>
        <w:t xml:space="preserve">key </w:t>
      </w:r>
      <w:r w:rsidRPr="00CB0BAA">
        <w:rPr>
          <w:rFonts w:ascii="Times New Roman" w:hAnsi="Times New Roman" w:cs="Times New Roman"/>
          <w:b w:val="0"/>
          <w:bCs/>
        </w:rPr>
        <w:t xml:space="preserve">jurisdictions ‘trigger’ regulation of gene-edited crops. Using a framework from </w:t>
      </w:r>
      <w:r w:rsidR="00AB7168">
        <w:rPr>
          <w:rFonts w:ascii="Times New Roman" w:hAnsi="Times New Roman" w:cs="Times New Roman"/>
          <w:b w:val="0"/>
          <w:bCs/>
        </w:rPr>
        <w:t>r</w:t>
      </w:r>
      <w:r w:rsidRPr="00CB0BAA">
        <w:rPr>
          <w:rFonts w:ascii="Times New Roman" w:hAnsi="Times New Roman" w:cs="Times New Roman"/>
          <w:b w:val="0"/>
          <w:bCs/>
        </w:rPr>
        <w:t xml:space="preserve">esponsible </w:t>
      </w:r>
      <w:r w:rsidR="00AB7168">
        <w:rPr>
          <w:rFonts w:ascii="Times New Roman" w:hAnsi="Times New Roman" w:cs="Times New Roman"/>
          <w:b w:val="0"/>
          <w:bCs/>
        </w:rPr>
        <w:t>r</w:t>
      </w:r>
      <w:r w:rsidRPr="00CB0BAA">
        <w:rPr>
          <w:rFonts w:ascii="Times New Roman" w:hAnsi="Times New Roman" w:cs="Times New Roman"/>
          <w:b w:val="0"/>
          <w:bCs/>
        </w:rPr>
        <w:t xml:space="preserve">esearch and </w:t>
      </w:r>
      <w:r w:rsidR="00AB7168">
        <w:rPr>
          <w:rFonts w:ascii="Times New Roman" w:hAnsi="Times New Roman" w:cs="Times New Roman"/>
          <w:b w:val="0"/>
          <w:bCs/>
        </w:rPr>
        <w:t>i</w:t>
      </w:r>
      <w:r w:rsidRPr="00CB0BAA">
        <w:rPr>
          <w:rFonts w:ascii="Times New Roman" w:hAnsi="Times New Roman" w:cs="Times New Roman"/>
          <w:b w:val="0"/>
          <w:bCs/>
        </w:rPr>
        <w:t xml:space="preserve">nnovation (RRI), I evaluate </w:t>
      </w:r>
      <w:r w:rsidR="00415FA7">
        <w:rPr>
          <w:rFonts w:ascii="Times New Roman" w:hAnsi="Times New Roman" w:cs="Times New Roman"/>
          <w:b w:val="0"/>
          <w:bCs/>
        </w:rPr>
        <w:t>updates to</w:t>
      </w:r>
      <w:r w:rsidR="001619E3">
        <w:rPr>
          <w:rFonts w:ascii="Times New Roman" w:hAnsi="Times New Roman" w:cs="Times New Roman"/>
          <w:b w:val="0"/>
          <w:bCs/>
        </w:rPr>
        <w:t xml:space="preserve"> biosafety regulat</w:t>
      </w:r>
      <w:r w:rsidR="00415FA7">
        <w:rPr>
          <w:rFonts w:ascii="Times New Roman" w:hAnsi="Times New Roman" w:cs="Times New Roman"/>
          <w:b w:val="0"/>
          <w:bCs/>
        </w:rPr>
        <w:t xml:space="preserve">ion </w:t>
      </w:r>
      <w:r w:rsidR="00313867">
        <w:rPr>
          <w:rFonts w:ascii="Times New Roman" w:hAnsi="Times New Roman" w:cs="Times New Roman"/>
          <w:b w:val="0"/>
          <w:bCs/>
        </w:rPr>
        <w:t>underway</w:t>
      </w:r>
      <w:r w:rsidR="000B52DA">
        <w:rPr>
          <w:rFonts w:ascii="Times New Roman" w:hAnsi="Times New Roman" w:cs="Times New Roman"/>
          <w:b w:val="0"/>
          <w:bCs/>
        </w:rPr>
        <w:t xml:space="preserve"> </w:t>
      </w:r>
      <w:r w:rsidR="00415FA7">
        <w:rPr>
          <w:rFonts w:ascii="Times New Roman" w:hAnsi="Times New Roman" w:cs="Times New Roman"/>
          <w:b w:val="0"/>
          <w:bCs/>
        </w:rPr>
        <w:t xml:space="preserve">in </w:t>
      </w:r>
      <w:r w:rsidR="00313867">
        <w:rPr>
          <w:rFonts w:ascii="Times New Roman" w:hAnsi="Times New Roman" w:cs="Times New Roman"/>
          <w:b w:val="0"/>
          <w:bCs/>
        </w:rPr>
        <w:t>response to development</w:t>
      </w:r>
      <w:r w:rsidR="00415FA7">
        <w:rPr>
          <w:rFonts w:ascii="Times New Roman" w:hAnsi="Times New Roman" w:cs="Times New Roman"/>
          <w:b w:val="0"/>
          <w:bCs/>
        </w:rPr>
        <w:t xml:space="preserve"> of gene editing</w:t>
      </w:r>
      <w:r w:rsidRPr="00CB0BAA">
        <w:rPr>
          <w:rFonts w:ascii="Times New Roman" w:hAnsi="Times New Roman" w:cs="Times New Roman"/>
          <w:b w:val="0"/>
          <w:bCs/>
        </w:rPr>
        <w:t>. To my knowledge, this is the first effort to compare regulatory triggers across jurisdictions</w:t>
      </w:r>
      <w:r w:rsidR="000B52DA">
        <w:rPr>
          <w:rFonts w:ascii="Times New Roman" w:hAnsi="Times New Roman" w:cs="Times New Roman"/>
          <w:b w:val="0"/>
          <w:bCs/>
        </w:rPr>
        <w:t xml:space="preserve"> globally</w:t>
      </w:r>
      <w:r w:rsidRPr="00CB0BAA">
        <w:rPr>
          <w:rFonts w:ascii="Times New Roman" w:hAnsi="Times New Roman" w:cs="Times New Roman"/>
          <w:b w:val="0"/>
          <w:bCs/>
        </w:rPr>
        <w:t>.</w:t>
      </w:r>
      <w:r w:rsidR="00A441AC">
        <w:rPr>
          <w:rFonts w:ascii="Times New Roman" w:hAnsi="Times New Roman" w:cs="Times New Roman"/>
          <w:b w:val="0"/>
          <w:bCs/>
        </w:rPr>
        <w:t xml:space="preserve"> </w:t>
      </w:r>
      <w:r w:rsidR="006B0298">
        <w:rPr>
          <w:rFonts w:ascii="Times New Roman" w:hAnsi="Times New Roman" w:cs="Times New Roman"/>
          <w:b w:val="0"/>
          <w:bCs/>
        </w:rPr>
        <w:t>I find</w:t>
      </w:r>
      <w:r w:rsidR="00AB7168">
        <w:rPr>
          <w:rFonts w:ascii="Times New Roman" w:hAnsi="Times New Roman" w:cs="Times New Roman"/>
          <w:b w:val="0"/>
          <w:bCs/>
        </w:rPr>
        <w:t xml:space="preserve"> that </w:t>
      </w:r>
      <w:r w:rsidR="00AB7168" w:rsidRPr="00CB0BAA">
        <w:rPr>
          <w:rFonts w:ascii="Times New Roman" w:hAnsi="Times New Roman" w:cs="Times New Roman"/>
          <w:b w:val="0"/>
          <w:bCs/>
        </w:rPr>
        <w:t xml:space="preserve">most jurisdictions regulate along dichotomous ‘regulated or not’ or ‘natural or not’ </w:t>
      </w:r>
      <w:r w:rsidR="00C44AB2">
        <w:rPr>
          <w:rFonts w:ascii="Times New Roman" w:hAnsi="Times New Roman" w:cs="Times New Roman"/>
          <w:b w:val="0"/>
          <w:bCs/>
        </w:rPr>
        <w:t>distinctions</w:t>
      </w:r>
      <w:r w:rsidR="00AB7168">
        <w:rPr>
          <w:rFonts w:ascii="Times New Roman" w:hAnsi="Times New Roman" w:cs="Times New Roman"/>
          <w:b w:val="0"/>
          <w:bCs/>
        </w:rPr>
        <w:t xml:space="preserve"> that are, I argue, increasingly incompatible with the multiplicity of </w:t>
      </w:r>
      <w:r w:rsidR="00BF39AC">
        <w:rPr>
          <w:rFonts w:ascii="Times New Roman" w:hAnsi="Times New Roman" w:cs="Times New Roman"/>
          <w:b w:val="0"/>
          <w:bCs/>
        </w:rPr>
        <w:t>technical approaches</w:t>
      </w:r>
      <w:r w:rsidR="00AB7168">
        <w:rPr>
          <w:rFonts w:ascii="Times New Roman" w:hAnsi="Times New Roman" w:cs="Times New Roman"/>
          <w:b w:val="0"/>
          <w:bCs/>
        </w:rPr>
        <w:t xml:space="preserve"> </w:t>
      </w:r>
      <w:r w:rsidR="00BF39AC">
        <w:rPr>
          <w:rFonts w:ascii="Times New Roman" w:hAnsi="Times New Roman" w:cs="Times New Roman"/>
          <w:b w:val="0"/>
          <w:bCs/>
        </w:rPr>
        <w:t xml:space="preserve">to </w:t>
      </w:r>
      <w:r w:rsidR="00AB7168">
        <w:rPr>
          <w:rFonts w:ascii="Times New Roman" w:hAnsi="Times New Roman" w:cs="Times New Roman"/>
          <w:b w:val="0"/>
          <w:bCs/>
        </w:rPr>
        <w:t xml:space="preserve">gene editing </w:t>
      </w:r>
      <w:r w:rsidR="006B0298">
        <w:rPr>
          <w:rFonts w:ascii="Times New Roman" w:hAnsi="Times New Roman" w:cs="Times New Roman"/>
          <w:b w:val="0"/>
          <w:bCs/>
        </w:rPr>
        <w:t xml:space="preserve">now </w:t>
      </w:r>
      <w:r w:rsidR="00AB7168">
        <w:rPr>
          <w:rFonts w:ascii="Times New Roman" w:hAnsi="Times New Roman" w:cs="Times New Roman"/>
          <w:b w:val="0"/>
          <w:bCs/>
        </w:rPr>
        <w:t xml:space="preserve">possible. I </w:t>
      </w:r>
      <w:r w:rsidR="00C44AB2">
        <w:rPr>
          <w:rFonts w:ascii="Times New Roman" w:hAnsi="Times New Roman" w:cs="Times New Roman"/>
          <w:b w:val="0"/>
          <w:bCs/>
        </w:rPr>
        <w:t>suggest two ways to align regulations of gene-edited crops</w:t>
      </w:r>
      <w:r w:rsidR="00AB7168">
        <w:rPr>
          <w:rFonts w:ascii="Times New Roman" w:hAnsi="Times New Roman" w:cs="Times New Roman"/>
          <w:b w:val="0"/>
          <w:bCs/>
        </w:rPr>
        <w:t xml:space="preserve"> </w:t>
      </w:r>
      <w:r w:rsidR="000A1489" w:rsidRPr="00CB0BAA">
        <w:rPr>
          <w:rFonts w:ascii="Times New Roman" w:hAnsi="Times New Roman" w:cs="Times New Roman"/>
          <w:b w:val="0"/>
          <w:bCs/>
        </w:rPr>
        <w:t xml:space="preserve">with principles of </w:t>
      </w:r>
      <w:r w:rsidR="00AB7168">
        <w:rPr>
          <w:rFonts w:ascii="Times New Roman" w:hAnsi="Times New Roman" w:cs="Times New Roman"/>
          <w:b w:val="0"/>
          <w:bCs/>
        </w:rPr>
        <w:t>RRI</w:t>
      </w:r>
      <w:r w:rsidR="006B0298">
        <w:rPr>
          <w:rFonts w:ascii="Times New Roman" w:hAnsi="Times New Roman" w:cs="Times New Roman"/>
          <w:b w:val="0"/>
          <w:bCs/>
        </w:rPr>
        <w:t xml:space="preserve">: </w:t>
      </w:r>
      <w:r w:rsidR="00AB7168">
        <w:rPr>
          <w:rFonts w:ascii="Times New Roman" w:hAnsi="Times New Roman" w:cs="Times New Roman"/>
          <w:b w:val="0"/>
          <w:bCs/>
        </w:rPr>
        <w:t>(1) a</w:t>
      </w:r>
      <w:r w:rsidR="000A1489" w:rsidRPr="00CB0BAA">
        <w:rPr>
          <w:rFonts w:ascii="Times New Roman" w:hAnsi="Times New Roman" w:cs="Times New Roman"/>
          <w:b w:val="0"/>
          <w:bCs/>
        </w:rPr>
        <w:t xml:space="preserve"> multi-tiered approach to regulations</w:t>
      </w:r>
      <w:r w:rsidR="00F42126">
        <w:rPr>
          <w:rFonts w:ascii="Times New Roman" w:hAnsi="Times New Roman" w:cs="Times New Roman"/>
          <w:b w:val="0"/>
          <w:bCs/>
        </w:rPr>
        <w:t xml:space="preserve"> that allows for differentiation across techniques</w:t>
      </w:r>
      <w:r w:rsidR="000A1489" w:rsidRPr="00CB0BAA">
        <w:rPr>
          <w:rFonts w:ascii="Times New Roman" w:hAnsi="Times New Roman" w:cs="Times New Roman"/>
          <w:b w:val="0"/>
          <w:bCs/>
        </w:rPr>
        <w:t xml:space="preserve">, and (2) </w:t>
      </w:r>
      <w:r w:rsidR="00F91051">
        <w:rPr>
          <w:rFonts w:ascii="Times New Roman" w:hAnsi="Times New Roman" w:cs="Times New Roman"/>
          <w:b w:val="0"/>
          <w:bCs/>
        </w:rPr>
        <w:t>a shift in</w:t>
      </w:r>
      <w:r w:rsidR="00BC4434">
        <w:rPr>
          <w:rFonts w:ascii="Times New Roman" w:hAnsi="Times New Roman" w:cs="Times New Roman"/>
          <w:b w:val="0"/>
          <w:bCs/>
        </w:rPr>
        <w:t xml:space="preserve"> the </w:t>
      </w:r>
      <w:r w:rsidR="000A1489" w:rsidRPr="00CB0BAA">
        <w:rPr>
          <w:rFonts w:ascii="Times New Roman" w:hAnsi="Times New Roman" w:cs="Times New Roman"/>
          <w:b w:val="0"/>
          <w:bCs/>
        </w:rPr>
        <w:t xml:space="preserve">narrow focus </w:t>
      </w:r>
      <w:r w:rsidR="002732E1">
        <w:rPr>
          <w:rFonts w:ascii="Times New Roman" w:hAnsi="Times New Roman" w:cs="Times New Roman"/>
          <w:b w:val="0"/>
          <w:bCs/>
        </w:rPr>
        <w:t>on</w:t>
      </w:r>
      <w:r w:rsidR="000A1489" w:rsidRPr="00CB0BAA">
        <w:rPr>
          <w:rFonts w:ascii="Times New Roman" w:hAnsi="Times New Roman" w:cs="Times New Roman"/>
          <w:b w:val="0"/>
          <w:bCs/>
        </w:rPr>
        <w:t xml:space="preserve"> technical</w:t>
      </w:r>
      <w:r w:rsidR="00097B63">
        <w:rPr>
          <w:rFonts w:ascii="Times New Roman" w:hAnsi="Times New Roman" w:cs="Times New Roman"/>
          <w:b w:val="0"/>
          <w:bCs/>
        </w:rPr>
        <w:t xml:space="preserve"> </w:t>
      </w:r>
      <w:r w:rsidR="000A1489" w:rsidRPr="00CB0BAA">
        <w:rPr>
          <w:rFonts w:ascii="Times New Roman" w:hAnsi="Times New Roman" w:cs="Times New Roman"/>
          <w:b w:val="0"/>
          <w:bCs/>
        </w:rPr>
        <w:t>specifics</w:t>
      </w:r>
      <w:r w:rsidR="00097B63">
        <w:rPr>
          <w:rFonts w:ascii="Times New Roman" w:hAnsi="Times New Roman" w:cs="Times New Roman"/>
          <w:b w:val="0"/>
          <w:bCs/>
        </w:rPr>
        <w:t xml:space="preserve"> of edits</w:t>
      </w:r>
      <w:r w:rsidR="00C44AB2">
        <w:rPr>
          <w:rFonts w:ascii="Times New Roman" w:hAnsi="Times New Roman" w:cs="Times New Roman"/>
          <w:b w:val="0"/>
          <w:bCs/>
        </w:rPr>
        <w:t xml:space="preserve"> to </w:t>
      </w:r>
      <w:r w:rsidR="00BF39AC">
        <w:rPr>
          <w:rFonts w:ascii="Times New Roman" w:hAnsi="Times New Roman" w:cs="Times New Roman"/>
          <w:b w:val="0"/>
          <w:bCs/>
        </w:rPr>
        <w:t xml:space="preserve">broader </w:t>
      </w:r>
      <w:r w:rsidR="00C44AB2">
        <w:rPr>
          <w:rFonts w:ascii="Times New Roman" w:hAnsi="Times New Roman" w:cs="Times New Roman"/>
          <w:b w:val="0"/>
          <w:bCs/>
        </w:rPr>
        <w:t>consideration</w:t>
      </w:r>
      <w:r w:rsidR="00BC4434">
        <w:rPr>
          <w:rFonts w:ascii="Times New Roman" w:hAnsi="Times New Roman" w:cs="Times New Roman"/>
          <w:b w:val="0"/>
          <w:bCs/>
        </w:rPr>
        <w:t xml:space="preserve"> of </w:t>
      </w:r>
      <w:r w:rsidR="00BC4434" w:rsidRPr="00CB0BAA">
        <w:rPr>
          <w:rFonts w:ascii="Times New Roman" w:hAnsi="Times New Roman" w:cs="Times New Roman"/>
          <w:b w:val="0"/>
          <w:bCs/>
        </w:rPr>
        <w:t xml:space="preserve">social and ecological </w:t>
      </w:r>
      <w:r w:rsidR="0043195C">
        <w:rPr>
          <w:rFonts w:ascii="Times New Roman" w:hAnsi="Times New Roman" w:cs="Times New Roman"/>
          <w:b w:val="0"/>
          <w:bCs/>
        </w:rPr>
        <w:t>outcomes</w:t>
      </w:r>
      <w:r w:rsidR="00BC4434">
        <w:rPr>
          <w:rFonts w:ascii="Times New Roman" w:hAnsi="Times New Roman" w:cs="Times New Roman"/>
          <w:b w:val="0"/>
          <w:bCs/>
        </w:rPr>
        <w:t>.</w:t>
      </w:r>
    </w:p>
    <w:p w14:paraId="074D3A4A" w14:textId="2C6C42AF" w:rsidR="00C40A67" w:rsidRPr="00CB0BAA" w:rsidRDefault="00C40A67" w:rsidP="00EA1903">
      <w:pPr>
        <w:spacing w:before="240" w:after="240" w:line="480" w:lineRule="auto"/>
        <w:rPr>
          <w:rFonts w:ascii="Times New Roman" w:hAnsi="Times New Roman" w:cs="Times New Roman"/>
          <w:b w:val="0"/>
          <w:bCs/>
        </w:rPr>
      </w:pPr>
      <w:r w:rsidRPr="00CB0BAA">
        <w:rPr>
          <w:rFonts w:ascii="Times New Roman" w:hAnsi="Times New Roman" w:cs="Times New Roman"/>
          <w:b w:val="0"/>
          <w:bCs/>
        </w:rPr>
        <w:t xml:space="preserve">Chapter 4 </w:t>
      </w:r>
      <w:r w:rsidR="00CB0BAA">
        <w:rPr>
          <w:rFonts w:ascii="Times New Roman" w:hAnsi="Times New Roman" w:cs="Times New Roman"/>
          <w:b w:val="0"/>
          <w:bCs/>
        </w:rPr>
        <w:t xml:space="preserve">(published in </w:t>
      </w:r>
      <w:r w:rsidR="00CB0BAA">
        <w:rPr>
          <w:rFonts w:ascii="Times New Roman" w:hAnsi="Times New Roman" w:cs="Times New Roman"/>
          <w:b w:val="0"/>
          <w:bCs/>
          <w:i/>
          <w:iCs/>
        </w:rPr>
        <w:t xml:space="preserve">Elementa: Science of the </w:t>
      </w:r>
      <w:r w:rsidR="00CB0BAA" w:rsidRPr="00CB0BAA">
        <w:rPr>
          <w:rFonts w:ascii="Times New Roman" w:hAnsi="Times New Roman" w:cs="Times New Roman"/>
          <w:b w:val="0"/>
          <w:bCs/>
          <w:i/>
          <w:iCs/>
        </w:rPr>
        <w:t>Anthropocene</w:t>
      </w:r>
      <w:r w:rsidR="006F479D">
        <w:rPr>
          <w:rStyle w:val="FootnoteReference"/>
          <w:rFonts w:ascii="Times New Roman" w:hAnsi="Times New Roman" w:cs="Times New Roman"/>
          <w:b w:val="0"/>
          <w:bCs/>
          <w:i/>
          <w:iCs/>
        </w:rPr>
        <w:footnoteReference w:id="3"/>
      </w:r>
      <w:r w:rsidR="00CB0BAA">
        <w:rPr>
          <w:rFonts w:ascii="Times New Roman" w:hAnsi="Times New Roman" w:cs="Times New Roman"/>
          <w:b w:val="0"/>
          <w:bCs/>
        </w:rPr>
        <w:t xml:space="preserve">) </w:t>
      </w:r>
      <w:r w:rsidRPr="00CB0BAA">
        <w:rPr>
          <w:rFonts w:ascii="Times New Roman" w:hAnsi="Times New Roman" w:cs="Times New Roman"/>
          <w:b w:val="0"/>
          <w:bCs/>
        </w:rPr>
        <w:t xml:space="preserve">explores </w:t>
      </w:r>
      <w:r w:rsidR="00043CFC" w:rsidRPr="00CB0BAA">
        <w:rPr>
          <w:rFonts w:ascii="Times New Roman" w:hAnsi="Times New Roman" w:cs="Times New Roman"/>
          <w:b w:val="0"/>
          <w:bCs/>
        </w:rPr>
        <w:t>responses to gene editing in the organic sector of Canada and the United States</w:t>
      </w:r>
      <w:r w:rsidRPr="00CB0BAA">
        <w:rPr>
          <w:rFonts w:ascii="Times New Roman" w:hAnsi="Times New Roman" w:cs="Times New Roman"/>
          <w:b w:val="0"/>
          <w:bCs/>
        </w:rPr>
        <w:t xml:space="preserve">. </w:t>
      </w:r>
      <w:r w:rsidR="00204C56">
        <w:rPr>
          <w:rFonts w:ascii="Times New Roman" w:hAnsi="Times New Roman" w:cs="Times New Roman"/>
          <w:b w:val="0"/>
          <w:bCs/>
        </w:rPr>
        <w:t>Drawing upon</w:t>
      </w:r>
      <w:r w:rsidRPr="00CB0BAA">
        <w:rPr>
          <w:rFonts w:ascii="Times New Roman" w:hAnsi="Times New Roman" w:cs="Times New Roman"/>
          <w:b w:val="0"/>
          <w:bCs/>
        </w:rPr>
        <w:t xml:space="preserve"> </w:t>
      </w:r>
      <w:r w:rsidR="005A3934">
        <w:rPr>
          <w:rFonts w:ascii="Times New Roman" w:hAnsi="Times New Roman" w:cs="Times New Roman"/>
          <w:b w:val="0"/>
          <w:bCs/>
        </w:rPr>
        <w:t xml:space="preserve">19 </w:t>
      </w:r>
      <w:r w:rsidRPr="00CB0BAA">
        <w:rPr>
          <w:rFonts w:ascii="Times New Roman" w:hAnsi="Times New Roman" w:cs="Times New Roman"/>
          <w:b w:val="0"/>
          <w:bCs/>
        </w:rPr>
        <w:t>interviews</w:t>
      </w:r>
      <w:r w:rsidR="005A3934">
        <w:rPr>
          <w:rFonts w:ascii="Times New Roman" w:hAnsi="Times New Roman" w:cs="Times New Roman"/>
          <w:b w:val="0"/>
          <w:bCs/>
        </w:rPr>
        <w:t xml:space="preserve"> and </w:t>
      </w:r>
      <w:r w:rsidR="005A3934">
        <w:rPr>
          <w:rFonts w:ascii="Times New Roman" w:hAnsi="Times New Roman" w:cs="Times New Roman"/>
          <w:b w:val="0"/>
          <w:bCs/>
        </w:rPr>
        <w:lastRenderedPageBreak/>
        <w:t xml:space="preserve">other primary and secondary sources, </w:t>
      </w:r>
      <w:r w:rsidR="00204C56">
        <w:rPr>
          <w:rFonts w:ascii="Times New Roman" w:hAnsi="Times New Roman" w:cs="Times New Roman"/>
          <w:b w:val="0"/>
          <w:bCs/>
        </w:rPr>
        <w:t xml:space="preserve">this chapter applies the concept of ‘boundary work’ in science and technology studies (STS) to </w:t>
      </w:r>
      <w:r w:rsidR="00430828">
        <w:rPr>
          <w:rFonts w:ascii="Times New Roman" w:hAnsi="Times New Roman" w:cs="Times New Roman"/>
          <w:b w:val="0"/>
          <w:bCs/>
        </w:rPr>
        <w:t>trace</w:t>
      </w:r>
      <w:r w:rsidRPr="00CB0BAA">
        <w:rPr>
          <w:rFonts w:ascii="Times New Roman" w:hAnsi="Times New Roman" w:cs="Times New Roman"/>
          <w:b w:val="0"/>
          <w:bCs/>
        </w:rPr>
        <w:t xml:space="preserve"> </w:t>
      </w:r>
      <w:r w:rsidR="00EA6CB5">
        <w:rPr>
          <w:rFonts w:ascii="Times New Roman" w:hAnsi="Times New Roman" w:cs="Times New Roman"/>
          <w:b w:val="0"/>
          <w:bCs/>
        </w:rPr>
        <w:t xml:space="preserve">regulatory </w:t>
      </w:r>
      <w:r w:rsidR="00F81A5C">
        <w:rPr>
          <w:rFonts w:ascii="Times New Roman" w:hAnsi="Times New Roman" w:cs="Times New Roman"/>
          <w:b w:val="0"/>
          <w:bCs/>
        </w:rPr>
        <w:t xml:space="preserve">dilemmas </w:t>
      </w:r>
      <w:r w:rsidR="00BB1698">
        <w:rPr>
          <w:rFonts w:ascii="Times New Roman" w:hAnsi="Times New Roman" w:cs="Times New Roman"/>
          <w:b w:val="0"/>
          <w:bCs/>
        </w:rPr>
        <w:t xml:space="preserve">introduced by </w:t>
      </w:r>
      <w:r w:rsidR="00EA6CB5">
        <w:rPr>
          <w:rFonts w:ascii="Times New Roman" w:hAnsi="Times New Roman" w:cs="Times New Roman"/>
          <w:b w:val="0"/>
          <w:bCs/>
        </w:rPr>
        <w:t>gene editing</w:t>
      </w:r>
      <w:r w:rsidRPr="00CB0BAA">
        <w:rPr>
          <w:rFonts w:ascii="Times New Roman" w:hAnsi="Times New Roman" w:cs="Times New Roman"/>
          <w:b w:val="0"/>
          <w:bCs/>
        </w:rPr>
        <w:t xml:space="preserve">. </w:t>
      </w:r>
      <w:r w:rsidR="00EA6CB5">
        <w:rPr>
          <w:rFonts w:ascii="Times New Roman" w:hAnsi="Times New Roman" w:cs="Times New Roman"/>
          <w:b w:val="0"/>
          <w:bCs/>
        </w:rPr>
        <w:t>T</w:t>
      </w:r>
      <w:r w:rsidRPr="00CB0BAA">
        <w:rPr>
          <w:rFonts w:ascii="Times New Roman" w:hAnsi="Times New Roman" w:cs="Times New Roman"/>
          <w:b w:val="0"/>
          <w:bCs/>
        </w:rPr>
        <w:t xml:space="preserve">his is the first work </w:t>
      </w:r>
      <w:r w:rsidR="00EA6CB5">
        <w:rPr>
          <w:rFonts w:ascii="Times New Roman" w:hAnsi="Times New Roman" w:cs="Times New Roman"/>
          <w:b w:val="0"/>
          <w:bCs/>
        </w:rPr>
        <w:t xml:space="preserve">to </w:t>
      </w:r>
      <w:r w:rsidR="00A34C88">
        <w:rPr>
          <w:rFonts w:ascii="Times New Roman" w:hAnsi="Times New Roman" w:cs="Times New Roman"/>
          <w:b w:val="0"/>
          <w:bCs/>
        </w:rPr>
        <w:t xml:space="preserve">empirically (as opposed to theoretically) </w:t>
      </w:r>
      <w:r w:rsidR="00091874">
        <w:rPr>
          <w:rFonts w:ascii="Times New Roman" w:hAnsi="Times New Roman" w:cs="Times New Roman"/>
          <w:b w:val="0"/>
          <w:bCs/>
        </w:rPr>
        <w:t xml:space="preserve">explore </w:t>
      </w:r>
      <w:r w:rsidR="00A34C88">
        <w:rPr>
          <w:rFonts w:ascii="Times New Roman" w:hAnsi="Times New Roman" w:cs="Times New Roman"/>
          <w:b w:val="0"/>
          <w:bCs/>
        </w:rPr>
        <w:t>the</w:t>
      </w:r>
      <w:r w:rsidR="00EA6CB5">
        <w:rPr>
          <w:rFonts w:ascii="Times New Roman" w:hAnsi="Times New Roman" w:cs="Times New Roman"/>
          <w:b w:val="0"/>
          <w:bCs/>
        </w:rPr>
        <w:t xml:space="preserve"> compatibility</w:t>
      </w:r>
      <w:r w:rsidR="009254D7">
        <w:rPr>
          <w:rFonts w:ascii="Times New Roman" w:hAnsi="Times New Roman" w:cs="Times New Roman"/>
          <w:b w:val="0"/>
          <w:bCs/>
        </w:rPr>
        <w:t xml:space="preserve"> of gene editing and organics</w:t>
      </w:r>
      <w:r w:rsidRPr="00CB0BAA">
        <w:rPr>
          <w:rFonts w:ascii="Times New Roman" w:hAnsi="Times New Roman" w:cs="Times New Roman"/>
          <w:b w:val="0"/>
          <w:bCs/>
        </w:rPr>
        <w:t>.</w:t>
      </w:r>
      <w:r w:rsidR="004B437A">
        <w:rPr>
          <w:rFonts w:ascii="Times New Roman" w:hAnsi="Times New Roman" w:cs="Times New Roman"/>
          <w:b w:val="0"/>
          <w:bCs/>
        </w:rPr>
        <w:t xml:space="preserve"> </w:t>
      </w:r>
      <w:r w:rsidR="00052A84">
        <w:rPr>
          <w:rFonts w:ascii="Times New Roman" w:hAnsi="Times New Roman" w:cs="Times New Roman"/>
          <w:b w:val="0"/>
          <w:bCs/>
        </w:rPr>
        <w:t xml:space="preserve">I find that gene editing has spurred </w:t>
      </w:r>
      <w:r w:rsidR="00BB1698">
        <w:rPr>
          <w:rFonts w:ascii="Times New Roman" w:hAnsi="Times New Roman" w:cs="Times New Roman"/>
          <w:b w:val="0"/>
          <w:bCs/>
        </w:rPr>
        <w:t>an</w:t>
      </w:r>
      <w:r w:rsidR="00052A84">
        <w:rPr>
          <w:rFonts w:ascii="Times New Roman" w:hAnsi="Times New Roman" w:cs="Times New Roman"/>
          <w:b w:val="0"/>
          <w:bCs/>
        </w:rPr>
        <w:t xml:space="preserve"> expansion and revision of regulatory decisions </w:t>
      </w:r>
      <w:r w:rsidR="00BB1698">
        <w:rPr>
          <w:rFonts w:ascii="Times New Roman" w:hAnsi="Times New Roman" w:cs="Times New Roman"/>
          <w:b w:val="0"/>
          <w:bCs/>
        </w:rPr>
        <w:t>regarding allowable</w:t>
      </w:r>
      <w:r w:rsidR="00052A84">
        <w:rPr>
          <w:rFonts w:ascii="Times New Roman" w:hAnsi="Times New Roman" w:cs="Times New Roman"/>
          <w:b w:val="0"/>
          <w:bCs/>
        </w:rPr>
        <w:t xml:space="preserve"> technologies </w:t>
      </w:r>
      <w:r w:rsidR="000B52DA">
        <w:rPr>
          <w:rFonts w:ascii="Times New Roman" w:hAnsi="Times New Roman" w:cs="Times New Roman"/>
          <w:b w:val="0"/>
          <w:bCs/>
        </w:rPr>
        <w:t>under</w:t>
      </w:r>
      <w:r w:rsidR="00052A84">
        <w:rPr>
          <w:rFonts w:ascii="Times New Roman" w:hAnsi="Times New Roman" w:cs="Times New Roman"/>
          <w:b w:val="0"/>
          <w:bCs/>
        </w:rPr>
        <w:t xml:space="preserve"> organic</w:t>
      </w:r>
      <w:r w:rsidR="000B52DA">
        <w:rPr>
          <w:rFonts w:ascii="Times New Roman" w:hAnsi="Times New Roman" w:cs="Times New Roman"/>
          <w:b w:val="0"/>
          <w:bCs/>
        </w:rPr>
        <w:t xml:space="preserve"> standards</w:t>
      </w:r>
      <w:r w:rsidR="00052A84">
        <w:rPr>
          <w:rFonts w:ascii="Times New Roman" w:hAnsi="Times New Roman" w:cs="Times New Roman"/>
          <w:b w:val="0"/>
          <w:bCs/>
        </w:rPr>
        <w:t xml:space="preserve">. Similar to Chapter 3, I find </w:t>
      </w:r>
      <w:r w:rsidR="00BB1698">
        <w:rPr>
          <w:rFonts w:ascii="Times New Roman" w:hAnsi="Times New Roman" w:cs="Times New Roman"/>
          <w:b w:val="0"/>
          <w:bCs/>
        </w:rPr>
        <w:t>a</w:t>
      </w:r>
      <w:r w:rsidR="00052A84">
        <w:rPr>
          <w:rFonts w:ascii="Times New Roman" w:hAnsi="Times New Roman" w:cs="Times New Roman"/>
          <w:b w:val="0"/>
          <w:bCs/>
        </w:rPr>
        <w:t xml:space="preserve"> focus</w:t>
      </w:r>
      <w:r w:rsidR="00BB1698">
        <w:rPr>
          <w:rFonts w:ascii="Times New Roman" w:hAnsi="Times New Roman" w:cs="Times New Roman"/>
          <w:b w:val="0"/>
          <w:bCs/>
        </w:rPr>
        <w:t xml:space="preserve"> on</w:t>
      </w:r>
      <w:r w:rsidR="00052A84">
        <w:rPr>
          <w:rFonts w:ascii="Times New Roman" w:hAnsi="Times New Roman" w:cs="Times New Roman"/>
          <w:b w:val="0"/>
          <w:bCs/>
        </w:rPr>
        <w:t xml:space="preserve"> technical specifics</w:t>
      </w:r>
      <w:r w:rsidR="00BF39AC">
        <w:rPr>
          <w:rFonts w:ascii="Times New Roman" w:hAnsi="Times New Roman" w:cs="Times New Roman"/>
          <w:b w:val="0"/>
          <w:bCs/>
        </w:rPr>
        <w:t xml:space="preserve"> has </w:t>
      </w:r>
      <w:r w:rsidR="00A87EB8">
        <w:rPr>
          <w:rFonts w:ascii="Times New Roman" w:hAnsi="Times New Roman" w:cs="Times New Roman"/>
          <w:b w:val="0"/>
          <w:bCs/>
        </w:rPr>
        <w:t>obscur</w:t>
      </w:r>
      <w:r w:rsidR="00BB1698">
        <w:rPr>
          <w:rFonts w:ascii="Times New Roman" w:hAnsi="Times New Roman" w:cs="Times New Roman"/>
          <w:b w:val="0"/>
          <w:bCs/>
        </w:rPr>
        <w:t>e</w:t>
      </w:r>
      <w:r w:rsidR="00BF39AC">
        <w:rPr>
          <w:rFonts w:ascii="Times New Roman" w:hAnsi="Times New Roman" w:cs="Times New Roman"/>
          <w:b w:val="0"/>
          <w:bCs/>
        </w:rPr>
        <w:t>d</w:t>
      </w:r>
      <w:r w:rsidR="00BB1698">
        <w:rPr>
          <w:rFonts w:ascii="Times New Roman" w:hAnsi="Times New Roman" w:cs="Times New Roman"/>
          <w:b w:val="0"/>
          <w:bCs/>
        </w:rPr>
        <w:t xml:space="preserve"> </w:t>
      </w:r>
      <w:r w:rsidR="00052A84">
        <w:rPr>
          <w:rFonts w:ascii="Times New Roman" w:hAnsi="Times New Roman" w:cs="Times New Roman"/>
          <w:b w:val="0"/>
          <w:bCs/>
        </w:rPr>
        <w:t xml:space="preserve">more value-based conversations and </w:t>
      </w:r>
      <w:r w:rsidR="00A34C88">
        <w:rPr>
          <w:rFonts w:ascii="Times New Roman" w:hAnsi="Times New Roman" w:cs="Times New Roman"/>
          <w:b w:val="0"/>
          <w:bCs/>
        </w:rPr>
        <w:t xml:space="preserve">also </w:t>
      </w:r>
      <w:r w:rsidR="00052A84">
        <w:rPr>
          <w:rFonts w:ascii="Times New Roman" w:hAnsi="Times New Roman" w:cs="Times New Roman"/>
          <w:b w:val="0"/>
          <w:bCs/>
        </w:rPr>
        <w:t>narrow</w:t>
      </w:r>
      <w:r w:rsidR="00BF39AC">
        <w:rPr>
          <w:rFonts w:ascii="Times New Roman" w:hAnsi="Times New Roman" w:cs="Times New Roman"/>
          <w:b w:val="0"/>
          <w:bCs/>
        </w:rPr>
        <w:t>ed</w:t>
      </w:r>
      <w:r w:rsidR="00052A84">
        <w:rPr>
          <w:rFonts w:ascii="Times New Roman" w:hAnsi="Times New Roman" w:cs="Times New Roman"/>
          <w:b w:val="0"/>
          <w:bCs/>
        </w:rPr>
        <w:t xml:space="preserve"> </w:t>
      </w:r>
      <w:r w:rsidR="00A34C88">
        <w:rPr>
          <w:rFonts w:ascii="Times New Roman" w:hAnsi="Times New Roman" w:cs="Times New Roman"/>
          <w:b w:val="0"/>
          <w:bCs/>
        </w:rPr>
        <w:t>which</w:t>
      </w:r>
      <w:r w:rsidR="00052A84">
        <w:rPr>
          <w:rFonts w:ascii="Times New Roman" w:hAnsi="Times New Roman" w:cs="Times New Roman"/>
          <w:b w:val="0"/>
          <w:bCs/>
        </w:rPr>
        <w:t xml:space="preserve"> actors can participate in decision</w:t>
      </w:r>
      <w:r w:rsidR="006E571A">
        <w:rPr>
          <w:rFonts w:ascii="Times New Roman" w:hAnsi="Times New Roman" w:cs="Times New Roman"/>
          <w:b w:val="0"/>
          <w:bCs/>
        </w:rPr>
        <w:t>-</w:t>
      </w:r>
      <w:r w:rsidR="00052A84">
        <w:rPr>
          <w:rFonts w:ascii="Times New Roman" w:hAnsi="Times New Roman" w:cs="Times New Roman"/>
          <w:b w:val="0"/>
          <w:bCs/>
        </w:rPr>
        <w:t>making processes</w:t>
      </w:r>
      <w:r w:rsidR="00A87EB8">
        <w:rPr>
          <w:rFonts w:ascii="Times New Roman" w:hAnsi="Times New Roman" w:cs="Times New Roman"/>
          <w:b w:val="0"/>
          <w:bCs/>
        </w:rPr>
        <w:t>.</w:t>
      </w:r>
      <w:r w:rsidR="00997282">
        <w:rPr>
          <w:rFonts w:ascii="Times New Roman" w:hAnsi="Times New Roman" w:cs="Times New Roman"/>
          <w:b w:val="0"/>
          <w:bCs/>
        </w:rPr>
        <w:t xml:space="preserve"> I also find that </w:t>
      </w:r>
      <w:r w:rsidR="00BB1698">
        <w:rPr>
          <w:rFonts w:ascii="Times New Roman" w:hAnsi="Times New Roman" w:cs="Times New Roman"/>
          <w:b w:val="0"/>
          <w:bCs/>
        </w:rPr>
        <w:t xml:space="preserve">both </w:t>
      </w:r>
      <w:r w:rsidR="00997282">
        <w:rPr>
          <w:rFonts w:ascii="Times New Roman" w:hAnsi="Times New Roman" w:cs="Times New Roman"/>
          <w:b w:val="0"/>
          <w:bCs/>
        </w:rPr>
        <w:t xml:space="preserve">organic regulations </w:t>
      </w:r>
      <w:r w:rsidR="00BB1698">
        <w:rPr>
          <w:rFonts w:ascii="Times New Roman" w:hAnsi="Times New Roman" w:cs="Times New Roman"/>
          <w:b w:val="0"/>
          <w:bCs/>
        </w:rPr>
        <w:t>and</w:t>
      </w:r>
      <w:r w:rsidR="00BB264C">
        <w:rPr>
          <w:rFonts w:ascii="Times New Roman" w:hAnsi="Times New Roman" w:cs="Times New Roman"/>
          <w:b w:val="0"/>
          <w:bCs/>
        </w:rPr>
        <w:t xml:space="preserve"> </w:t>
      </w:r>
      <w:r w:rsidR="00BF39AC">
        <w:rPr>
          <w:rFonts w:ascii="Times New Roman" w:hAnsi="Times New Roman" w:cs="Times New Roman"/>
          <w:b w:val="0"/>
          <w:bCs/>
        </w:rPr>
        <w:t>interviewees</w:t>
      </w:r>
      <w:r w:rsidR="00BB264C">
        <w:rPr>
          <w:rFonts w:ascii="Times New Roman" w:hAnsi="Times New Roman" w:cs="Times New Roman"/>
          <w:b w:val="0"/>
          <w:bCs/>
        </w:rPr>
        <w:t xml:space="preserve"> </w:t>
      </w:r>
      <w:r w:rsidR="00BB1698">
        <w:rPr>
          <w:rFonts w:ascii="Times New Roman" w:hAnsi="Times New Roman" w:cs="Times New Roman"/>
          <w:b w:val="0"/>
          <w:bCs/>
        </w:rPr>
        <w:t>cited</w:t>
      </w:r>
      <w:r w:rsidR="00BB264C">
        <w:rPr>
          <w:rFonts w:ascii="Times New Roman" w:hAnsi="Times New Roman" w:cs="Times New Roman"/>
          <w:b w:val="0"/>
          <w:bCs/>
        </w:rPr>
        <w:t xml:space="preserve"> a diversity of understandings of what ‘natural’ might mean and how valuable ‘natural’ approaches should be for the sector</w:t>
      </w:r>
      <w:r w:rsidR="00BB1698">
        <w:rPr>
          <w:rFonts w:ascii="Times New Roman" w:hAnsi="Times New Roman" w:cs="Times New Roman"/>
          <w:b w:val="0"/>
          <w:bCs/>
        </w:rPr>
        <w:t>—s</w:t>
      </w:r>
      <w:r w:rsidR="009B177F">
        <w:rPr>
          <w:rFonts w:ascii="Times New Roman" w:hAnsi="Times New Roman" w:cs="Times New Roman"/>
          <w:b w:val="0"/>
          <w:bCs/>
        </w:rPr>
        <w:t xml:space="preserve">ignaling the need for greater </w:t>
      </w:r>
      <w:r w:rsidR="006D5B07">
        <w:rPr>
          <w:rFonts w:ascii="Times New Roman" w:hAnsi="Times New Roman" w:cs="Times New Roman"/>
          <w:b w:val="0"/>
          <w:bCs/>
        </w:rPr>
        <w:t>discussion and clarity on the role</w:t>
      </w:r>
      <w:r w:rsidR="00BF39AC">
        <w:rPr>
          <w:rFonts w:ascii="Times New Roman" w:hAnsi="Times New Roman" w:cs="Times New Roman"/>
          <w:b w:val="0"/>
          <w:bCs/>
        </w:rPr>
        <w:t xml:space="preserve"> of</w:t>
      </w:r>
      <w:r w:rsidR="006D5B07">
        <w:rPr>
          <w:rFonts w:ascii="Times New Roman" w:hAnsi="Times New Roman" w:cs="Times New Roman"/>
          <w:b w:val="0"/>
          <w:bCs/>
        </w:rPr>
        <w:t xml:space="preserve"> </w:t>
      </w:r>
      <w:r w:rsidR="009B177F">
        <w:rPr>
          <w:rFonts w:ascii="Times New Roman" w:hAnsi="Times New Roman" w:cs="Times New Roman"/>
          <w:b w:val="0"/>
          <w:bCs/>
        </w:rPr>
        <w:t>technologically based breeding methods in organic agriculture.</w:t>
      </w:r>
    </w:p>
    <w:p w14:paraId="35F9CC9F" w14:textId="39FCAE5B" w:rsidR="009B4C93" w:rsidRPr="00CB0BAA" w:rsidRDefault="00C40A67" w:rsidP="00EA1903">
      <w:pPr>
        <w:spacing w:before="240" w:after="240" w:line="480" w:lineRule="auto"/>
        <w:rPr>
          <w:rFonts w:ascii="Times New Roman" w:hAnsi="Times New Roman" w:cs="Times New Roman"/>
          <w:b w:val="0"/>
          <w:bCs/>
        </w:rPr>
      </w:pPr>
      <w:r w:rsidRPr="00CB0BAA">
        <w:rPr>
          <w:rFonts w:ascii="Times New Roman" w:hAnsi="Times New Roman" w:cs="Times New Roman"/>
          <w:b w:val="0"/>
          <w:bCs/>
        </w:rPr>
        <w:t>Chapter 5</w:t>
      </w:r>
      <w:r w:rsidR="006F479D">
        <w:rPr>
          <w:rFonts w:ascii="Times New Roman" w:hAnsi="Times New Roman" w:cs="Times New Roman"/>
          <w:b w:val="0"/>
          <w:bCs/>
        </w:rPr>
        <w:t xml:space="preserve"> (published in </w:t>
      </w:r>
      <w:r w:rsidR="006F479D">
        <w:rPr>
          <w:rFonts w:ascii="Times New Roman" w:hAnsi="Times New Roman" w:cs="Times New Roman"/>
          <w:b w:val="0"/>
          <w:bCs/>
          <w:i/>
          <w:iCs/>
        </w:rPr>
        <w:t>Global Environmental Change</w:t>
      </w:r>
      <w:r w:rsidR="006F479D">
        <w:rPr>
          <w:rStyle w:val="FootnoteReference"/>
          <w:rFonts w:ascii="Times New Roman" w:hAnsi="Times New Roman" w:cs="Times New Roman"/>
          <w:b w:val="0"/>
          <w:bCs/>
          <w:i/>
          <w:iCs/>
        </w:rPr>
        <w:footnoteReference w:id="4"/>
      </w:r>
      <w:r w:rsidR="006F479D">
        <w:rPr>
          <w:rFonts w:ascii="Times New Roman" w:hAnsi="Times New Roman" w:cs="Times New Roman"/>
          <w:b w:val="0"/>
          <w:bCs/>
        </w:rPr>
        <w:t>)</w:t>
      </w:r>
      <w:r w:rsidRPr="00CB0BAA">
        <w:rPr>
          <w:rFonts w:ascii="Times New Roman" w:hAnsi="Times New Roman" w:cs="Times New Roman"/>
          <w:b w:val="0"/>
          <w:bCs/>
        </w:rPr>
        <w:t xml:space="preserve"> explore</w:t>
      </w:r>
      <w:r w:rsidR="00430551">
        <w:rPr>
          <w:rFonts w:ascii="Times New Roman" w:hAnsi="Times New Roman" w:cs="Times New Roman"/>
          <w:b w:val="0"/>
          <w:bCs/>
        </w:rPr>
        <w:t>s</w:t>
      </w:r>
      <w:r w:rsidRPr="00CB0BAA">
        <w:rPr>
          <w:rFonts w:ascii="Times New Roman" w:hAnsi="Times New Roman" w:cs="Times New Roman"/>
          <w:b w:val="0"/>
          <w:bCs/>
        </w:rPr>
        <w:t xml:space="preserve"> </w:t>
      </w:r>
      <w:r w:rsidR="006E571A">
        <w:rPr>
          <w:rFonts w:ascii="Times New Roman" w:hAnsi="Times New Roman" w:cs="Times New Roman"/>
          <w:b w:val="0"/>
          <w:bCs/>
        </w:rPr>
        <w:t>the</w:t>
      </w:r>
      <w:r w:rsidRPr="00CB0BAA">
        <w:rPr>
          <w:rFonts w:ascii="Times New Roman" w:hAnsi="Times New Roman" w:cs="Times New Roman"/>
          <w:b w:val="0"/>
          <w:bCs/>
        </w:rPr>
        <w:t xml:space="preserve"> governance </w:t>
      </w:r>
      <w:r w:rsidR="0069547C">
        <w:rPr>
          <w:rFonts w:ascii="Times New Roman" w:hAnsi="Times New Roman" w:cs="Times New Roman"/>
          <w:b w:val="0"/>
          <w:bCs/>
        </w:rPr>
        <w:t>of</w:t>
      </w:r>
      <w:r w:rsidRPr="00CB0BAA">
        <w:rPr>
          <w:rFonts w:ascii="Times New Roman" w:hAnsi="Times New Roman" w:cs="Times New Roman"/>
          <w:b w:val="0"/>
          <w:bCs/>
        </w:rPr>
        <w:t xml:space="preserve"> genomic data and information</w:t>
      </w:r>
      <w:r w:rsidR="006E571A">
        <w:rPr>
          <w:rFonts w:ascii="Times New Roman" w:hAnsi="Times New Roman" w:cs="Times New Roman"/>
          <w:b w:val="0"/>
          <w:bCs/>
        </w:rPr>
        <w:t xml:space="preserve">, which are </w:t>
      </w:r>
      <w:r w:rsidR="00DE56BD">
        <w:rPr>
          <w:rFonts w:ascii="Times New Roman" w:hAnsi="Times New Roman" w:cs="Times New Roman"/>
          <w:b w:val="0"/>
          <w:bCs/>
        </w:rPr>
        <w:t>key input</w:t>
      </w:r>
      <w:r w:rsidR="006E571A">
        <w:rPr>
          <w:rFonts w:ascii="Times New Roman" w:hAnsi="Times New Roman" w:cs="Times New Roman"/>
          <w:b w:val="0"/>
          <w:bCs/>
        </w:rPr>
        <w:t>s</w:t>
      </w:r>
      <w:r w:rsidR="00DE56BD">
        <w:rPr>
          <w:rFonts w:ascii="Times New Roman" w:hAnsi="Times New Roman" w:cs="Times New Roman"/>
          <w:b w:val="0"/>
          <w:bCs/>
        </w:rPr>
        <w:t xml:space="preserve"> to </w:t>
      </w:r>
      <w:r w:rsidR="00836423">
        <w:rPr>
          <w:rFonts w:ascii="Times New Roman" w:hAnsi="Times New Roman" w:cs="Times New Roman"/>
          <w:b w:val="0"/>
          <w:bCs/>
        </w:rPr>
        <w:t>the application of</w:t>
      </w:r>
      <w:r w:rsidR="00BF39AC">
        <w:rPr>
          <w:rFonts w:ascii="Times New Roman" w:hAnsi="Times New Roman" w:cs="Times New Roman"/>
          <w:b w:val="0"/>
          <w:bCs/>
        </w:rPr>
        <w:t xml:space="preserve"> </w:t>
      </w:r>
      <w:r w:rsidR="00DE56BD">
        <w:rPr>
          <w:rFonts w:ascii="Times New Roman" w:hAnsi="Times New Roman" w:cs="Times New Roman"/>
          <w:b w:val="0"/>
          <w:bCs/>
        </w:rPr>
        <w:t>gene editing</w:t>
      </w:r>
      <w:r w:rsidR="00836423">
        <w:rPr>
          <w:rFonts w:ascii="Times New Roman" w:hAnsi="Times New Roman" w:cs="Times New Roman"/>
          <w:b w:val="0"/>
          <w:bCs/>
        </w:rPr>
        <w:t xml:space="preserve"> techniques</w:t>
      </w:r>
      <w:r w:rsidRPr="00CB0BAA">
        <w:rPr>
          <w:rFonts w:ascii="Times New Roman" w:hAnsi="Times New Roman" w:cs="Times New Roman"/>
          <w:b w:val="0"/>
          <w:bCs/>
        </w:rPr>
        <w:t xml:space="preserve">. Utilizing analysis of 139 documents from formal proceedings of two international fora, I follow contentious debates </w:t>
      </w:r>
      <w:r w:rsidR="00DE56BD">
        <w:rPr>
          <w:rFonts w:ascii="Times New Roman" w:hAnsi="Times New Roman" w:cs="Times New Roman"/>
          <w:b w:val="0"/>
          <w:bCs/>
        </w:rPr>
        <w:t>on</w:t>
      </w:r>
      <w:r w:rsidRPr="00CB0BAA">
        <w:rPr>
          <w:rFonts w:ascii="Times New Roman" w:hAnsi="Times New Roman" w:cs="Times New Roman"/>
          <w:b w:val="0"/>
          <w:bCs/>
        </w:rPr>
        <w:t xml:space="preserve"> whether access and benefit sharing </w:t>
      </w:r>
      <w:r w:rsidR="00523B00">
        <w:rPr>
          <w:rFonts w:ascii="Times New Roman" w:hAnsi="Times New Roman" w:cs="Times New Roman"/>
          <w:b w:val="0"/>
          <w:bCs/>
        </w:rPr>
        <w:t xml:space="preserve">(ABS) </w:t>
      </w:r>
      <w:r w:rsidRPr="00CB0BAA">
        <w:rPr>
          <w:rFonts w:ascii="Times New Roman" w:hAnsi="Times New Roman" w:cs="Times New Roman"/>
          <w:b w:val="0"/>
          <w:bCs/>
        </w:rPr>
        <w:t xml:space="preserve">agreements should apply not just to physical resources, but also to </w:t>
      </w:r>
      <w:r w:rsidR="000F1EEA">
        <w:rPr>
          <w:rFonts w:ascii="Times New Roman" w:hAnsi="Times New Roman" w:cs="Times New Roman"/>
          <w:b w:val="0"/>
          <w:bCs/>
        </w:rPr>
        <w:t>related</w:t>
      </w:r>
      <w:r w:rsidRPr="00CB0BAA">
        <w:rPr>
          <w:rFonts w:ascii="Times New Roman" w:hAnsi="Times New Roman" w:cs="Times New Roman"/>
          <w:b w:val="0"/>
          <w:bCs/>
        </w:rPr>
        <w:t xml:space="preserve"> genomic data and information. I draw upon theories of ‘valuation’ and ‘</w:t>
      </w:r>
      <w:proofErr w:type="spellStart"/>
      <w:r w:rsidR="00836423">
        <w:rPr>
          <w:rFonts w:ascii="Times New Roman" w:hAnsi="Times New Roman" w:cs="Times New Roman"/>
          <w:b w:val="0"/>
          <w:bCs/>
        </w:rPr>
        <w:t>assetization</w:t>
      </w:r>
      <w:proofErr w:type="spellEnd"/>
      <w:r w:rsidR="00836423">
        <w:rPr>
          <w:rFonts w:ascii="Times New Roman" w:hAnsi="Times New Roman" w:cs="Times New Roman"/>
          <w:b w:val="0"/>
          <w:bCs/>
        </w:rPr>
        <w:t>’</w:t>
      </w:r>
      <w:r w:rsidRPr="00CB0BAA">
        <w:rPr>
          <w:rFonts w:ascii="Times New Roman" w:hAnsi="Times New Roman" w:cs="Times New Roman"/>
          <w:b w:val="0"/>
          <w:bCs/>
        </w:rPr>
        <w:t xml:space="preserve"> from </w:t>
      </w:r>
      <w:r w:rsidR="00DF7AE7">
        <w:rPr>
          <w:rFonts w:ascii="Times New Roman" w:hAnsi="Times New Roman" w:cs="Times New Roman"/>
          <w:b w:val="0"/>
          <w:bCs/>
        </w:rPr>
        <w:t>STS</w:t>
      </w:r>
      <w:r w:rsidRPr="00CB0BAA">
        <w:rPr>
          <w:rFonts w:ascii="Times New Roman" w:hAnsi="Times New Roman" w:cs="Times New Roman"/>
          <w:b w:val="0"/>
          <w:bCs/>
        </w:rPr>
        <w:t xml:space="preserve"> to highlight differences in conceptualizations of genetic resources </w:t>
      </w:r>
      <w:r w:rsidR="000F1EEA">
        <w:rPr>
          <w:rFonts w:ascii="Times New Roman" w:hAnsi="Times New Roman" w:cs="Times New Roman"/>
          <w:b w:val="0"/>
          <w:bCs/>
        </w:rPr>
        <w:t>in the debate</w:t>
      </w:r>
      <w:r w:rsidRPr="00CB0BAA">
        <w:rPr>
          <w:rFonts w:ascii="Times New Roman" w:hAnsi="Times New Roman" w:cs="Times New Roman"/>
          <w:b w:val="0"/>
          <w:bCs/>
        </w:rPr>
        <w:t>.</w:t>
      </w:r>
      <w:r w:rsidR="003E18B8">
        <w:rPr>
          <w:rFonts w:ascii="Times New Roman" w:hAnsi="Times New Roman" w:cs="Times New Roman"/>
          <w:b w:val="0"/>
          <w:bCs/>
        </w:rPr>
        <w:t xml:space="preserve"> </w:t>
      </w:r>
      <w:r w:rsidRPr="00CB0BAA">
        <w:rPr>
          <w:rFonts w:ascii="Times New Roman" w:hAnsi="Times New Roman" w:cs="Times New Roman"/>
          <w:b w:val="0"/>
          <w:bCs/>
        </w:rPr>
        <w:t xml:space="preserve">While </w:t>
      </w:r>
      <w:r w:rsidR="00731C59">
        <w:rPr>
          <w:rFonts w:ascii="Times New Roman" w:hAnsi="Times New Roman" w:cs="Times New Roman"/>
          <w:b w:val="0"/>
          <w:bCs/>
        </w:rPr>
        <w:t xml:space="preserve">these </w:t>
      </w:r>
      <w:r w:rsidR="00905E06">
        <w:rPr>
          <w:rFonts w:ascii="Times New Roman" w:hAnsi="Times New Roman" w:cs="Times New Roman"/>
          <w:b w:val="0"/>
          <w:bCs/>
        </w:rPr>
        <w:t>debates have</w:t>
      </w:r>
      <w:r w:rsidR="00393B57">
        <w:rPr>
          <w:rFonts w:ascii="Times New Roman" w:hAnsi="Times New Roman" w:cs="Times New Roman"/>
          <w:b w:val="0"/>
          <w:bCs/>
        </w:rPr>
        <w:t xml:space="preserve"> received substantial scholarly and policy engagement,</w:t>
      </w:r>
      <w:r w:rsidRPr="00CB0BAA">
        <w:rPr>
          <w:rFonts w:ascii="Times New Roman" w:hAnsi="Times New Roman" w:cs="Times New Roman"/>
          <w:b w:val="0"/>
          <w:bCs/>
        </w:rPr>
        <w:t xml:space="preserve"> this is the only work </w:t>
      </w:r>
      <w:r w:rsidR="00961DB5">
        <w:rPr>
          <w:rFonts w:ascii="Times New Roman" w:hAnsi="Times New Roman" w:cs="Times New Roman"/>
          <w:b w:val="0"/>
          <w:bCs/>
        </w:rPr>
        <w:t>that examines</w:t>
      </w:r>
      <w:r w:rsidRPr="00CB0BAA">
        <w:rPr>
          <w:rFonts w:ascii="Times New Roman" w:hAnsi="Times New Roman" w:cs="Times New Roman"/>
          <w:b w:val="0"/>
          <w:bCs/>
        </w:rPr>
        <w:t xml:space="preserve"> </w:t>
      </w:r>
      <w:r w:rsidR="00D4623F">
        <w:rPr>
          <w:rFonts w:ascii="Times New Roman" w:hAnsi="Times New Roman" w:cs="Times New Roman"/>
          <w:b w:val="0"/>
          <w:bCs/>
        </w:rPr>
        <w:t>the</w:t>
      </w:r>
      <w:r w:rsidR="0054336A">
        <w:rPr>
          <w:rFonts w:ascii="Times New Roman" w:hAnsi="Times New Roman" w:cs="Times New Roman"/>
          <w:b w:val="0"/>
          <w:bCs/>
        </w:rPr>
        <w:t xml:space="preserve"> underpinning</w:t>
      </w:r>
      <w:r w:rsidR="001C7747">
        <w:rPr>
          <w:rFonts w:ascii="Times New Roman" w:hAnsi="Times New Roman" w:cs="Times New Roman"/>
          <w:b w:val="0"/>
          <w:bCs/>
        </w:rPr>
        <w:t xml:space="preserve"> </w:t>
      </w:r>
      <w:r w:rsidR="00C90265">
        <w:rPr>
          <w:rFonts w:ascii="Times New Roman" w:hAnsi="Times New Roman" w:cs="Times New Roman"/>
          <w:b w:val="0"/>
          <w:bCs/>
        </w:rPr>
        <w:t>conceptualizations</w:t>
      </w:r>
      <w:r w:rsidRPr="00CB0BAA">
        <w:rPr>
          <w:rFonts w:ascii="Times New Roman" w:hAnsi="Times New Roman" w:cs="Times New Roman"/>
          <w:b w:val="0"/>
          <w:bCs/>
        </w:rPr>
        <w:t xml:space="preserve"> of genetic resources.</w:t>
      </w:r>
      <w:r w:rsidR="004F437C">
        <w:rPr>
          <w:rFonts w:ascii="Times New Roman" w:hAnsi="Times New Roman" w:cs="Times New Roman"/>
          <w:b w:val="0"/>
          <w:bCs/>
        </w:rPr>
        <w:t xml:space="preserve"> </w:t>
      </w:r>
      <w:r w:rsidR="001C7747">
        <w:rPr>
          <w:rFonts w:ascii="Times New Roman" w:hAnsi="Times New Roman" w:cs="Times New Roman"/>
          <w:b w:val="0"/>
          <w:bCs/>
        </w:rPr>
        <w:t>I find</w:t>
      </w:r>
      <w:r w:rsidR="003E18B8" w:rsidRPr="00CB0BAA">
        <w:rPr>
          <w:rFonts w:ascii="Times New Roman" w:hAnsi="Times New Roman" w:cs="Times New Roman"/>
          <w:b w:val="0"/>
          <w:bCs/>
        </w:rPr>
        <w:t xml:space="preserve"> that questions of value—when it is added, how it gets added</w:t>
      </w:r>
      <w:r w:rsidR="008B2EA8">
        <w:rPr>
          <w:rFonts w:ascii="Times New Roman" w:hAnsi="Times New Roman" w:cs="Times New Roman"/>
          <w:b w:val="0"/>
          <w:bCs/>
        </w:rPr>
        <w:t xml:space="preserve"> and where exactly it lies</w:t>
      </w:r>
      <w:r w:rsidR="003E18B8" w:rsidRPr="00CB0BAA">
        <w:rPr>
          <w:rFonts w:ascii="Times New Roman" w:hAnsi="Times New Roman" w:cs="Times New Roman"/>
          <w:b w:val="0"/>
          <w:bCs/>
        </w:rPr>
        <w:t>—</w:t>
      </w:r>
      <w:r w:rsidR="005E068A">
        <w:rPr>
          <w:rFonts w:ascii="Times New Roman" w:hAnsi="Times New Roman" w:cs="Times New Roman"/>
          <w:b w:val="0"/>
          <w:bCs/>
        </w:rPr>
        <w:t>differentiated</w:t>
      </w:r>
      <w:r w:rsidR="00EC552F">
        <w:rPr>
          <w:rFonts w:ascii="Times New Roman" w:hAnsi="Times New Roman" w:cs="Times New Roman"/>
          <w:b w:val="0"/>
          <w:bCs/>
        </w:rPr>
        <w:t xml:space="preserve"> views</w:t>
      </w:r>
      <w:r w:rsidR="003E18B8" w:rsidRPr="00CB0BAA">
        <w:rPr>
          <w:rFonts w:ascii="Times New Roman" w:hAnsi="Times New Roman" w:cs="Times New Roman"/>
          <w:b w:val="0"/>
          <w:bCs/>
        </w:rPr>
        <w:t xml:space="preserve">. </w:t>
      </w:r>
      <w:r w:rsidR="004046BB">
        <w:rPr>
          <w:rFonts w:ascii="Times New Roman" w:hAnsi="Times New Roman" w:cs="Times New Roman"/>
          <w:b w:val="0"/>
          <w:bCs/>
        </w:rPr>
        <w:t>Those</w:t>
      </w:r>
      <w:r w:rsidR="003E18B8" w:rsidRPr="00CB0BAA">
        <w:rPr>
          <w:rFonts w:ascii="Times New Roman" w:hAnsi="Times New Roman" w:cs="Times New Roman"/>
          <w:b w:val="0"/>
          <w:bCs/>
        </w:rPr>
        <w:t xml:space="preserve"> </w:t>
      </w:r>
      <w:r w:rsidR="00B849EC">
        <w:rPr>
          <w:rFonts w:ascii="Times New Roman" w:hAnsi="Times New Roman" w:cs="Times New Roman"/>
          <w:b w:val="0"/>
          <w:bCs/>
        </w:rPr>
        <w:t>actors that</w:t>
      </w:r>
      <w:r w:rsidR="003E18B8" w:rsidRPr="00CB0BAA">
        <w:rPr>
          <w:rFonts w:ascii="Times New Roman" w:hAnsi="Times New Roman" w:cs="Times New Roman"/>
          <w:b w:val="0"/>
          <w:bCs/>
        </w:rPr>
        <w:t xml:space="preserve"> view</w:t>
      </w:r>
      <w:r w:rsidR="00B849EC">
        <w:rPr>
          <w:rFonts w:ascii="Times New Roman" w:hAnsi="Times New Roman" w:cs="Times New Roman"/>
          <w:b w:val="0"/>
          <w:bCs/>
        </w:rPr>
        <w:t>ed</w:t>
      </w:r>
      <w:r w:rsidR="003E18B8" w:rsidRPr="00CB0BAA">
        <w:rPr>
          <w:rFonts w:ascii="Times New Roman" w:hAnsi="Times New Roman" w:cs="Times New Roman"/>
          <w:b w:val="0"/>
          <w:bCs/>
        </w:rPr>
        <w:t xml:space="preserve"> the value of genetic resources as </w:t>
      </w:r>
      <w:r w:rsidR="003E18B8" w:rsidRPr="00CB0BAA">
        <w:rPr>
          <w:rFonts w:ascii="Times New Roman" w:hAnsi="Times New Roman" w:cs="Times New Roman"/>
          <w:b w:val="0"/>
          <w:bCs/>
        </w:rPr>
        <w:lastRenderedPageBreak/>
        <w:t>produced via historical stewardship tend</w:t>
      </w:r>
      <w:r w:rsidR="00D059FC">
        <w:rPr>
          <w:rFonts w:ascii="Times New Roman" w:hAnsi="Times New Roman" w:cs="Times New Roman"/>
          <w:b w:val="0"/>
          <w:bCs/>
        </w:rPr>
        <w:t>ed</w:t>
      </w:r>
      <w:r w:rsidR="003E18B8" w:rsidRPr="00CB0BAA">
        <w:rPr>
          <w:rFonts w:ascii="Times New Roman" w:hAnsi="Times New Roman" w:cs="Times New Roman"/>
          <w:b w:val="0"/>
          <w:bCs/>
        </w:rPr>
        <w:t xml:space="preserve"> to view data or information as part of the genetic resource, whereas those who viewed their value as added by scientists and lab equipment tended to view data or information as a separate entity. This chapter </w:t>
      </w:r>
      <w:r w:rsidR="00E06DBF">
        <w:rPr>
          <w:rFonts w:ascii="Times New Roman" w:hAnsi="Times New Roman" w:cs="Times New Roman"/>
          <w:b w:val="0"/>
          <w:bCs/>
        </w:rPr>
        <w:t xml:space="preserve">suggests that </w:t>
      </w:r>
      <w:r w:rsidR="003E18B8" w:rsidRPr="00CB0BAA">
        <w:rPr>
          <w:rFonts w:ascii="Times New Roman" w:hAnsi="Times New Roman" w:cs="Times New Roman"/>
          <w:b w:val="0"/>
          <w:bCs/>
        </w:rPr>
        <w:t>what counts as a resource—including what counts as ‘natural</w:t>
      </w:r>
      <w:r w:rsidR="00DE56BD">
        <w:rPr>
          <w:rFonts w:ascii="Times New Roman" w:hAnsi="Times New Roman" w:cs="Times New Roman"/>
          <w:b w:val="0"/>
          <w:bCs/>
        </w:rPr>
        <w:t>’</w:t>
      </w:r>
      <w:r w:rsidR="003E18B8" w:rsidRPr="00CB0BAA">
        <w:rPr>
          <w:rFonts w:ascii="Times New Roman" w:hAnsi="Times New Roman" w:cs="Times New Roman"/>
          <w:b w:val="0"/>
          <w:bCs/>
        </w:rPr>
        <w:t>—</w:t>
      </w:r>
      <w:r w:rsidR="00E06DBF">
        <w:rPr>
          <w:rFonts w:ascii="Times New Roman" w:hAnsi="Times New Roman" w:cs="Times New Roman"/>
          <w:b w:val="0"/>
          <w:bCs/>
        </w:rPr>
        <w:t xml:space="preserve">is relevant to </w:t>
      </w:r>
      <w:r w:rsidR="00B01270">
        <w:rPr>
          <w:rFonts w:ascii="Times New Roman" w:hAnsi="Times New Roman" w:cs="Times New Roman"/>
          <w:b w:val="0"/>
          <w:bCs/>
        </w:rPr>
        <w:t>justice issues of</w:t>
      </w:r>
      <w:r w:rsidR="003E18B8" w:rsidRPr="00CB0BAA">
        <w:rPr>
          <w:rFonts w:ascii="Times New Roman" w:hAnsi="Times New Roman" w:cs="Times New Roman"/>
          <w:b w:val="0"/>
          <w:bCs/>
        </w:rPr>
        <w:t xml:space="preserve"> </w:t>
      </w:r>
      <w:r w:rsidR="00B01270">
        <w:rPr>
          <w:rFonts w:ascii="Times New Roman" w:hAnsi="Times New Roman" w:cs="Times New Roman"/>
          <w:b w:val="0"/>
          <w:bCs/>
        </w:rPr>
        <w:t>compensation</w:t>
      </w:r>
      <w:r w:rsidR="003E18B8" w:rsidRPr="00CB0BAA">
        <w:rPr>
          <w:rFonts w:ascii="Times New Roman" w:hAnsi="Times New Roman" w:cs="Times New Roman"/>
          <w:b w:val="0"/>
          <w:bCs/>
        </w:rPr>
        <w:t xml:space="preserve"> </w:t>
      </w:r>
      <w:r w:rsidR="00065A59">
        <w:rPr>
          <w:rFonts w:ascii="Times New Roman" w:hAnsi="Times New Roman" w:cs="Times New Roman"/>
          <w:b w:val="0"/>
          <w:bCs/>
        </w:rPr>
        <w:t>for</w:t>
      </w:r>
      <w:r w:rsidR="00B01270">
        <w:rPr>
          <w:rFonts w:ascii="Times New Roman" w:hAnsi="Times New Roman" w:cs="Times New Roman"/>
          <w:b w:val="0"/>
          <w:bCs/>
        </w:rPr>
        <w:t xml:space="preserve"> </w:t>
      </w:r>
      <w:r w:rsidR="003E18B8" w:rsidRPr="00CB0BAA">
        <w:rPr>
          <w:rFonts w:ascii="Times New Roman" w:hAnsi="Times New Roman" w:cs="Times New Roman"/>
          <w:b w:val="0"/>
          <w:bCs/>
        </w:rPr>
        <w:t>genomic data and information</w:t>
      </w:r>
      <w:r w:rsidR="00B01270">
        <w:rPr>
          <w:rFonts w:ascii="Times New Roman" w:hAnsi="Times New Roman" w:cs="Times New Roman"/>
          <w:b w:val="0"/>
          <w:bCs/>
        </w:rPr>
        <w:t xml:space="preserve"> </w:t>
      </w:r>
      <w:r w:rsidR="00CA40B9">
        <w:rPr>
          <w:rFonts w:ascii="Times New Roman" w:hAnsi="Times New Roman" w:cs="Times New Roman"/>
          <w:b w:val="0"/>
          <w:bCs/>
        </w:rPr>
        <w:t>from</w:t>
      </w:r>
      <w:r w:rsidR="009C1A0E">
        <w:rPr>
          <w:rFonts w:ascii="Times New Roman" w:hAnsi="Times New Roman" w:cs="Times New Roman"/>
          <w:b w:val="0"/>
          <w:bCs/>
        </w:rPr>
        <w:t>, largely,</w:t>
      </w:r>
      <w:r w:rsidR="00762570">
        <w:rPr>
          <w:rFonts w:ascii="Times New Roman" w:hAnsi="Times New Roman" w:cs="Times New Roman"/>
          <w:b w:val="0"/>
          <w:bCs/>
        </w:rPr>
        <w:t xml:space="preserve"> biodiverse countries in</w:t>
      </w:r>
      <w:r w:rsidR="00B01270">
        <w:rPr>
          <w:rFonts w:ascii="Times New Roman" w:hAnsi="Times New Roman" w:cs="Times New Roman"/>
          <w:b w:val="0"/>
          <w:bCs/>
        </w:rPr>
        <w:t xml:space="preserve"> the Global South.</w:t>
      </w:r>
    </w:p>
    <w:p w14:paraId="67E30297" w14:textId="4512C81F" w:rsidR="000A1489" w:rsidRPr="00CB0BAA" w:rsidRDefault="00C40A67" w:rsidP="00EA1903">
      <w:pPr>
        <w:spacing w:before="240" w:after="240" w:line="480" w:lineRule="auto"/>
        <w:rPr>
          <w:rFonts w:ascii="Times New Roman" w:hAnsi="Times New Roman" w:cs="Times New Roman"/>
          <w:b w:val="0"/>
          <w:bCs/>
        </w:rPr>
      </w:pPr>
      <w:r w:rsidRPr="00CB0BAA">
        <w:rPr>
          <w:rFonts w:ascii="Times New Roman" w:hAnsi="Times New Roman" w:cs="Times New Roman"/>
          <w:b w:val="0"/>
          <w:bCs/>
        </w:rPr>
        <w:t>Chapter 6</w:t>
      </w:r>
      <w:r w:rsidR="000F1CC6">
        <w:rPr>
          <w:rFonts w:ascii="Times New Roman" w:hAnsi="Times New Roman" w:cs="Times New Roman"/>
          <w:b w:val="0"/>
          <w:bCs/>
        </w:rPr>
        <w:t xml:space="preserve"> (</w:t>
      </w:r>
      <w:r w:rsidR="00AC5E92">
        <w:rPr>
          <w:rFonts w:ascii="Times New Roman" w:hAnsi="Times New Roman" w:cs="Times New Roman"/>
          <w:b w:val="0"/>
          <w:bCs/>
        </w:rPr>
        <w:t xml:space="preserve">accepted for publication </w:t>
      </w:r>
      <w:r w:rsidR="000F1CC6">
        <w:rPr>
          <w:rFonts w:ascii="Times New Roman" w:hAnsi="Times New Roman" w:cs="Times New Roman"/>
          <w:b w:val="0"/>
          <w:bCs/>
        </w:rPr>
        <w:t xml:space="preserve">in </w:t>
      </w:r>
      <w:r w:rsidR="000F1CC6">
        <w:rPr>
          <w:rFonts w:ascii="Times New Roman" w:hAnsi="Times New Roman" w:cs="Times New Roman"/>
          <w:b w:val="0"/>
          <w:bCs/>
          <w:i/>
          <w:iCs/>
        </w:rPr>
        <w:t>Science, Technology and Human Values</w:t>
      </w:r>
      <w:r w:rsidR="000F1CC6">
        <w:rPr>
          <w:rStyle w:val="FootnoteReference"/>
          <w:rFonts w:ascii="Times New Roman" w:hAnsi="Times New Roman" w:cs="Times New Roman"/>
          <w:b w:val="0"/>
          <w:bCs/>
          <w:i/>
          <w:iCs/>
        </w:rPr>
        <w:footnoteReference w:id="5"/>
      </w:r>
      <w:r w:rsidR="000F1CC6">
        <w:rPr>
          <w:rFonts w:ascii="Times New Roman" w:hAnsi="Times New Roman" w:cs="Times New Roman"/>
          <w:b w:val="0"/>
          <w:bCs/>
          <w:i/>
          <w:iCs/>
        </w:rPr>
        <w:t>)</w:t>
      </w:r>
      <w:r w:rsidRPr="00CB0BAA">
        <w:rPr>
          <w:rFonts w:ascii="Times New Roman" w:hAnsi="Times New Roman" w:cs="Times New Roman"/>
          <w:b w:val="0"/>
          <w:bCs/>
        </w:rPr>
        <w:t xml:space="preserve"> offers </w:t>
      </w:r>
      <w:r w:rsidR="003B2B41">
        <w:rPr>
          <w:rFonts w:ascii="Times New Roman" w:hAnsi="Times New Roman" w:cs="Times New Roman"/>
          <w:b w:val="0"/>
          <w:bCs/>
        </w:rPr>
        <w:t xml:space="preserve">an </w:t>
      </w:r>
      <w:r w:rsidR="003B2B41" w:rsidRPr="00CB0BAA">
        <w:rPr>
          <w:rFonts w:ascii="Times New Roman" w:hAnsi="Times New Roman" w:cs="Times New Roman"/>
          <w:b w:val="0"/>
          <w:bCs/>
        </w:rPr>
        <w:t xml:space="preserve">exploratory Q method study with </w:t>
      </w:r>
      <w:r w:rsidR="00BF39AC">
        <w:rPr>
          <w:rFonts w:ascii="Times New Roman" w:hAnsi="Times New Roman" w:cs="Times New Roman"/>
          <w:b w:val="0"/>
          <w:bCs/>
        </w:rPr>
        <w:t xml:space="preserve">20 </w:t>
      </w:r>
      <w:r w:rsidR="003B2B41" w:rsidRPr="00CB0BAA">
        <w:rPr>
          <w:rFonts w:ascii="Times New Roman" w:hAnsi="Times New Roman" w:cs="Times New Roman"/>
          <w:b w:val="0"/>
          <w:bCs/>
        </w:rPr>
        <w:t>young urban professionals</w:t>
      </w:r>
      <w:r w:rsidR="005F4DA0">
        <w:rPr>
          <w:rFonts w:ascii="Times New Roman" w:hAnsi="Times New Roman" w:cs="Times New Roman"/>
          <w:b w:val="0"/>
          <w:bCs/>
        </w:rPr>
        <w:t>,</w:t>
      </w:r>
      <w:r w:rsidR="003B2B41" w:rsidRPr="00CB0BAA">
        <w:rPr>
          <w:rFonts w:ascii="Times New Roman" w:hAnsi="Times New Roman" w:cs="Times New Roman"/>
          <w:b w:val="0"/>
          <w:bCs/>
        </w:rPr>
        <w:t xml:space="preserve"> aimed at uncovering central patterns of thinking around </w:t>
      </w:r>
      <w:r w:rsidR="00CA40BA">
        <w:rPr>
          <w:rFonts w:ascii="Times New Roman" w:hAnsi="Times New Roman" w:cs="Times New Roman"/>
          <w:b w:val="0"/>
          <w:bCs/>
        </w:rPr>
        <w:t xml:space="preserve">specific applications of </w:t>
      </w:r>
      <w:r w:rsidR="003B2B41" w:rsidRPr="00CB0BAA">
        <w:rPr>
          <w:rFonts w:ascii="Times New Roman" w:hAnsi="Times New Roman" w:cs="Times New Roman"/>
          <w:b w:val="0"/>
          <w:bCs/>
        </w:rPr>
        <w:t xml:space="preserve">gene editing and gene drives in agriculture. This is the only study I am aware of that focuses on the views of this demographic, and one of few existing studies </w:t>
      </w:r>
      <w:r w:rsidR="007A77AC">
        <w:rPr>
          <w:rFonts w:ascii="Times New Roman" w:hAnsi="Times New Roman" w:cs="Times New Roman"/>
          <w:b w:val="0"/>
          <w:bCs/>
        </w:rPr>
        <w:t>that stud</w:t>
      </w:r>
      <w:r w:rsidR="00EC6A6C">
        <w:rPr>
          <w:rFonts w:ascii="Times New Roman" w:hAnsi="Times New Roman" w:cs="Times New Roman"/>
          <w:b w:val="0"/>
          <w:bCs/>
        </w:rPr>
        <w:t>ies</w:t>
      </w:r>
      <w:r w:rsidR="003B2B41" w:rsidRPr="00CB0BAA">
        <w:rPr>
          <w:rFonts w:ascii="Times New Roman" w:hAnsi="Times New Roman" w:cs="Times New Roman"/>
          <w:b w:val="0"/>
          <w:bCs/>
        </w:rPr>
        <w:t xml:space="preserve"> public attitudes on the subject.</w:t>
      </w:r>
      <w:r w:rsidR="003B2B41">
        <w:rPr>
          <w:rFonts w:ascii="Times New Roman" w:hAnsi="Times New Roman" w:cs="Times New Roman"/>
          <w:b w:val="0"/>
          <w:bCs/>
        </w:rPr>
        <w:t xml:space="preserve"> </w:t>
      </w:r>
      <w:r w:rsidR="00381DA1">
        <w:rPr>
          <w:rFonts w:ascii="Times New Roman" w:hAnsi="Times New Roman" w:cs="Times New Roman"/>
          <w:b w:val="0"/>
          <w:bCs/>
        </w:rPr>
        <w:t>I</w:t>
      </w:r>
      <w:r w:rsidR="003B2B41" w:rsidRPr="00CB0BAA">
        <w:rPr>
          <w:rFonts w:ascii="Times New Roman" w:hAnsi="Times New Roman" w:cs="Times New Roman"/>
          <w:b w:val="0"/>
          <w:bCs/>
        </w:rPr>
        <w:t xml:space="preserve"> </w:t>
      </w:r>
      <w:r w:rsidR="00BD3EEA">
        <w:rPr>
          <w:rFonts w:ascii="Times New Roman" w:hAnsi="Times New Roman" w:cs="Times New Roman"/>
          <w:b w:val="0"/>
          <w:bCs/>
        </w:rPr>
        <w:t>find</w:t>
      </w:r>
      <w:r w:rsidR="003B2B41" w:rsidRPr="00CB0BAA">
        <w:rPr>
          <w:rFonts w:ascii="Times New Roman" w:hAnsi="Times New Roman" w:cs="Times New Roman"/>
          <w:b w:val="0"/>
          <w:bCs/>
        </w:rPr>
        <w:t xml:space="preserve"> three </w:t>
      </w:r>
      <w:r w:rsidR="00F71881">
        <w:rPr>
          <w:rFonts w:ascii="Times New Roman" w:hAnsi="Times New Roman" w:cs="Times New Roman"/>
          <w:b w:val="0"/>
          <w:bCs/>
        </w:rPr>
        <w:t>‘frames’</w:t>
      </w:r>
      <w:r w:rsidR="003B2B41" w:rsidRPr="00CB0BAA">
        <w:rPr>
          <w:rFonts w:ascii="Times New Roman" w:hAnsi="Times New Roman" w:cs="Times New Roman"/>
          <w:b w:val="0"/>
          <w:bCs/>
        </w:rPr>
        <w:t xml:space="preserve"> of thinking: </w:t>
      </w:r>
      <w:r w:rsidR="00B849EC">
        <w:rPr>
          <w:rFonts w:ascii="Times New Roman" w:hAnsi="Times New Roman" w:cs="Times New Roman"/>
          <w:b w:val="0"/>
          <w:bCs/>
        </w:rPr>
        <w:t>‘</w:t>
      </w:r>
      <w:r w:rsidR="003B2B41" w:rsidRPr="00CB0BAA">
        <w:rPr>
          <w:rFonts w:ascii="Times New Roman" w:hAnsi="Times New Roman" w:cs="Times New Roman"/>
          <w:b w:val="0"/>
          <w:bCs/>
        </w:rPr>
        <w:t>critical system thinking</w:t>
      </w:r>
      <w:r w:rsidR="00B849EC">
        <w:rPr>
          <w:rFonts w:ascii="Times New Roman" w:hAnsi="Times New Roman" w:cs="Times New Roman"/>
          <w:b w:val="0"/>
          <w:bCs/>
        </w:rPr>
        <w:t>’</w:t>
      </w:r>
      <w:r w:rsidR="003B2B41" w:rsidRPr="00CB0BAA">
        <w:rPr>
          <w:rFonts w:ascii="Times New Roman" w:hAnsi="Times New Roman" w:cs="Times New Roman"/>
          <w:b w:val="0"/>
          <w:bCs/>
        </w:rPr>
        <w:t xml:space="preserve">, </w:t>
      </w:r>
      <w:r w:rsidR="00B849EC">
        <w:rPr>
          <w:rFonts w:ascii="Times New Roman" w:hAnsi="Times New Roman" w:cs="Times New Roman"/>
          <w:b w:val="0"/>
          <w:bCs/>
        </w:rPr>
        <w:t>‘</w:t>
      </w:r>
      <w:r w:rsidR="003B2B41" w:rsidRPr="00CB0BAA">
        <w:rPr>
          <w:rFonts w:ascii="Times New Roman" w:hAnsi="Times New Roman" w:cs="Times New Roman"/>
          <w:b w:val="0"/>
          <w:bCs/>
        </w:rPr>
        <w:t>pragmatic techno-optimism</w:t>
      </w:r>
      <w:r w:rsidR="00B849EC">
        <w:rPr>
          <w:rFonts w:ascii="Times New Roman" w:hAnsi="Times New Roman" w:cs="Times New Roman"/>
          <w:b w:val="0"/>
          <w:bCs/>
        </w:rPr>
        <w:t>’</w:t>
      </w:r>
      <w:r w:rsidR="003B2B41" w:rsidRPr="00CB0BAA">
        <w:rPr>
          <w:rFonts w:ascii="Times New Roman" w:hAnsi="Times New Roman" w:cs="Times New Roman"/>
          <w:b w:val="0"/>
          <w:bCs/>
        </w:rPr>
        <w:t xml:space="preserve"> and </w:t>
      </w:r>
      <w:r w:rsidR="00B849EC">
        <w:rPr>
          <w:rFonts w:ascii="Times New Roman" w:hAnsi="Times New Roman" w:cs="Times New Roman"/>
          <w:b w:val="0"/>
          <w:bCs/>
        </w:rPr>
        <w:t>‘</w:t>
      </w:r>
      <w:r w:rsidR="003B2B41" w:rsidRPr="00CB0BAA">
        <w:rPr>
          <w:rFonts w:ascii="Times New Roman" w:hAnsi="Times New Roman" w:cs="Times New Roman"/>
          <w:b w:val="0"/>
          <w:bCs/>
        </w:rPr>
        <w:t>ambivalent questioning</w:t>
      </w:r>
      <w:r w:rsidR="00B849EC">
        <w:rPr>
          <w:rFonts w:ascii="Times New Roman" w:hAnsi="Times New Roman" w:cs="Times New Roman"/>
          <w:b w:val="0"/>
          <w:bCs/>
        </w:rPr>
        <w:t>’</w:t>
      </w:r>
      <w:r w:rsidR="003B2B41" w:rsidRPr="00CB0BAA">
        <w:rPr>
          <w:rFonts w:ascii="Times New Roman" w:hAnsi="Times New Roman" w:cs="Times New Roman"/>
          <w:b w:val="0"/>
          <w:bCs/>
        </w:rPr>
        <w:t xml:space="preserve">. </w:t>
      </w:r>
      <w:r w:rsidR="00F71881">
        <w:rPr>
          <w:rFonts w:ascii="Times New Roman" w:hAnsi="Times New Roman" w:cs="Times New Roman"/>
          <w:b w:val="0"/>
          <w:bCs/>
        </w:rPr>
        <w:t xml:space="preserve">Notably, </w:t>
      </w:r>
      <w:r w:rsidR="00381DA1">
        <w:rPr>
          <w:rFonts w:ascii="Times New Roman" w:hAnsi="Times New Roman" w:cs="Times New Roman"/>
          <w:b w:val="0"/>
          <w:bCs/>
        </w:rPr>
        <w:t>I</w:t>
      </w:r>
      <w:r w:rsidR="00F71881">
        <w:rPr>
          <w:rFonts w:ascii="Times New Roman" w:hAnsi="Times New Roman" w:cs="Times New Roman"/>
          <w:b w:val="0"/>
          <w:bCs/>
        </w:rPr>
        <w:t xml:space="preserve"> </w:t>
      </w:r>
      <w:r w:rsidR="007032E2">
        <w:rPr>
          <w:rFonts w:ascii="Times New Roman" w:hAnsi="Times New Roman" w:cs="Times New Roman"/>
          <w:b w:val="0"/>
          <w:bCs/>
        </w:rPr>
        <w:t>do</w:t>
      </w:r>
      <w:r w:rsidR="00F71881">
        <w:rPr>
          <w:rFonts w:ascii="Times New Roman" w:hAnsi="Times New Roman" w:cs="Times New Roman"/>
          <w:b w:val="0"/>
          <w:bCs/>
        </w:rPr>
        <w:t xml:space="preserve"> not find participants</w:t>
      </w:r>
      <w:r w:rsidR="00AC4E28">
        <w:rPr>
          <w:rFonts w:ascii="Times New Roman" w:hAnsi="Times New Roman" w:cs="Times New Roman"/>
          <w:b w:val="0"/>
          <w:bCs/>
        </w:rPr>
        <w:t>’</w:t>
      </w:r>
      <w:r w:rsidR="00F71881">
        <w:rPr>
          <w:rFonts w:ascii="Times New Roman" w:hAnsi="Times New Roman" w:cs="Times New Roman"/>
          <w:b w:val="0"/>
          <w:bCs/>
        </w:rPr>
        <w:t xml:space="preserve"> evaluations centered on </w:t>
      </w:r>
      <w:r w:rsidR="003B2B41" w:rsidRPr="00CB0BAA">
        <w:rPr>
          <w:rFonts w:ascii="Times New Roman" w:hAnsi="Times New Roman" w:cs="Times New Roman"/>
          <w:b w:val="0"/>
          <w:bCs/>
        </w:rPr>
        <w:t>technical specifics</w:t>
      </w:r>
      <w:r w:rsidR="00F71881">
        <w:rPr>
          <w:rFonts w:ascii="Times New Roman" w:hAnsi="Times New Roman" w:cs="Times New Roman"/>
          <w:b w:val="0"/>
          <w:bCs/>
        </w:rPr>
        <w:t xml:space="preserve"> such as</w:t>
      </w:r>
      <w:r w:rsidR="009E6160">
        <w:rPr>
          <w:rFonts w:ascii="Times New Roman" w:hAnsi="Times New Roman" w:cs="Times New Roman"/>
          <w:b w:val="0"/>
          <w:bCs/>
        </w:rPr>
        <w:t xml:space="preserve"> genetic similarities or</w:t>
      </w:r>
      <w:r w:rsidR="00F71881">
        <w:rPr>
          <w:rFonts w:ascii="Times New Roman" w:hAnsi="Times New Roman" w:cs="Times New Roman"/>
          <w:b w:val="0"/>
          <w:bCs/>
        </w:rPr>
        <w:t xml:space="preserve"> </w:t>
      </w:r>
      <w:r w:rsidR="009E6160">
        <w:rPr>
          <w:rFonts w:ascii="Times New Roman" w:hAnsi="Times New Roman" w:cs="Times New Roman"/>
          <w:b w:val="0"/>
          <w:bCs/>
        </w:rPr>
        <w:t>the precision</w:t>
      </w:r>
      <w:r w:rsidR="00F71881">
        <w:rPr>
          <w:rFonts w:ascii="Times New Roman" w:hAnsi="Times New Roman" w:cs="Times New Roman"/>
          <w:b w:val="0"/>
          <w:bCs/>
        </w:rPr>
        <w:t xml:space="preserve"> of edits</w:t>
      </w:r>
      <w:r w:rsidR="00B849EC">
        <w:rPr>
          <w:rFonts w:ascii="Times New Roman" w:hAnsi="Times New Roman" w:cs="Times New Roman"/>
          <w:b w:val="0"/>
          <w:bCs/>
        </w:rPr>
        <w:t xml:space="preserve">, </w:t>
      </w:r>
      <w:r w:rsidR="003B2B41" w:rsidRPr="00CB0BAA">
        <w:rPr>
          <w:rFonts w:ascii="Times New Roman" w:hAnsi="Times New Roman" w:cs="Times New Roman"/>
          <w:b w:val="0"/>
          <w:bCs/>
        </w:rPr>
        <w:t>despite</w:t>
      </w:r>
      <w:r w:rsidR="00F71881">
        <w:rPr>
          <w:rFonts w:ascii="Times New Roman" w:hAnsi="Times New Roman" w:cs="Times New Roman"/>
          <w:b w:val="0"/>
          <w:bCs/>
        </w:rPr>
        <w:t xml:space="preserve"> what </w:t>
      </w:r>
      <w:r w:rsidR="003B2B41" w:rsidRPr="00CB0BAA">
        <w:rPr>
          <w:rFonts w:ascii="Times New Roman" w:hAnsi="Times New Roman" w:cs="Times New Roman"/>
          <w:b w:val="0"/>
          <w:bCs/>
        </w:rPr>
        <w:t>many proponents</w:t>
      </w:r>
      <w:r w:rsidR="00F71881">
        <w:rPr>
          <w:rFonts w:ascii="Times New Roman" w:hAnsi="Times New Roman" w:cs="Times New Roman"/>
          <w:b w:val="0"/>
          <w:bCs/>
        </w:rPr>
        <w:t xml:space="preserve"> have asserted</w:t>
      </w:r>
      <w:r w:rsidR="003B2B41" w:rsidRPr="00CB0BAA">
        <w:rPr>
          <w:rFonts w:ascii="Times New Roman" w:hAnsi="Times New Roman" w:cs="Times New Roman"/>
          <w:b w:val="0"/>
          <w:bCs/>
        </w:rPr>
        <w:t xml:space="preserve">. Second, </w:t>
      </w:r>
      <w:r w:rsidR="00A259C1">
        <w:rPr>
          <w:rFonts w:ascii="Times New Roman" w:hAnsi="Times New Roman" w:cs="Times New Roman"/>
          <w:b w:val="0"/>
          <w:bCs/>
        </w:rPr>
        <w:t>I</w:t>
      </w:r>
      <w:r w:rsidR="00F71881">
        <w:rPr>
          <w:rFonts w:ascii="Times New Roman" w:hAnsi="Times New Roman" w:cs="Times New Roman"/>
          <w:b w:val="0"/>
          <w:bCs/>
        </w:rPr>
        <w:t xml:space="preserve"> </w:t>
      </w:r>
      <w:r w:rsidR="00AC4E28">
        <w:rPr>
          <w:rFonts w:ascii="Times New Roman" w:hAnsi="Times New Roman" w:cs="Times New Roman"/>
          <w:b w:val="0"/>
          <w:bCs/>
        </w:rPr>
        <w:t>find</w:t>
      </w:r>
      <w:r w:rsidR="00F71881">
        <w:rPr>
          <w:rFonts w:ascii="Times New Roman" w:hAnsi="Times New Roman" w:cs="Times New Roman"/>
          <w:b w:val="0"/>
          <w:bCs/>
        </w:rPr>
        <w:t xml:space="preserve"> that</w:t>
      </w:r>
      <w:r w:rsidR="003B2B41" w:rsidRPr="00CB0BAA">
        <w:rPr>
          <w:rFonts w:ascii="Times New Roman" w:hAnsi="Times New Roman" w:cs="Times New Roman"/>
          <w:b w:val="0"/>
          <w:bCs/>
        </w:rPr>
        <w:t xml:space="preserve"> </w:t>
      </w:r>
      <w:r w:rsidR="00F71881">
        <w:rPr>
          <w:rFonts w:ascii="Times New Roman" w:hAnsi="Times New Roman" w:cs="Times New Roman"/>
          <w:b w:val="0"/>
          <w:bCs/>
        </w:rPr>
        <w:t>a key</w:t>
      </w:r>
      <w:r w:rsidR="003B2B41" w:rsidRPr="00CB0BAA">
        <w:rPr>
          <w:rFonts w:ascii="Times New Roman" w:hAnsi="Times New Roman" w:cs="Times New Roman"/>
          <w:b w:val="0"/>
          <w:bCs/>
        </w:rPr>
        <w:t xml:space="preserve"> </w:t>
      </w:r>
      <w:r w:rsidR="00B849EC">
        <w:rPr>
          <w:rFonts w:ascii="Times New Roman" w:hAnsi="Times New Roman" w:cs="Times New Roman"/>
          <w:b w:val="0"/>
          <w:bCs/>
        </w:rPr>
        <w:t>aspect</w:t>
      </w:r>
      <w:r w:rsidR="003B2B41" w:rsidRPr="00CB0BAA">
        <w:rPr>
          <w:rFonts w:ascii="Times New Roman" w:hAnsi="Times New Roman" w:cs="Times New Roman"/>
          <w:b w:val="0"/>
          <w:bCs/>
        </w:rPr>
        <w:t xml:space="preserve"> </w:t>
      </w:r>
      <w:r w:rsidR="00B849EC">
        <w:rPr>
          <w:rFonts w:ascii="Times New Roman" w:hAnsi="Times New Roman" w:cs="Times New Roman"/>
          <w:b w:val="0"/>
          <w:bCs/>
        </w:rPr>
        <w:t>of</w:t>
      </w:r>
      <w:r w:rsidR="00F71881">
        <w:rPr>
          <w:rFonts w:ascii="Times New Roman" w:hAnsi="Times New Roman" w:cs="Times New Roman"/>
          <w:b w:val="0"/>
          <w:bCs/>
        </w:rPr>
        <w:t xml:space="preserve"> the ‘critical system thinking’ frame was </w:t>
      </w:r>
      <w:r w:rsidR="003B2B41" w:rsidRPr="00CB0BAA">
        <w:rPr>
          <w:rFonts w:ascii="Times New Roman" w:hAnsi="Times New Roman" w:cs="Times New Roman"/>
          <w:b w:val="0"/>
          <w:bCs/>
        </w:rPr>
        <w:t xml:space="preserve">the perceived necessity of a technology and the possibility of achieving the same result via other means. This finding suggests an important, and underrecognized, dimension of opposition or rejection </w:t>
      </w:r>
      <w:r w:rsidR="00B849EC">
        <w:rPr>
          <w:rFonts w:ascii="Times New Roman" w:hAnsi="Times New Roman" w:cs="Times New Roman"/>
          <w:b w:val="0"/>
          <w:bCs/>
        </w:rPr>
        <w:t xml:space="preserve">amongst this group </w:t>
      </w:r>
      <w:r w:rsidR="003B2B41" w:rsidRPr="00CB0BAA">
        <w:rPr>
          <w:rFonts w:ascii="Times New Roman" w:hAnsi="Times New Roman" w:cs="Times New Roman"/>
          <w:b w:val="0"/>
          <w:bCs/>
        </w:rPr>
        <w:t xml:space="preserve">may </w:t>
      </w:r>
      <w:r w:rsidR="00E13A77">
        <w:rPr>
          <w:rFonts w:ascii="Times New Roman" w:hAnsi="Times New Roman" w:cs="Times New Roman"/>
          <w:b w:val="0"/>
          <w:bCs/>
        </w:rPr>
        <w:t>relate to concerns about the</w:t>
      </w:r>
      <w:r w:rsidR="003B2B41" w:rsidRPr="00CB0BAA">
        <w:rPr>
          <w:rFonts w:ascii="Times New Roman" w:hAnsi="Times New Roman" w:cs="Times New Roman"/>
          <w:b w:val="0"/>
          <w:bCs/>
        </w:rPr>
        <w:t xml:space="preserve"> </w:t>
      </w:r>
      <w:r w:rsidR="00B849EC">
        <w:rPr>
          <w:rFonts w:ascii="Times New Roman" w:hAnsi="Times New Roman" w:cs="Times New Roman"/>
          <w:b w:val="0"/>
          <w:bCs/>
        </w:rPr>
        <w:t>political economic system and context in which</w:t>
      </w:r>
      <w:r w:rsidR="003B2B41" w:rsidRPr="00CB0BAA">
        <w:rPr>
          <w:rFonts w:ascii="Times New Roman" w:hAnsi="Times New Roman" w:cs="Times New Roman"/>
          <w:b w:val="0"/>
          <w:bCs/>
        </w:rPr>
        <w:t xml:space="preserve"> gene-edited organisms</w:t>
      </w:r>
      <w:r w:rsidR="00B849EC">
        <w:rPr>
          <w:rFonts w:ascii="Times New Roman" w:hAnsi="Times New Roman" w:cs="Times New Roman"/>
          <w:b w:val="0"/>
          <w:bCs/>
        </w:rPr>
        <w:t xml:space="preserve"> are emerging</w:t>
      </w:r>
      <w:r w:rsidR="00E13A77">
        <w:rPr>
          <w:rFonts w:ascii="Times New Roman" w:hAnsi="Times New Roman" w:cs="Times New Roman"/>
          <w:b w:val="0"/>
          <w:bCs/>
        </w:rPr>
        <w:t xml:space="preserve"> and </w:t>
      </w:r>
      <w:r w:rsidR="006E62E5">
        <w:rPr>
          <w:rFonts w:ascii="Times New Roman" w:hAnsi="Times New Roman" w:cs="Times New Roman"/>
          <w:b w:val="0"/>
          <w:bCs/>
        </w:rPr>
        <w:t xml:space="preserve">which they </w:t>
      </w:r>
      <w:r w:rsidR="00FB6D8D">
        <w:rPr>
          <w:rFonts w:ascii="Times New Roman" w:hAnsi="Times New Roman" w:cs="Times New Roman"/>
          <w:b w:val="0"/>
          <w:bCs/>
        </w:rPr>
        <w:t>may be</w:t>
      </w:r>
      <w:r w:rsidR="00E13A77">
        <w:rPr>
          <w:rFonts w:ascii="Times New Roman" w:hAnsi="Times New Roman" w:cs="Times New Roman"/>
          <w:b w:val="0"/>
          <w:bCs/>
        </w:rPr>
        <w:t xml:space="preserve"> seen to support</w:t>
      </w:r>
      <w:r w:rsidR="003B2B41" w:rsidRPr="00CB0BAA">
        <w:rPr>
          <w:rFonts w:ascii="Times New Roman" w:hAnsi="Times New Roman" w:cs="Times New Roman"/>
          <w:b w:val="0"/>
          <w:bCs/>
        </w:rPr>
        <w:t>.</w:t>
      </w:r>
    </w:p>
    <w:p w14:paraId="400C130F" w14:textId="3ED5D8ED" w:rsidR="003C169A" w:rsidRDefault="00C40A67" w:rsidP="00EA1903">
      <w:pPr>
        <w:spacing w:before="240" w:after="240" w:line="480" w:lineRule="auto"/>
        <w:rPr>
          <w:rFonts w:ascii="Times New Roman" w:hAnsi="Times New Roman" w:cs="Times New Roman"/>
          <w:b w:val="0"/>
          <w:bCs/>
        </w:rPr>
      </w:pPr>
      <w:r w:rsidRPr="00CB0BAA">
        <w:rPr>
          <w:rFonts w:ascii="Times New Roman" w:hAnsi="Times New Roman" w:cs="Times New Roman"/>
          <w:b w:val="0"/>
          <w:bCs/>
        </w:rPr>
        <w:t xml:space="preserve">Chapter 7 </w:t>
      </w:r>
      <w:r w:rsidR="008A1C1E">
        <w:rPr>
          <w:rFonts w:ascii="Times New Roman" w:hAnsi="Times New Roman" w:cs="Times New Roman"/>
          <w:b w:val="0"/>
          <w:bCs/>
        </w:rPr>
        <w:t xml:space="preserve">(published in </w:t>
      </w:r>
      <w:proofErr w:type="spellStart"/>
      <w:r w:rsidR="006F742A">
        <w:rPr>
          <w:rFonts w:ascii="Times New Roman" w:hAnsi="Times New Roman" w:cs="Times New Roman"/>
          <w:b w:val="0"/>
          <w:bCs/>
          <w:i/>
          <w:iCs/>
        </w:rPr>
        <w:t>P</w:t>
      </w:r>
      <w:r w:rsidR="00296E88">
        <w:rPr>
          <w:rFonts w:ascii="Times New Roman" w:hAnsi="Times New Roman" w:cs="Times New Roman"/>
          <w:b w:val="0"/>
          <w:bCs/>
          <w:i/>
          <w:iCs/>
        </w:rPr>
        <w:t>Lo</w:t>
      </w:r>
      <w:r w:rsidR="006F742A">
        <w:rPr>
          <w:rFonts w:ascii="Times New Roman" w:hAnsi="Times New Roman" w:cs="Times New Roman"/>
          <w:b w:val="0"/>
          <w:bCs/>
          <w:i/>
          <w:iCs/>
        </w:rPr>
        <w:t>S</w:t>
      </w:r>
      <w:proofErr w:type="spellEnd"/>
      <w:r w:rsidR="008A1C1E">
        <w:rPr>
          <w:rFonts w:ascii="Times New Roman" w:hAnsi="Times New Roman" w:cs="Times New Roman"/>
          <w:b w:val="0"/>
          <w:bCs/>
          <w:i/>
          <w:iCs/>
        </w:rPr>
        <w:t xml:space="preserve"> ONE</w:t>
      </w:r>
      <w:r w:rsidR="00766983" w:rsidRPr="00B8298A">
        <w:rPr>
          <w:rStyle w:val="FootnoteReference"/>
          <w:rFonts w:ascii="Times New Roman" w:hAnsi="Times New Roman" w:cs="Times New Roman"/>
          <w:b w:val="0"/>
          <w:bCs/>
          <w:i/>
          <w:iCs/>
        </w:rPr>
        <w:footnoteReference w:id="6"/>
      </w:r>
      <w:r w:rsidR="008A1C1E">
        <w:rPr>
          <w:rFonts w:ascii="Times New Roman" w:hAnsi="Times New Roman" w:cs="Times New Roman"/>
          <w:b w:val="0"/>
          <w:bCs/>
          <w:i/>
          <w:iCs/>
        </w:rPr>
        <w:t xml:space="preserve">) </w:t>
      </w:r>
      <w:r w:rsidRPr="00CB0BAA">
        <w:rPr>
          <w:rFonts w:ascii="Times New Roman" w:hAnsi="Times New Roman" w:cs="Times New Roman"/>
          <w:b w:val="0"/>
          <w:bCs/>
        </w:rPr>
        <w:t>draws upon an online survey on attitudes towards gene editing amongst US and Canad</w:t>
      </w:r>
      <w:r w:rsidR="00ED1524">
        <w:rPr>
          <w:rFonts w:ascii="Times New Roman" w:hAnsi="Times New Roman" w:cs="Times New Roman"/>
          <w:b w:val="0"/>
          <w:bCs/>
        </w:rPr>
        <w:t>ian publics</w:t>
      </w:r>
      <w:r w:rsidRPr="00CB0BAA">
        <w:rPr>
          <w:rFonts w:ascii="Times New Roman" w:hAnsi="Times New Roman" w:cs="Times New Roman"/>
          <w:b w:val="0"/>
          <w:bCs/>
        </w:rPr>
        <w:t xml:space="preserve"> (n=1478</w:t>
      </w:r>
      <w:r w:rsidR="00475FED">
        <w:rPr>
          <w:rFonts w:ascii="Times New Roman" w:hAnsi="Times New Roman" w:cs="Times New Roman"/>
          <w:b w:val="0"/>
          <w:bCs/>
        </w:rPr>
        <w:t>)</w:t>
      </w:r>
      <w:r w:rsidRPr="00CB0BAA">
        <w:rPr>
          <w:rFonts w:ascii="Times New Roman" w:hAnsi="Times New Roman" w:cs="Times New Roman"/>
          <w:b w:val="0"/>
          <w:bCs/>
        </w:rPr>
        <w:t>.</w:t>
      </w:r>
      <w:r w:rsidR="00B369C6" w:rsidRPr="00B369C6">
        <w:rPr>
          <w:rFonts w:ascii="Times New Roman" w:hAnsi="Times New Roman" w:cs="Times New Roman"/>
          <w:b w:val="0"/>
          <w:bCs/>
        </w:rPr>
        <w:t xml:space="preserve"> </w:t>
      </w:r>
      <w:r w:rsidR="00B849EC">
        <w:rPr>
          <w:rFonts w:ascii="Times New Roman" w:hAnsi="Times New Roman" w:cs="Times New Roman"/>
          <w:b w:val="0"/>
          <w:bCs/>
        </w:rPr>
        <w:t>The survey</w:t>
      </w:r>
      <w:r w:rsidR="00C9393F">
        <w:rPr>
          <w:rFonts w:ascii="Times New Roman" w:hAnsi="Times New Roman" w:cs="Times New Roman"/>
          <w:b w:val="0"/>
          <w:bCs/>
        </w:rPr>
        <w:t xml:space="preserve"> explored the relationship </w:t>
      </w:r>
      <w:r w:rsidR="00C9393F">
        <w:rPr>
          <w:rFonts w:ascii="Times New Roman" w:hAnsi="Times New Roman" w:cs="Times New Roman"/>
          <w:b w:val="0"/>
          <w:bCs/>
        </w:rPr>
        <w:lastRenderedPageBreak/>
        <w:t xml:space="preserve">between attitudes towards gene editing, and attitudes towards food systems more generally, via </w:t>
      </w:r>
      <w:r w:rsidR="00B369C6" w:rsidRPr="00CB0BAA">
        <w:rPr>
          <w:rFonts w:ascii="Times New Roman" w:hAnsi="Times New Roman" w:cs="Times New Roman"/>
          <w:b w:val="0"/>
          <w:bCs/>
        </w:rPr>
        <w:t xml:space="preserve">a novel attitudinal scale </w:t>
      </w:r>
      <w:r w:rsidR="00C9393F">
        <w:rPr>
          <w:rFonts w:ascii="Times New Roman" w:hAnsi="Times New Roman" w:cs="Times New Roman"/>
          <w:b w:val="0"/>
          <w:bCs/>
        </w:rPr>
        <w:t>on view</w:t>
      </w:r>
      <w:r w:rsidR="00A259C1">
        <w:rPr>
          <w:rFonts w:ascii="Times New Roman" w:hAnsi="Times New Roman" w:cs="Times New Roman"/>
          <w:b w:val="0"/>
          <w:bCs/>
        </w:rPr>
        <w:t>s</w:t>
      </w:r>
      <w:r w:rsidR="00C9393F">
        <w:rPr>
          <w:rFonts w:ascii="Times New Roman" w:hAnsi="Times New Roman" w:cs="Times New Roman"/>
          <w:b w:val="0"/>
          <w:bCs/>
        </w:rPr>
        <w:t xml:space="preserve"> on the</w:t>
      </w:r>
      <w:r w:rsidR="00B369C6" w:rsidRPr="00CB0BAA">
        <w:rPr>
          <w:rFonts w:ascii="Times New Roman" w:hAnsi="Times New Roman" w:cs="Times New Roman"/>
          <w:b w:val="0"/>
          <w:bCs/>
        </w:rPr>
        <w:t xml:space="preserve"> Green Revolution</w:t>
      </w:r>
      <w:r w:rsidR="00C9393F">
        <w:rPr>
          <w:rFonts w:ascii="Times New Roman" w:hAnsi="Times New Roman" w:cs="Times New Roman"/>
          <w:b w:val="0"/>
          <w:bCs/>
        </w:rPr>
        <w:t xml:space="preserve">. I </w:t>
      </w:r>
      <w:r w:rsidR="00AF2528">
        <w:rPr>
          <w:rFonts w:ascii="Times New Roman" w:hAnsi="Times New Roman" w:cs="Times New Roman"/>
          <w:b w:val="0"/>
          <w:bCs/>
        </w:rPr>
        <w:t>find</w:t>
      </w:r>
      <w:r w:rsidR="00C9393F">
        <w:rPr>
          <w:rFonts w:ascii="Times New Roman" w:hAnsi="Times New Roman" w:cs="Times New Roman"/>
          <w:b w:val="0"/>
          <w:bCs/>
        </w:rPr>
        <w:t xml:space="preserve"> that </w:t>
      </w:r>
      <w:r w:rsidR="00B369C6" w:rsidRPr="00CB0BAA">
        <w:rPr>
          <w:rFonts w:ascii="Times New Roman" w:hAnsi="Times New Roman" w:cs="Times New Roman"/>
          <w:b w:val="0"/>
          <w:bCs/>
        </w:rPr>
        <w:t>attitude</w:t>
      </w:r>
      <w:r w:rsidR="00D436BE">
        <w:rPr>
          <w:rFonts w:ascii="Times New Roman" w:hAnsi="Times New Roman" w:cs="Times New Roman"/>
          <w:b w:val="0"/>
          <w:bCs/>
        </w:rPr>
        <w:t>s critical of industrialized food systems</w:t>
      </w:r>
      <w:r w:rsidR="00B369C6" w:rsidRPr="00CB0BAA">
        <w:rPr>
          <w:rFonts w:ascii="Times New Roman" w:hAnsi="Times New Roman" w:cs="Times New Roman"/>
          <w:b w:val="0"/>
          <w:bCs/>
        </w:rPr>
        <w:t xml:space="preserve">, measured through </w:t>
      </w:r>
      <w:r w:rsidR="00C9393F">
        <w:rPr>
          <w:rFonts w:ascii="Times New Roman" w:hAnsi="Times New Roman" w:cs="Times New Roman"/>
          <w:b w:val="0"/>
          <w:bCs/>
        </w:rPr>
        <w:t>this scale</w:t>
      </w:r>
      <w:r w:rsidR="00B369C6" w:rsidRPr="00CB0BAA">
        <w:rPr>
          <w:rFonts w:ascii="Times New Roman" w:hAnsi="Times New Roman" w:cs="Times New Roman"/>
          <w:b w:val="0"/>
          <w:bCs/>
        </w:rPr>
        <w:t xml:space="preserve">, predict overall comfort with gene editing. As well, </w:t>
      </w:r>
      <w:r w:rsidR="0029757E">
        <w:rPr>
          <w:rFonts w:ascii="Times New Roman" w:hAnsi="Times New Roman" w:cs="Times New Roman"/>
          <w:b w:val="0"/>
          <w:bCs/>
        </w:rPr>
        <w:t>I</w:t>
      </w:r>
      <w:r w:rsidR="00B369C6" w:rsidRPr="00CB0BAA">
        <w:rPr>
          <w:rFonts w:ascii="Times New Roman" w:hAnsi="Times New Roman" w:cs="Times New Roman"/>
          <w:b w:val="0"/>
          <w:bCs/>
        </w:rPr>
        <w:t xml:space="preserve"> </w:t>
      </w:r>
      <w:r w:rsidR="00EA61D1">
        <w:rPr>
          <w:rFonts w:ascii="Times New Roman" w:hAnsi="Times New Roman" w:cs="Times New Roman"/>
          <w:b w:val="0"/>
          <w:bCs/>
        </w:rPr>
        <w:t xml:space="preserve">explore views in the context of specific tradeoffs involving biodiversity and pesticides, </w:t>
      </w:r>
      <w:r w:rsidR="001A0736">
        <w:rPr>
          <w:rFonts w:ascii="Times New Roman" w:hAnsi="Times New Roman" w:cs="Times New Roman"/>
          <w:b w:val="0"/>
          <w:bCs/>
        </w:rPr>
        <w:t>finding</w:t>
      </w:r>
      <w:r w:rsidR="00EA61D1">
        <w:rPr>
          <w:rFonts w:ascii="Times New Roman" w:hAnsi="Times New Roman" w:cs="Times New Roman"/>
          <w:b w:val="0"/>
          <w:bCs/>
        </w:rPr>
        <w:t xml:space="preserve"> that such ‘system-critical’ attitudes predict</w:t>
      </w:r>
      <w:r w:rsidR="00B369C6" w:rsidRPr="00CB0BAA">
        <w:rPr>
          <w:rFonts w:ascii="Times New Roman" w:hAnsi="Times New Roman" w:cs="Times New Roman"/>
          <w:b w:val="0"/>
          <w:bCs/>
        </w:rPr>
        <w:t xml:space="preserve"> </w:t>
      </w:r>
      <w:r w:rsidR="00EA61D1">
        <w:rPr>
          <w:rFonts w:ascii="Times New Roman" w:hAnsi="Times New Roman" w:cs="Times New Roman"/>
          <w:b w:val="0"/>
          <w:bCs/>
        </w:rPr>
        <w:t>who might opt out</w:t>
      </w:r>
      <w:r w:rsidR="001A0736">
        <w:rPr>
          <w:rFonts w:ascii="Times New Roman" w:hAnsi="Times New Roman" w:cs="Times New Roman"/>
          <w:b w:val="0"/>
          <w:bCs/>
        </w:rPr>
        <w:t xml:space="preserve"> of these difficult choices</w:t>
      </w:r>
      <w:r w:rsidR="00EA61D1">
        <w:rPr>
          <w:rFonts w:ascii="Times New Roman" w:hAnsi="Times New Roman" w:cs="Times New Roman"/>
          <w:b w:val="0"/>
          <w:bCs/>
        </w:rPr>
        <w:t xml:space="preserve">. I argue that, while refusal to participate in ‘taboo tradeoffs’ involving biotechnology </w:t>
      </w:r>
      <w:r w:rsidR="00743332">
        <w:rPr>
          <w:rFonts w:ascii="Times New Roman" w:hAnsi="Times New Roman" w:cs="Times New Roman"/>
          <w:b w:val="0"/>
          <w:bCs/>
        </w:rPr>
        <w:t>is</w:t>
      </w:r>
      <w:r w:rsidR="00EA61D1">
        <w:rPr>
          <w:rFonts w:ascii="Times New Roman" w:hAnsi="Times New Roman" w:cs="Times New Roman"/>
          <w:b w:val="0"/>
          <w:bCs/>
        </w:rPr>
        <w:t xml:space="preserve"> often assumed to be an irrational response, these results suggest the possibility that such reactions are instead based in articulable critiques of food systems.</w:t>
      </w:r>
      <w:r w:rsidR="00B369C6">
        <w:rPr>
          <w:rFonts w:ascii="Times New Roman" w:hAnsi="Times New Roman" w:cs="Times New Roman"/>
          <w:b w:val="0"/>
          <w:bCs/>
        </w:rPr>
        <w:t xml:space="preserve"> </w:t>
      </w:r>
      <w:r w:rsidR="00B369C6" w:rsidRPr="00CB0BAA">
        <w:rPr>
          <w:rFonts w:ascii="Times New Roman" w:hAnsi="Times New Roman" w:cs="Times New Roman"/>
          <w:b w:val="0"/>
          <w:bCs/>
        </w:rPr>
        <w:t xml:space="preserve">This is the first effort I am aware of </w:t>
      </w:r>
      <w:r w:rsidR="008D7C40">
        <w:rPr>
          <w:rFonts w:ascii="Times New Roman" w:hAnsi="Times New Roman" w:cs="Times New Roman"/>
          <w:b w:val="0"/>
          <w:bCs/>
        </w:rPr>
        <w:t>that</w:t>
      </w:r>
      <w:r w:rsidR="00B369C6" w:rsidRPr="00CB0BAA">
        <w:rPr>
          <w:rFonts w:ascii="Times New Roman" w:hAnsi="Times New Roman" w:cs="Times New Roman"/>
          <w:b w:val="0"/>
          <w:bCs/>
        </w:rPr>
        <w:t xml:space="preserve"> </w:t>
      </w:r>
      <w:r w:rsidR="0024395A">
        <w:rPr>
          <w:rFonts w:ascii="Times New Roman" w:hAnsi="Times New Roman" w:cs="Times New Roman"/>
          <w:b w:val="0"/>
          <w:bCs/>
        </w:rPr>
        <w:t>operationalize</w:t>
      </w:r>
      <w:r w:rsidR="008D7C40">
        <w:rPr>
          <w:rFonts w:ascii="Times New Roman" w:hAnsi="Times New Roman" w:cs="Times New Roman"/>
          <w:b w:val="0"/>
          <w:bCs/>
        </w:rPr>
        <w:t>s</w:t>
      </w:r>
      <w:r w:rsidR="00B369C6" w:rsidRPr="00CB0BAA">
        <w:rPr>
          <w:rFonts w:ascii="Times New Roman" w:hAnsi="Times New Roman" w:cs="Times New Roman"/>
          <w:b w:val="0"/>
          <w:bCs/>
        </w:rPr>
        <w:t xml:space="preserve"> system-critical attitudes</w:t>
      </w:r>
      <w:r w:rsidR="0024395A">
        <w:rPr>
          <w:rFonts w:ascii="Times New Roman" w:hAnsi="Times New Roman" w:cs="Times New Roman"/>
          <w:b w:val="0"/>
          <w:bCs/>
        </w:rPr>
        <w:t xml:space="preserve"> like these</w:t>
      </w:r>
      <w:r w:rsidR="00B369C6" w:rsidRPr="00CB0BAA">
        <w:rPr>
          <w:rFonts w:ascii="Times New Roman" w:hAnsi="Times New Roman" w:cs="Times New Roman"/>
          <w:b w:val="0"/>
          <w:bCs/>
        </w:rPr>
        <w:t xml:space="preserve"> via a generalizable, quantitative approach.</w:t>
      </w:r>
    </w:p>
    <w:p w14:paraId="439F0BD7" w14:textId="18EDFB82" w:rsidR="00A949EA" w:rsidRPr="00CB0BAA" w:rsidRDefault="0044787D" w:rsidP="00EA1903">
      <w:pPr>
        <w:spacing w:before="240" w:after="240" w:line="480" w:lineRule="auto"/>
        <w:rPr>
          <w:rFonts w:ascii="Times New Roman" w:hAnsi="Times New Roman" w:cs="Times New Roman"/>
          <w:b w:val="0"/>
          <w:bCs/>
        </w:rPr>
      </w:pPr>
      <w:r w:rsidRPr="009C500A">
        <w:rPr>
          <w:rFonts w:ascii="Times New Roman" w:hAnsi="Times New Roman" w:cs="Times New Roman"/>
          <w:b w:val="0"/>
          <w:bCs/>
        </w:rPr>
        <w:t>The findings presented in this dissertation suggest that the concept of naturalness appears frequently—in both explicit and implicit ways—across a range of conversations and debates.</w:t>
      </w:r>
      <w:r>
        <w:rPr>
          <w:rFonts w:ascii="Times New Roman" w:hAnsi="Times New Roman" w:cs="Times New Roman"/>
          <w:b w:val="0"/>
          <w:bCs/>
        </w:rPr>
        <w:t xml:space="preserve"> </w:t>
      </w:r>
      <w:r w:rsidRPr="009C500A">
        <w:rPr>
          <w:rFonts w:ascii="Times New Roman" w:hAnsi="Times New Roman" w:cs="Times New Roman"/>
          <w:b w:val="0"/>
          <w:bCs/>
        </w:rPr>
        <w:t>Gene editing seems to throw into question what it means for something to be natural, and</w:t>
      </w:r>
      <w:r>
        <w:rPr>
          <w:rFonts w:ascii="Times New Roman" w:hAnsi="Times New Roman" w:cs="Times New Roman"/>
          <w:b w:val="0"/>
          <w:bCs/>
        </w:rPr>
        <w:t xml:space="preserve"> this thesis has shown that, in the wake of this destabilization,</w:t>
      </w:r>
      <w:r w:rsidRPr="009C500A">
        <w:rPr>
          <w:rFonts w:ascii="Times New Roman" w:hAnsi="Times New Roman" w:cs="Times New Roman"/>
          <w:b w:val="0"/>
          <w:bCs/>
        </w:rPr>
        <w:t xml:space="preserve"> </w:t>
      </w:r>
      <w:r>
        <w:rPr>
          <w:rFonts w:ascii="Times New Roman" w:hAnsi="Times New Roman" w:cs="Times New Roman"/>
          <w:b w:val="0"/>
          <w:bCs/>
        </w:rPr>
        <w:t xml:space="preserve">assumptions of </w:t>
      </w:r>
      <w:r w:rsidRPr="009C500A">
        <w:rPr>
          <w:rFonts w:ascii="Times New Roman" w:hAnsi="Times New Roman" w:cs="Times New Roman"/>
          <w:b w:val="0"/>
          <w:bCs/>
        </w:rPr>
        <w:t xml:space="preserve">‘natural’ begin to reveal </w:t>
      </w:r>
      <w:r>
        <w:rPr>
          <w:rFonts w:ascii="Times New Roman" w:hAnsi="Times New Roman" w:cs="Times New Roman"/>
          <w:b w:val="0"/>
          <w:bCs/>
        </w:rPr>
        <w:t>themselves as</w:t>
      </w:r>
      <w:r w:rsidRPr="009C500A">
        <w:rPr>
          <w:rFonts w:ascii="Times New Roman" w:hAnsi="Times New Roman" w:cs="Times New Roman"/>
          <w:b w:val="0"/>
          <w:bCs/>
        </w:rPr>
        <w:t xml:space="preserve"> constructed, contingent and political, rather than objective or singular fact</w:t>
      </w:r>
      <w:r>
        <w:rPr>
          <w:rFonts w:ascii="Times New Roman" w:hAnsi="Times New Roman" w:cs="Times New Roman"/>
          <w:b w:val="0"/>
          <w:bCs/>
        </w:rPr>
        <w:t>s</w:t>
      </w:r>
      <w:r w:rsidRPr="009C500A">
        <w:rPr>
          <w:rFonts w:ascii="Times New Roman" w:hAnsi="Times New Roman" w:cs="Times New Roman"/>
          <w:b w:val="0"/>
          <w:bCs/>
        </w:rPr>
        <w:t xml:space="preserve">. </w:t>
      </w:r>
      <w:r>
        <w:rPr>
          <w:rFonts w:ascii="Times New Roman" w:hAnsi="Times New Roman" w:cs="Times New Roman"/>
          <w:b w:val="0"/>
          <w:bCs/>
        </w:rPr>
        <w:t>I demonstrate that</w:t>
      </w:r>
      <w:r w:rsidRPr="00937BC1">
        <w:rPr>
          <w:rFonts w:ascii="Times New Roman" w:hAnsi="Times New Roman" w:cs="Times New Roman"/>
          <w:b w:val="0"/>
          <w:bCs/>
        </w:rPr>
        <w:t xml:space="preserve"> biosafety </w:t>
      </w:r>
      <w:r>
        <w:rPr>
          <w:rFonts w:ascii="Times New Roman" w:hAnsi="Times New Roman" w:cs="Times New Roman"/>
          <w:b w:val="0"/>
          <w:bCs/>
        </w:rPr>
        <w:t xml:space="preserve">and organic </w:t>
      </w:r>
      <w:r w:rsidRPr="00937BC1">
        <w:rPr>
          <w:rFonts w:ascii="Times New Roman" w:hAnsi="Times New Roman" w:cs="Times New Roman"/>
          <w:b w:val="0"/>
          <w:bCs/>
        </w:rPr>
        <w:t>regulations rely upon</w:t>
      </w:r>
      <w:r w:rsidR="00473B7C">
        <w:rPr>
          <w:rFonts w:ascii="Times New Roman" w:hAnsi="Times New Roman" w:cs="Times New Roman"/>
          <w:b w:val="0"/>
          <w:bCs/>
        </w:rPr>
        <w:t xml:space="preserve"> assumptions of ‘naturalness’ that are beginning to unravel</w:t>
      </w:r>
      <w:r w:rsidR="00EB34DE">
        <w:rPr>
          <w:rFonts w:ascii="Times New Roman" w:hAnsi="Times New Roman" w:cs="Times New Roman"/>
          <w:b w:val="0"/>
          <w:bCs/>
        </w:rPr>
        <w:t>, destabilizing governance of these and related technologies</w:t>
      </w:r>
      <w:r w:rsidRPr="00937BC1">
        <w:rPr>
          <w:rFonts w:ascii="Times New Roman" w:hAnsi="Times New Roman" w:cs="Times New Roman"/>
          <w:b w:val="0"/>
          <w:bCs/>
        </w:rPr>
        <w:t xml:space="preserve">. </w:t>
      </w:r>
      <w:r>
        <w:rPr>
          <w:rFonts w:ascii="Times New Roman" w:hAnsi="Times New Roman" w:cs="Times New Roman"/>
          <w:b w:val="0"/>
          <w:bCs/>
        </w:rPr>
        <w:t xml:space="preserve">I suggest that regulatory approaches </w:t>
      </w:r>
      <w:r w:rsidR="003D4F36">
        <w:rPr>
          <w:rFonts w:ascii="Times New Roman" w:hAnsi="Times New Roman" w:cs="Times New Roman"/>
          <w:b w:val="0"/>
          <w:bCs/>
        </w:rPr>
        <w:t>would benefit</w:t>
      </w:r>
      <w:r>
        <w:rPr>
          <w:rFonts w:ascii="Times New Roman" w:hAnsi="Times New Roman" w:cs="Times New Roman"/>
          <w:b w:val="0"/>
          <w:bCs/>
        </w:rPr>
        <w:t xml:space="preserve"> </w:t>
      </w:r>
      <w:r w:rsidR="003D4F36">
        <w:rPr>
          <w:rFonts w:ascii="Times New Roman" w:hAnsi="Times New Roman" w:cs="Times New Roman"/>
          <w:b w:val="0"/>
          <w:bCs/>
        </w:rPr>
        <w:t>from</w:t>
      </w:r>
      <w:r>
        <w:rPr>
          <w:rFonts w:ascii="Times New Roman" w:hAnsi="Times New Roman" w:cs="Times New Roman"/>
          <w:b w:val="0"/>
          <w:bCs/>
        </w:rPr>
        <w:t xml:space="preserve"> </w:t>
      </w:r>
      <w:r w:rsidR="00E92652">
        <w:rPr>
          <w:rFonts w:ascii="Times New Roman" w:hAnsi="Times New Roman" w:cs="Times New Roman"/>
          <w:b w:val="0"/>
          <w:bCs/>
        </w:rPr>
        <w:t>articulat</w:t>
      </w:r>
      <w:r w:rsidR="003D4F36">
        <w:rPr>
          <w:rFonts w:ascii="Times New Roman" w:hAnsi="Times New Roman" w:cs="Times New Roman"/>
          <w:b w:val="0"/>
          <w:bCs/>
        </w:rPr>
        <w:t>ing</w:t>
      </w:r>
      <w:r w:rsidR="00E92652">
        <w:rPr>
          <w:rFonts w:ascii="Times New Roman" w:hAnsi="Times New Roman" w:cs="Times New Roman"/>
          <w:b w:val="0"/>
          <w:bCs/>
        </w:rPr>
        <w:t xml:space="preserve"> these definitions and acknowledg</w:t>
      </w:r>
      <w:r w:rsidR="003D4F36">
        <w:rPr>
          <w:rFonts w:ascii="Times New Roman" w:hAnsi="Times New Roman" w:cs="Times New Roman"/>
          <w:b w:val="0"/>
          <w:bCs/>
        </w:rPr>
        <w:t xml:space="preserve">ing </w:t>
      </w:r>
      <w:r w:rsidR="00E92652">
        <w:rPr>
          <w:rFonts w:ascii="Times New Roman" w:hAnsi="Times New Roman" w:cs="Times New Roman"/>
          <w:b w:val="0"/>
          <w:bCs/>
        </w:rPr>
        <w:t>their assumptions, and perhaps,</w:t>
      </w:r>
      <w:r w:rsidR="00EB34DE">
        <w:rPr>
          <w:rFonts w:ascii="Times New Roman" w:hAnsi="Times New Roman" w:cs="Times New Roman"/>
          <w:b w:val="0"/>
          <w:bCs/>
        </w:rPr>
        <w:t xml:space="preserve"> shift</w:t>
      </w:r>
      <w:r w:rsidR="003D4F36">
        <w:rPr>
          <w:rFonts w:ascii="Times New Roman" w:hAnsi="Times New Roman" w:cs="Times New Roman"/>
          <w:b w:val="0"/>
          <w:bCs/>
        </w:rPr>
        <w:t>ing</w:t>
      </w:r>
      <w:r w:rsidR="00EB34DE">
        <w:rPr>
          <w:rFonts w:ascii="Times New Roman" w:hAnsi="Times New Roman" w:cs="Times New Roman"/>
          <w:b w:val="0"/>
          <w:bCs/>
        </w:rPr>
        <w:t xml:space="preserve"> towards </w:t>
      </w:r>
      <w:r w:rsidR="003D4F36">
        <w:rPr>
          <w:rFonts w:ascii="Times New Roman" w:hAnsi="Times New Roman" w:cs="Times New Roman"/>
          <w:b w:val="0"/>
          <w:bCs/>
        </w:rPr>
        <w:t>their social and</w:t>
      </w:r>
      <w:r>
        <w:rPr>
          <w:rFonts w:ascii="Times New Roman" w:hAnsi="Times New Roman" w:cs="Times New Roman"/>
          <w:b w:val="0"/>
          <w:bCs/>
        </w:rPr>
        <w:t xml:space="preserve"> environmental </w:t>
      </w:r>
      <w:r w:rsidR="003D4F36">
        <w:rPr>
          <w:rFonts w:ascii="Times New Roman" w:hAnsi="Times New Roman" w:cs="Times New Roman"/>
          <w:b w:val="0"/>
          <w:bCs/>
        </w:rPr>
        <w:t>consequences</w:t>
      </w:r>
      <w:r>
        <w:rPr>
          <w:rFonts w:ascii="Times New Roman" w:hAnsi="Times New Roman" w:cs="Times New Roman"/>
          <w:b w:val="0"/>
          <w:bCs/>
        </w:rPr>
        <w:t>.</w:t>
      </w:r>
      <w:r w:rsidR="00627AF5">
        <w:rPr>
          <w:rFonts w:ascii="Times New Roman" w:hAnsi="Times New Roman" w:cs="Times New Roman"/>
          <w:b w:val="0"/>
          <w:bCs/>
        </w:rPr>
        <w:t xml:space="preserve"> </w:t>
      </w:r>
      <w:r w:rsidR="00EB34DE">
        <w:rPr>
          <w:rFonts w:ascii="Times New Roman" w:hAnsi="Times New Roman" w:cs="Times New Roman"/>
          <w:b w:val="0"/>
          <w:bCs/>
        </w:rPr>
        <w:t>Finally, t</w:t>
      </w:r>
      <w:r w:rsidR="00E962DF">
        <w:rPr>
          <w:rFonts w:ascii="Times New Roman" w:hAnsi="Times New Roman" w:cs="Times New Roman"/>
          <w:b w:val="0"/>
          <w:bCs/>
        </w:rPr>
        <w:t xml:space="preserve">his thesis highlights </w:t>
      </w:r>
      <w:r w:rsidR="00F94EF3">
        <w:rPr>
          <w:rFonts w:ascii="Times New Roman" w:hAnsi="Times New Roman" w:cs="Times New Roman"/>
          <w:b w:val="0"/>
          <w:bCs/>
        </w:rPr>
        <w:t xml:space="preserve">that </w:t>
      </w:r>
      <w:r w:rsidR="006C6261">
        <w:rPr>
          <w:rFonts w:ascii="Times New Roman" w:hAnsi="Times New Roman" w:cs="Times New Roman"/>
          <w:b w:val="0"/>
          <w:bCs/>
        </w:rPr>
        <w:t>some</w:t>
      </w:r>
      <w:r w:rsidR="00424133">
        <w:rPr>
          <w:rFonts w:ascii="Times New Roman" w:hAnsi="Times New Roman" w:cs="Times New Roman"/>
          <w:b w:val="0"/>
          <w:bCs/>
        </w:rPr>
        <w:t xml:space="preserve"> </w:t>
      </w:r>
      <w:r w:rsidR="00F94EF3">
        <w:rPr>
          <w:rFonts w:ascii="Times New Roman" w:hAnsi="Times New Roman" w:cs="Times New Roman"/>
          <w:b w:val="0"/>
          <w:bCs/>
        </w:rPr>
        <w:t xml:space="preserve">public </w:t>
      </w:r>
      <w:r w:rsidR="00424133">
        <w:rPr>
          <w:rFonts w:ascii="Times New Roman" w:hAnsi="Times New Roman" w:cs="Times New Roman"/>
          <w:b w:val="0"/>
          <w:bCs/>
        </w:rPr>
        <w:t>objections</w:t>
      </w:r>
      <w:r w:rsidR="00E962DF">
        <w:rPr>
          <w:rFonts w:ascii="Times New Roman" w:hAnsi="Times New Roman" w:cs="Times New Roman"/>
          <w:b w:val="0"/>
          <w:bCs/>
        </w:rPr>
        <w:t xml:space="preserve"> </w:t>
      </w:r>
      <w:r w:rsidR="000100EE">
        <w:rPr>
          <w:rFonts w:ascii="Times New Roman" w:hAnsi="Times New Roman" w:cs="Times New Roman"/>
          <w:b w:val="0"/>
          <w:bCs/>
        </w:rPr>
        <w:t xml:space="preserve">to </w:t>
      </w:r>
      <w:r w:rsidR="00E962DF">
        <w:rPr>
          <w:rFonts w:ascii="Times New Roman" w:hAnsi="Times New Roman" w:cs="Times New Roman"/>
          <w:b w:val="0"/>
          <w:bCs/>
        </w:rPr>
        <w:t xml:space="preserve">gene editing </w:t>
      </w:r>
      <w:r w:rsidR="00F94EF3">
        <w:rPr>
          <w:rFonts w:ascii="Times New Roman" w:hAnsi="Times New Roman" w:cs="Times New Roman"/>
          <w:b w:val="0"/>
          <w:bCs/>
        </w:rPr>
        <w:t xml:space="preserve">may indeed be </w:t>
      </w:r>
      <w:r w:rsidR="00E962DF">
        <w:rPr>
          <w:rFonts w:ascii="Times New Roman" w:hAnsi="Times New Roman" w:cs="Times New Roman"/>
          <w:b w:val="0"/>
          <w:bCs/>
        </w:rPr>
        <w:t>rooted in critiques of political-economic systems</w:t>
      </w:r>
      <w:r w:rsidR="00EB34DE">
        <w:rPr>
          <w:rFonts w:ascii="Times New Roman" w:hAnsi="Times New Roman" w:cs="Times New Roman"/>
          <w:b w:val="0"/>
          <w:bCs/>
        </w:rPr>
        <w:t xml:space="preserve"> and specific values regarding social and ecological relationships—perhaps not, as is often assumed, in irrational </w:t>
      </w:r>
      <w:r w:rsidR="00BA7B68">
        <w:rPr>
          <w:rFonts w:ascii="Times New Roman" w:hAnsi="Times New Roman" w:cs="Times New Roman"/>
          <w:b w:val="0"/>
          <w:bCs/>
        </w:rPr>
        <w:t xml:space="preserve">and unfounded </w:t>
      </w:r>
      <w:r w:rsidR="00EB34DE">
        <w:rPr>
          <w:rFonts w:ascii="Times New Roman" w:hAnsi="Times New Roman" w:cs="Times New Roman"/>
          <w:b w:val="0"/>
          <w:bCs/>
        </w:rPr>
        <w:t>objections</w:t>
      </w:r>
      <w:r w:rsidR="00BA7B68">
        <w:rPr>
          <w:rFonts w:ascii="Times New Roman" w:hAnsi="Times New Roman" w:cs="Times New Roman"/>
          <w:b w:val="0"/>
          <w:bCs/>
        </w:rPr>
        <w:t>.</w:t>
      </w:r>
    </w:p>
    <w:sectPr w:rsidR="00A949EA" w:rsidRPr="00CB0BAA" w:rsidSect="00C87142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66C5F" w14:textId="77777777" w:rsidR="0046240F" w:rsidRDefault="0046240F" w:rsidP="005B065E">
      <w:r>
        <w:separator/>
      </w:r>
    </w:p>
  </w:endnote>
  <w:endnote w:type="continuationSeparator" w:id="0">
    <w:p w14:paraId="129B1F9D" w14:textId="77777777" w:rsidR="0046240F" w:rsidRDefault="0046240F" w:rsidP="005B0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68975188"/>
      <w:docPartObj>
        <w:docPartGallery w:val="Page Numbers (Bottom of Page)"/>
        <w:docPartUnique/>
      </w:docPartObj>
    </w:sdtPr>
    <w:sdtContent>
      <w:p w14:paraId="54BE1D4A" w14:textId="06DB0EE2" w:rsidR="00AB47FA" w:rsidRDefault="00AB47FA" w:rsidP="0001748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CD3D86" w14:textId="77777777" w:rsidR="00AB47FA" w:rsidRDefault="00AB47FA" w:rsidP="00AB47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5710720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  <w:b w:val="0"/>
        <w:bCs/>
      </w:rPr>
    </w:sdtEndPr>
    <w:sdtContent>
      <w:p w14:paraId="682E6410" w14:textId="17B1C990" w:rsidR="00AB47FA" w:rsidRDefault="00AB47FA" w:rsidP="0001748B">
        <w:pPr>
          <w:pStyle w:val="Footer"/>
          <w:framePr w:wrap="none" w:vAnchor="text" w:hAnchor="margin" w:xAlign="right" w:y="1"/>
          <w:rPr>
            <w:rStyle w:val="PageNumber"/>
          </w:rPr>
        </w:pPr>
        <w:r w:rsidRPr="00AB47FA">
          <w:rPr>
            <w:rStyle w:val="PageNumber"/>
            <w:rFonts w:ascii="Times New Roman" w:hAnsi="Times New Roman" w:cs="Times New Roman"/>
            <w:b w:val="0"/>
            <w:bCs/>
          </w:rPr>
          <w:fldChar w:fldCharType="begin"/>
        </w:r>
        <w:r w:rsidRPr="00AB47FA">
          <w:rPr>
            <w:rStyle w:val="PageNumber"/>
            <w:rFonts w:ascii="Times New Roman" w:hAnsi="Times New Roman" w:cs="Times New Roman"/>
            <w:b w:val="0"/>
            <w:bCs/>
          </w:rPr>
          <w:instrText xml:space="preserve"> PAGE </w:instrText>
        </w:r>
        <w:r w:rsidRPr="00AB47FA">
          <w:rPr>
            <w:rStyle w:val="PageNumber"/>
            <w:rFonts w:ascii="Times New Roman" w:hAnsi="Times New Roman" w:cs="Times New Roman"/>
            <w:b w:val="0"/>
            <w:bCs/>
          </w:rPr>
          <w:fldChar w:fldCharType="separate"/>
        </w:r>
        <w:r w:rsidRPr="00AB47FA">
          <w:rPr>
            <w:rStyle w:val="PageNumber"/>
            <w:rFonts w:ascii="Times New Roman" w:hAnsi="Times New Roman" w:cs="Times New Roman"/>
            <w:b w:val="0"/>
            <w:bCs/>
            <w:noProof/>
          </w:rPr>
          <w:t>1</w:t>
        </w:r>
        <w:r w:rsidRPr="00AB47FA">
          <w:rPr>
            <w:rStyle w:val="PageNumber"/>
            <w:rFonts w:ascii="Times New Roman" w:hAnsi="Times New Roman" w:cs="Times New Roman"/>
            <w:b w:val="0"/>
            <w:bCs/>
          </w:rPr>
          <w:fldChar w:fldCharType="end"/>
        </w:r>
      </w:p>
    </w:sdtContent>
  </w:sdt>
  <w:p w14:paraId="7717D409" w14:textId="77777777" w:rsidR="00AB47FA" w:rsidRDefault="00AB47FA" w:rsidP="00AB47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CE26B" w14:textId="77777777" w:rsidR="0046240F" w:rsidRDefault="0046240F" w:rsidP="005B065E">
      <w:r>
        <w:separator/>
      </w:r>
    </w:p>
  </w:footnote>
  <w:footnote w:type="continuationSeparator" w:id="0">
    <w:p w14:paraId="65416BC0" w14:textId="77777777" w:rsidR="0046240F" w:rsidRDefault="0046240F" w:rsidP="005B065E">
      <w:r>
        <w:continuationSeparator/>
      </w:r>
    </w:p>
  </w:footnote>
  <w:footnote w:id="1">
    <w:p w14:paraId="15754C5B" w14:textId="2D7BF1E2" w:rsidR="00336BB7" w:rsidRPr="00294EB6" w:rsidRDefault="00336BB7">
      <w:pPr>
        <w:pStyle w:val="FootnoteText"/>
        <w:rPr>
          <w:rFonts w:ascii="Times New Roman" w:hAnsi="Times New Roman" w:cs="Times New Roman"/>
          <w:b w:val="0"/>
          <w:bCs/>
        </w:rPr>
      </w:pPr>
      <w:r w:rsidRPr="002026C5">
        <w:rPr>
          <w:rStyle w:val="FootnoteReference"/>
          <w:rFonts w:ascii="Times New Roman" w:hAnsi="Times New Roman" w:cs="Times New Roman"/>
          <w:b w:val="0"/>
          <w:bCs/>
          <w:sz w:val="24"/>
          <w:szCs w:val="24"/>
        </w:rPr>
        <w:footnoteRef/>
      </w:r>
      <w:r w:rsidRPr="002026C5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4604B5">
        <w:rPr>
          <w:rFonts w:ascii="Times New Roman" w:hAnsi="Times New Roman" w:cs="Times New Roman"/>
          <w:b w:val="0"/>
          <w:bCs/>
        </w:rPr>
        <w:t>Nawaz, S.</w:t>
      </w:r>
      <w:r w:rsidR="00E71D0C">
        <w:rPr>
          <w:rFonts w:ascii="Times New Roman" w:hAnsi="Times New Roman" w:cs="Times New Roman"/>
          <w:b w:val="0"/>
          <w:bCs/>
        </w:rPr>
        <w:t>,</w:t>
      </w:r>
      <w:r w:rsidRPr="004604B5">
        <w:rPr>
          <w:rFonts w:ascii="Times New Roman" w:hAnsi="Times New Roman" w:cs="Times New Roman"/>
          <w:b w:val="0"/>
          <w:bCs/>
        </w:rPr>
        <w:t xml:space="preserve"> &amp; </w:t>
      </w:r>
      <w:r w:rsidRPr="004604B5">
        <w:rPr>
          <w:rFonts w:ascii="Times New Roman" w:hAnsi="Times New Roman" w:cs="Times New Roman"/>
          <w:b w:val="0"/>
          <w:bCs/>
        </w:rPr>
        <w:t>Satterfield, T. (In press) On the nature of naturalness? Theorizing ‘nature’ for the study of public perceptions of novel genomic technologies in agriculture and conservation</w:t>
      </w:r>
      <w:r w:rsidRPr="004604B5">
        <w:rPr>
          <w:rFonts w:ascii="Times New Roman" w:hAnsi="Times New Roman" w:cs="Times New Roman"/>
          <w:b w:val="0"/>
          <w:bCs/>
        </w:rPr>
        <w:t>.</w:t>
      </w:r>
      <w:r w:rsidR="00294EB6">
        <w:rPr>
          <w:rFonts w:ascii="Times New Roman" w:hAnsi="Times New Roman" w:cs="Times New Roman"/>
          <w:b w:val="0"/>
          <w:bCs/>
        </w:rPr>
        <w:t xml:space="preserve"> </w:t>
      </w:r>
      <w:r w:rsidR="00294EB6">
        <w:rPr>
          <w:rFonts w:ascii="Times New Roman" w:hAnsi="Times New Roman" w:cs="Times New Roman"/>
          <w:b w:val="0"/>
          <w:bCs/>
          <w:i/>
          <w:iCs/>
        </w:rPr>
        <w:t>Environmental Science and Policy</w:t>
      </w:r>
      <w:r w:rsidR="00294EB6">
        <w:rPr>
          <w:rFonts w:ascii="Times New Roman" w:hAnsi="Times New Roman" w:cs="Times New Roman"/>
          <w:b w:val="0"/>
          <w:bCs/>
        </w:rPr>
        <w:t>.</w:t>
      </w:r>
    </w:p>
  </w:footnote>
  <w:footnote w:id="2">
    <w:p w14:paraId="1B521499" w14:textId="09B6EC9B" w:rsidR="00BD6BDD" w:rsidRPr="00E71D0C" w:rsidRDefault="00BD6BDD" w:rsidP="004F7C73">
      <w:pPr>
        <w:pStyle w:val="NormalWeb"/>
        <w:tabs>
          <w:tab w:val="left" w:pos="180"/>
        </w:tabs>
        <w:spacing w:before="0" w:beforeAutospacing="0" w:after="0" w:afterAutospacing="0"/>
      </w:pPr>
      <w:r w:rsidRPr="00E71D0C">
        <w:rPr>
          <w:rStyle w:val="FootnoteReference"/>
          <w:sz w:val="20"/>
          <w:szCs w:val="20"/>
        </w:rPr>
        <w:footnoteRef/>
      </w:r>
      <w:r w:rsidRPr="00E71D0C">
        <w:rPr>
          <w:sz w:val="20"/>
          <w:szCs w:val="20"/>
        </w:rPr>
        <w:t xml:space="preserve"> </w:t>
      </w:r>
      <w:r w:rsidR="00D45B42" w:rsidRPr="00E71D0C">
        <w:rPr>
          <w:rFonts w:ascii="Calibri" w:hAnsi="Calibri" w:cs="Calibri"/>
          <w:sz w:val="20"/>
          <w:szCs w:val="20"/>
        </w:rPr>
        <w:t>﻿</w:t>
      </w:r>
      <w:r w:rsidR="00D45B42" w:rsidRPr="00E71D0C">
        <w:rPr>
          <w:sz w:val="20"/>
          <w:szCs w:val="20"/>
        </w:rPr>
        <w:t xml:space="preserve">Nawaz, S., &amp; </w:t>
      </w:r>
      <w:proofErr w:type="spellStart"/>
      <w:r w:rsidR="00D45B42" w:rsidRPr="00E71D0C">
        <w:rPr>
          <w:sz w:val="20"/>
          <w:szCs w:val="20"/>
        </w:rPr>
        <w:t>Kandlikar</w:t>
      </w:r>
      <w:proofErr w:type="spellEnd"/>
      <w:r w:rsidR="00D45B42" w:rsidRPr="00E71D0C">
        <w:rPr>
          <w:sz w:val="20"/>
          <w:szCs w:val="20"/>
        </w:rPr>
        <w:t xml:space="preserve">, M. (2021). Drawing Lines in the Sand? Paths Forward for Triggering Regulation of Gene-Edited Crops. </w:t>
      </w:r>
      <w:r w:rsidR="00D45B42" w:rsidRPr="00E71D0C">
        <w:rPr>
          <w:i/>
          <w:iCs/>
          <w:sz w:val="20"/>
          <w:szCs w:val="20"/>
        </w:rPr>
        <w:t>Science and Public Policy</w:t>
      </w:r>
      <w:r w:rsidR="00D45B42" w:rsidRPr="00E71D0C">
        <w:rPr>
          <w:sz w:val="20"/>
          <w:szCs w:val="20"/>
        </w:rPr>
        <w:t xml:space="preserve">. </w:t>
      </w:r>
      <w:hyperlink r:id="rId1" w:history="1">
        <w:r w:rsidR="00D45B42" w:rsidRPr="00E71D0C">
          <w:rPr>
            <w:rStyle w:val="Hyperlink"/>
            <w:sz w:val="20"/>
            <w:szCs w:val="20"/>
          </w:rPr>
          <w:t>https://doi.org/10.1093/scipol/scab014</w:t>
        </w:r>
      </w:hyperlink>
      <w:r w:rsidR="00D45B42" w:rsidRPr="00E71D0C">
        <w:rPr>
          <w:sz w:val="20"/>
          <w:szCs w:val="20"/>
        </w:rPr>
        <w:t xml:space="preserve"> </w:t>
      </w:r>
    </w:p>
  </w:footnote>
  <w:footnote w:id="3">
    <w:p w14:paraId="4DB127AF" w14:textId="311F6560" w:rsidR="006F479D" w:rsidRPr="00E71D0C" w:rsidRDefault="006F479D" w:rsidP="00D45B42">
      <w:pPr>
        <w:pStyle w:val="font8"/>
        <w:spacing w:before="0" w:beforeAutospacing="0" w:after="0" w:afterAutospacing="0"/>
        <w:rPr>
          <w:sz w:val="20"/>
          <w:szCs w:val="20"/>
        </w:rPr>
      </w:pPr>
      <w:r w:rsidRPr="00E71D0C">
        <w:rPr>
          <w:rStyle w:val="FootnoteReference"/>
          <w:sz w:val="20"/>
          <w:szCs w:val="20"/>
        </w:rPr>
        <w:footnoteRef/>
      </w:r>
      <w:r w:rsidRPr="00E71D0C">
        <w:rPr>
          <w:sz w:val="20"/>
          <w:szCs w:val="20"/>
        </w:rPr>
        <w:t xml:space="preserve"> </w:t>
      </w:r>
      <w:r w:rsidR="00D45B42" w:rsidRPr="00E71D0C">
        <w:rPr>
          <w:rFonts w:ascii="Calibri" w:hAnsi="Calibri" w:cs="Calibri"/>
          <w:sz w:val="20"/>
          <w:szCs w:val="20"/>
        </w:rPr>
        <w:t>﻿</w:t>
      </w:r>
      <w:r w:rsidR="00D45B42" w:rsidRPr="00E71D0C">
        <w:rPr>
          <w:sz w:val="20"/>
          <w:szCs w:val="20"/>
        </w:rPr>
        <w:t xml:space="preserve">Nawaz, S., Klassen, S., &amp; Lyon, A. (2020). Tensions at the boundary: Rearticulating ‘organic’ plant breeding in the age of gene editing. </w:t>
      </w:r>
      <w:r w:rsidR="00D45B42" w:rsidRPr="00E71D0C">
        <w:rPr>
          <w:i/>
          <w:iCs/>
          <w:sz w:val="20"/>
          <w:szCs w:val="20"/>
        </w:rPr>
        <w:t>Elementa: Science of the Anthropocene</w:t>
      </w:r>
      <w:r w:rsidR="00D45B42" w:rsidRPr="00E71D0C">
        <w:rPr>
          <w:sz w:val="20"/>
          <w:szCs w:val="20"/>
        </w:rPr>
        <w:t xml:space="preserve">, 8. </w:t>
      </w:r>
      <w:hyperlink r:id="rId2" w:history="1">
        <w:r w:rsidR="00D45B42" w:rsidRPr="00E71D0C">
          <w:rPr>
            <w:rStyle w:val="Hyperlink"/>
            <w:sz w:val="20"/>
            <w:szCs w:val="20"/>
          </w:rPr>
          <w:t>https://doi.org/10.1525/elementa.429</w:t>
        </w:r>
      </w:hyperlink>
      <w:r w:rsidR="00D45B42" w:rsidRPr="00E71D0C">
        <w:rPr>
          <w:sz w:val="20"/>
          <w:szCs w:val="20"/>
        </w:rPr>
        <w:t xml:space="preserve"> </w:t>
      </w:r>
    </w:p>
  </w:footnote>
  <w:footnote w:id="4">
    <w:p w14:paraId="185D5AA2" w14:textId="5C82A108" w:rsidR="006F479D" w:rsidRPr="00E71D0C" w:rsidRDefault="006F479D" w:rsidP="00D45B42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71D0C">
        <w:rPr>
          <w:rStyle w:val="FootnoteReference"/>
          <w:bCs/>
          <w:sz w:val="20"/>
          <w:szCs w:val="20"/>
        </w:rPr>
        <w:footnoteRef/>
      </w:r>
      <w:r w:rsidRPr="00E71D0C">
        <w:rPr>
          <w:bCs/>
          <w:sz w:val="20"/>
          <w:szCs w:val="20"/>
        </w:rPr>
        <w:t xml:space="preserve"> </w:t>
      </w:r>
      <w:r w:rsidR="00D45B42" w:rsidRPr="00E71D0C">
        <w:rPr>
          <w:sz w:val="20"/>
          <w:szCs w:val="20"/>
        </w:rPr>
        <w:t xml:space="preserve">Nawaz, S., Satterfield, T., &amp; Hagerman, S. (2021). From seed to sequence: Dematerialization and the battle to (re)define genetic resources. </w:t>
      </w:r>
      <w:r w:rsidR="00D45B42" w:rsidRPr="00E71D0C">
        <w:rPr>
          <w:i/>
          <w:iCs/>
          <w:sz w:val="20"/>
          <w:szCs w:val="20"/>
        </w:rPr>
        <w:t>Global Environmental Change</w:t>
      </w:r>
      <w:r w:rsidR="00D45B42" w:rsidRPr="00E71D0C">
        <w:rPr>
          <w:sz w:val="20"/>
          <w:szCs w:val="20"/>
        </w:rPr>
        <w:t xml:space="preserve">, </w:t>
      </w:r>
      <w:r w:rsidR="00D45B42" w:rsidRPr="00E71D0C">
        <w:rPr>
          <w:i/>
          <w:iCs/>
          <w:sz w:val="20"/>
          <w:szCs w:val="20"/>
        </w:rPr>
        <w:t>68</w:t>
      </w:r>
      <w:r w:rsidR="00D45B42" w:rsidRPr="00E71D0C">
        <w:rPr>
          <w:sz w:val="20"/>
          <w:szCs w:val="20"/>
        </w:rPr>
        <w:t>, 102260.</w:t>
      </w:r>
      <w:r w:rsidR="00D45B42" w:rsidRPr="00E71D0C">
        <w:rPr>
          <w:sz w:val="20"/>
          <w:szCs w:val="20"/>
        </w:rPr>
        <w:t xml:space="preserve"> </w:t>
      </w:r>
      <w:hyperlink r:id="rId3" w:history="1">
        <w:r w:rsidR="00D45B42" w:rsidRPr="00E71D0C">
          <w:rPr>
            <w:rStyle w:val="Hyperlink"/>
            <w:sz w:val="20"/>
            <w:szCs w:val="20"/>
          </w:rPr>
          <w:t>https://doi.org/10.1016/j.gloenvcha.2021.102260</w:t>
        </w:r>
      </w:hyperlink>
      <w:r w:rsidR="00D45B42" w:rsidRPr="00E71D0C">
        <w:rPr>
          <w:sz w:val="20"/>
          <w:szCs w:val="20"/>
        </w:rPr>
        <w:t xml:space="preserve"> </w:t>
      </w:r>
    </w:p>
  </w:footnote>
  <w:footnote w:id="5">
    <w:p w14:paraId="47FD316C" w14:textId="5F7D62BF" w:rsidR="000F1CC6" w:rsidRPr="000F1CC6" w:rsidRDefault="000F1CC6">
      <w:pPr>
        <w:pStyle w:val="FootnoteText"/>
        <w:rPr>
          <w:rFonts w:ascii="Times New Roman" w:hAnsi="Times New Roman" w:cs="Times New Roman"/>
          <w:b w:val="0"/>
          <w:bCs/>
        </w:rPr>
      </w:pPr>
      <w:r w:rsidRPr="000F1CC6">
        <w:rPr>
          <w:rStyle w:val="FootnoteReference"/>
          <w:rFonts w:ascii="Times New Roman" w:hAnsi="Times New Roman" w:cs="Times New Roman"/>
          <w:b w:val="0"/>
          <w:bCs/>
        </w:rPr>
        <w:footnoteRef/>
      </w:r>
      <w:r w:rsidRPr="000F1CC6">
        <w:rPr>
          <w:rFonts w:ascii="Times New Roman" w:hAnsi="Times New Roman" w:cs="Times New Roman"/>
          <w:b w:val="0"/>
          <w:bCs/>
        </w:rPr>
        <w:t xml:space="preserve"> Nawaz, S., Satterfield, T. &amp; </w:t>
      </w:r>
      <w:proofErr w:type="spellStart"/>
      <w:r w:rsidR="006F742A" w:rsidRPr="000F1CC6">
        <w:rPr>
          <w:rFonts w:ascii="Times New Roman" w:hAnsi="Times New Roman" w:cs="Times New Roman"/>
          <w:b w:val="0"/>
          <w:bCs/>
        </w:rPr>
        <w:t>P</w:t>
      </w:r>
      <w:r w:rsidR="00034D7E">
        <w:rPr>
          <w:rFonts w:ascii="Times New Roman" w:hAnsi="Times New Roman" w:cs="Times New Roman"/>
          <w:b w:val="0"/>
          <w:bCs/>
        </w:rPr>
        <w:t>hurisamban</w:t>
      </w:r>
      <w:proofErr w:type="spellEnd"/>
      <w:r w:rsidRPr="000F1CC6">
        <w:rPr>
          <w:rFonts w:ascii="Times New Roman" w:hAnsi="Times New Roman" w:cs="Times New Roman"/>
          <w:b w:val="0"/>
          <w:bCs/>
        </w:rPr>
        <w:t>, R. (</w:t>
      </w:r>
      <w:r w:rsidR="00F906D9">
        <w:rPr>
          <w:rFonts w:ascii="Times New Roman" w:hAnsi="Times New Roman" w:cs="Times New Roman"/>
          <w:b w:val="0"/>
          <w:bCs/>
        </w:rPr>
        <w:t>In press</w:t>
      </w:r>
      <w:r w:rsidRPr="000F1CC6">
        <w:rPr>
          <w:rFonts w:ascii="Times New Roman" w:hAnsi="Times New Roman" w:cs="Times New Roman"/>
          <w:b w:val="0"/>
          <w:bCs/>
        </w:rPr>
        <w:t xml:space="preserve">) Does ‘precision’ matter? A Q study of public interpretations of gene editing in agriculture. </w:t>
      </w:r>
      <w:r w:rsidRPr="002D6F8B">
        <w:rPr>
          <w:rFonts w:ascii="Times New Roman" w:hAnsi="Times New Roman" w:cs="Times New Roman"/>
          <w:b w:val="0"/>
          <w:bCs/>
          <w:i/>
          <w:iCs/>
        </w:rPr>
        <w:t>Science, Technology and Human Values</w:t>
      </w:r>
      <w:r w:rsidRPr="000F1CC6">
        <w:rPr>
          <w:rFonts w:ascii="Times New Roman" w:hAnsi="Times New Roman" w:cs="Times New Roman"/>
          <w:b w:val="0"/>
          <w:bCs/>
        </w:rPr>
        <w:t>.</w:t>
      </w:r>
    </w:p>
  </w:footnote>
  <w:footnote w:id="6">
    <w:p w14:paraId="3A86B02B" w14:textId="72531C14" w:rsidR="00766983" w:rsidRPr="00464626" w:rsidRDefault="00766983" w:rsidP="00464626">
      <w:pPr>
        <w:pStyle w:val="NormalWeb"/>
        <w:spacing w:before="0" w:beforeAutospacing="0" w:after="0" w:afterAutospacing="0"/>
      </w:pPr>
      <w:r w:rsidRPr="00A67DC2">
        <w:rPr>
          <w:rStyle w:val="FootnoteReference"/>
          <w:bCs/>
        </w:rPr>
        <w:footnoteRef/>
      </w:r>
      <w:r w:rsidRPr="00A67DC2">
        <w:rPr>
          <w:bCs/>
        </w:rPr>
        <w:t xml:space="preserve"> </w:t>
      </w:r>
      <w:r w:rsidR="00B25C8B" w:rsidRPr="00B25C8B">
        <w:rPr>
          <w:sz w:val="20"/>
          <w:szCs w:val="20"/>
        </w:rPr>
        <w:t xml:space="preserve">Nawaz, S., &amp; Satterfield, T. (2022). Climate solution or corporate co-optation? US and Canadian publics’ views on agricultural gene editing. </w:t>
      </w:r>
      <w:proofErr w:type="spellStart"/>
      <w:r w:rsidR="00B25C8B" w:rsidRPr="00B25C8B">
        <w:rPr>
          <w:i/>
          <w:iCs/>
          <w:sz w:val="20"/>
          <w:szCs w:val="20"/>
        </w:rPr>
        <w:t>PLoS</w:t>
      </w:r>
      <w:proofErr w:type="spellEnd"/>
      <w:r w:rsidR="00B25C8B" w:rsidRPr="00B25C8B">
        <w:rPr>
          <w:i/>
          <w:iCs/>
          <w:sz w:val="20"/>
          <w:szCs w:val="20"/>
        </w:rPr>
        <w:t xml:space="preserve"> ONE</w:t>
      </w:r>
      <w:r w:rsidR="00B25C8B" w:rsidRPr="00B25C8B">
        <w:rPr>
          <w:sz w:val="20"/>
          <w:szCs w:val="20"/>
        </w:rPr>
        <w:t xml:space="preserve">, </w:t>
      </w:r>
      <w:r w:rsidR="00B25C8B" w:rsidRPr="00B25C8B">
        <w:rPr>
          <w:i/>
          <w:iCs/>
          <w:sz w:val="20"/>
          <w:szCs w:val="20"/>
        </w:rPr>
        <w:t>17</w:t>
      </w:r>
      <w:r w:rsidR="00B25C8B" w:rsidRPr="00B25C8B">
        <w:rPr>
          <w:sz w:val="20"/>
          <w:szCs w:val="20"/>
        </w:rPr>
        <w:t xml:space="preserve">(3 March), e0265635. </w:t>
      </w:r>
      <w:hyperlink r:id="rId4" w:history="1">
        <w:r w:rsidR="00B25C8B" w:rsidRPr="00B25C8B">
          <w:rPr>
            <w:rStyle w:val="Hyperlink"/>
            <w:sz w:val="20"/>
            <w:szCs w:val="20"/>
          </w:rPr>
          <w:t>https://doi.org/10.1371/journal.pone.0265635</w:t>
        </w:r>
      </w:hyperlink>
      <w:r w:rsidR="00B25C8B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C406C" w14:textId="6E39CE80" w:rsidR="005B065E" w:rsidRPr="00C66606" w:rsidRDefault="005B065E">
    <w:pPr>
      <w:pStyle w:val="Header"/>
      <w:rPr>
        <w:rFonts w:ascii="Times New Roman" w:hAnsi="Times New Roman" w:cs="Times New Roman"/>
        <w:b w:val="0"/>
        <w:bCs/>
      </w:rPr>
    </w:pPr>
    <w:r w:rsidRPr="00C66606">
      <w:rPr>
        <w:rFonts w:ascii="Times New Roman" w:hAnsi="Times New Roman" w:cs="Times New Roman"/>
        <w:b w:val="0"/>
        <w:bCs/>
      </w:rPr>
      <w:t>Application to CGS/ProQuest Distinguished Dissertation Award</w:t>
    </w:r>
    <w:r w:rsidRPr="00C66606">
      <w:rPr>
        <w:rFonts w:ascii="Times New Roman" w:hAnsi="Times New Roman" w:cs="Times New Roman"/>
        <w:b w:val="0"/>
        <w:bCs/>
      </w:rPr>
      <w:tab/>
      <w:t>Sara Nawaz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66D8"/>
    <w:multiLevelType w:val="hybridMultilevel"/>
    <w:tmpl w:val="73E0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A53CF"/>
    <w:multiLevelType w:val="hybridMultilevel"/>
    <w:tmpl w:val="FE521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238264">
    <w:abstractNumId w:val="0"/>
  </w:num>
  <w:num w:numId="2" w16cid:durableId="1463646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5E"/>
    <w:rsid w:val="000100EE"/>
    <w:rsid w:val="000123FE"/>
    <w:rsid w:val="00016267"/>
    <w:rsid w:val="000205FD"/>
    <w:rsid w:val="000231E1"/>
    <w:rsid w:val="00034D7E"/>
    <w:rsid w:val="00042E21"/>
    <w:rsid w:val="00043CFC"/>
    <w:rsid w:val="00047061"/>
    <w:rsid w:val="0005219D"/>
    <w:rsid w:val="00052A84"/>
    <w:rsid w:val="00065A59"/>
    <w:rsid w:val="000669A5"/>
    <w:rsid w:val="00091024"/>
    <w:rsid w:val="00091874"/>
    <w:rsid w:val="00097B63"/>
    <w:rsid w:val="000A1489"/>
    <w:rsid w:val="000B52DA"/>
    <w:rsid w:val="000C5E94"/>
    <w:rsid w:val="000E655F"/>
    <w:rsid w:val="000F1BBC"/>
    <w:rsid w:val="000F1CC6"/>
    <w:rsid w:val="000F1EEA"/>
    <w:rsid w:val="000F27C0"/>
    <w:rsid w:val="00110176"/>
    <w:rsid w:val="00110544"/>
    <w:rsid w:val="00115CB5"/>
    <w:rsid w:val="00131C66"/>
    <w:rsid w:val="001619E3"/>
    <w:rsid w:val="00161BBC"/>
    <w:rsid w:val="0018068B"/>
    <w:rsid w:val="00192D4D"/>
    <w:rsid w:val="001A0736"/>
    <w:rsid w:val="001A1ADF"/>
    <w:rsid w:val="001A4ADD"/>
    <w:rsid w:val="001B2081"/>
    <w:rsid w:val="001B4ECE"/>
    <w:rsid w:val="001C7747"/>
    <w:rsid w:val="001D3F4A"/>
    <w:rsid w:val="001E58A0"/>
    <w:rsid w:val="001F761E"/>
    <w:rsid w:val="002026C5"/>
    <w:rsid w:val="00204C56"/>
    <w:rsid w:val="00224333"/>
    <w:rsid w:val="0024395A"/>
    <w:rsid w:val="00252D5C"/>
    <w:rsid w:val="00257079"/>
    <w:rsid w:val="002732E1"/>
    <w:rsid w:val="002775EB"/>
    <w:rsid w:val="002849B6"/>
    <w:rsid w:val="0028788C"/>
    <w:rsid w:val="00294EB6"/>
    <w:rsid w:val="00296E88"/>
    <w:rsid w:val="0029757E"/>
    <w:rsid w:val="002B030F"/>
    <w:rsid w:val="002B32C3"/>
    <w:rsid w:val="002D6EA9"/>
    <w:rsid w:val="002D6F8B"/>
    <w:rsid w:val="002E235E"/>
    <w:rsid w:val="002E785D"/>
    <w:rsid w:val="00313867"/>
    <w:rsid w:val="003269DA"/>
    <w:rsid w:val="00336BB7"/>
    <w:rsid w:val="00345A91"/>
    <w:rsid w:val="0035744D"/>
    <w:rsid w:val="00362F42"/>
    <w:rsid w:val="003633A4"/>
    <w:rsid w:val="003664A5"/>
    <w:rsid w:val="00381DA1"/>
    <w:rsid w:val="00383D6F"/>
    <w:rsid w:val="00386AE6"/>
    <w:rsid w:val="0039323B"/>
    <w:rsid w:val="00393B57"/>
    <w:rsid w:val="003A685C"/>
    <w:rsid w:val="003B2B41"/>
    <w:rsid w:val="003C169A"/>
    <w:rsid w:val="003C4B7B"/>
    <w:rsid w:val="003D0132"/>
    <w:rsid w:val="003D453F"/>
    <w:rsid w:val="003D48C8"/>
    <w:rsid w:val="003D4F36"/>
    <w:rsid w:val="003D7AC5"/>
    <w:rsid w:val="003E18B8"/>
    <w:rsid w:val="003F5E34"/>
    <w:rsid w:val="003F5F4F"/>
    <w:rsid w:val="003F7909"/>
    <w:rsid w:val="004046BB"/>
    <w:rsid w:val="00415FA7"/>
    <w:rsid w:val="00424133"/>
    <w:rsid w:val="00430551"/>
    <w:rsid w:val="00430828"/>
    <w:rsid w:val="00431675"/>
    <w:rsid w:val="0043195C"/>
    <w:rsid w:val="00435833"/>
    <w:rsid w:val="0044154C"/>
    <w:rsid w:val="0044787D"/>
    <w:rsid w:val="00453A84"/>
    <w:rsid w:val="004604B5"/>
    <w:rsid w:val="0046240F"/>
    <w:rsid w:val="00464626"/>
    <w:rsid w:val="00473B7C"/>
    <w:rsid w:val="00475FED"/>
    <w:rsid w:val="00484136"/>
    <w:rsid w:val="004879BD"/>
    <w:rsid w:val="004B437A"/>
    <w:rsid w:val="004C3CBD"/>
    <w:rsid w:val="004E0A54"/>
    <w:rsid w:val="004F437C"/>
    <w:rsid w:val="004F7C73"/>
    <w:rsid w:val="00505F44"/>
    <w:rsid w:val="00507DC2"/>
    <w:rsid w:val="005106B7"/>
    <w:rsid w:val="00522E37"/>
    <w:rsid w:val="00523130"/>
    <w:rsid w:val="00523B00"/>
    <w:rsid w:val="0054336A"/>
    <w:rsid w:val="00586D7F"/>
    <w:rsid w:val="005874DC"/>
    <w:rsid w:val="00592ECF"/>
    <w:rsid w:val="0059670D"/>
    <w:rsid w:val="005A2BDF"/>
    <w:rsid w:val="005A3934"/>
    <w:rsid w:val="005B065E"/>
    <w:rsid w:val="005B2617"/>
    <w:rsid w:val="005B504C"/>
    <w:rsid w:val="005C1E3C"/>
    <w:rsid w:val="005C633B"/>
    <w:rsid w:val="005D1F6F"/>
    <w:rsid w:val="005E068A"/>
    <w:rsid w:val="005E336E"/>
    <w:rsid w:val="005E7D7A"/>
    <w:rsid w:val="005F1989"/>
    <w:rsid w:val="005F4DA0"/>
    <w:rsid w:val="00627AF5"/>
    <w:rsid w:val="0063354F"/>
    <w:rsid w:val="00675490"/>
    <w:rsid w:val="00685477"/>
    <w:rsid w:val="0069547C"/>
    <w:rsid w:val="00696B01"/>
    <w:rsid w:val="006B0298"/>
    <w:rsid w:val="006C6261"/>
    <w:rsid w:val="006D5B07"/>
    <w:rsid w:val="006D78A4"/>
    <w:rsid w:val="006E5442"/>
    <w:rsid w:val="006E571A"/>
    <w:rsid w:val="006E62E5"/>
    <w:rsid w:val="006F479D"/>
    <w:rsid w:val="006F742A"/>
    <w:rsid w:val="007032E2"/>
    <w:rsid w:val="00710B1C"/>
    <w:rsid w:val="00714B27"/>
    <w:rsid w:val="007215AC"/>
    <w:rsid w:val="00731C59"/>
    <w:rsid w:val="00743332"/>
    <w:rsid w:val="00751D4C"/>
    <w:rsid w:val="00752613"/>
    <w:rsid w:val="00762570"/>
    <w:rsid w:val="00766983"/>
    <w:rsid w:val="007751BE"/>
    <w:rsid w:val="0079773E"/>
    <w:rsid w:val="007A4901"/>
    <w:rsid w:val="007A77AC"/>
    <w:rsid w:val="007B3B2E"/>
    <w:rsid w:val="007C1877"/>
    <w:rsid w:val="007C3E57"/>
    <w:rsid w:val="007C4962"/>
    <w:rsid w:val="007D5560"/>
    <w:rsid w:val="007D7E2A"/>
    <w:rsid w:val="007E43D3"/>
    <w:rsid w:val="007F1941"/>
    <w:rsid w:val="0080140B"/>
    <w:rsid w:val="00801F1A"/>
    <w:rsid w:val="008077B0"/>
    <w:rsid w:val="00836423"/>
    <w:rsid w:val="00837F95"/>
    <w:rsid w:val="008549B5"/>
    <w:rsid w:val="00882EA6"/>
    <w:rsid w:val="00887076"/>
    <w:rsid w:val="008A1177"/>
    <w:rsid w:val="008A1C1E"/>
    <w:rsid w:val="008A7EE9"/>
    <w:rsid w:val="008B11D3"/>
    <w:rsid w:val="008B2EA8"/>
    <w:rsid w:val="008B6433"/>
    <w:rsid w:val="008B6A78"/>
    <w:rsid w:val="008B7182"/>
    <w:rsid w:val="008B7306"/>
    <w:rsid w:val="008D7C40"/>
    <w:rsid w:val="0090423A"/>
    <w:rsid w:val="00905E06"/>
    <w:rsid w:val="00922551"/>
    <w:rsid w:val="009254D7"/>
    <w:rsid w:val="00930A9A"/>
    <w:rsid w:val="009313F3"/>
    <w:rsid w:val="00936798"/>
    <w:rsid w:val="00937BC1"/>
    <w:rsid w:val="00956253"/>
    <w:rsid w:val="00956A76"/>
    <w:rsid w:val="00961DB5"/>
    <w:rsid w:val="00970732"/>
    <w:rsid w:val="00973FA9"/>
    <w:rsid w:val="00997282"/>
    <w:rsid w:val="00997E98"/>
    <w:rsid w:val="009A66B7"/>
    <w:rsid w:val="009B177F"/>
    <w:rsid w:val="009B4C93"/>
    <w:rsid w:val="009B7289"/>
    <w:rsid w:val="009C1A0E"/>
    <w:rsid w:val="009C4E4A"/>
    <w:rsid w:val="009C500A"/>
    <w:rsid w:val="009C66EC"/>
    <w:rsid w:val="009E6160"/>
    <w:rsid w:val="009F13CC"/>
    <w:rsid w:val="009F1D2F"/>
    <w:rsid w:val="009F7D2D"/>
    <w:rsid w:val="00A11B8A"/>
    <w:rsid w:val="00A259C1"/>
    <w:rsid w:val="00A305E9"/>
    <w:rsid w:val="00A34C88"/>
    <w:rsid w:val="00A441AC"/>
    <w:rsid w:val="00A543EB"/>
    <w:rsid w:val="00A67DC2"/>
    <w:rsid w:val="00A86845"/>
    <w:rsid w:val="00A87EB8"/>
    <w:rsid w:val="00A949EA"/>
    <w:rsid w:val="00AA0825"/>
    <w:rsid w:val="00AB47FA"/>
    <w:rsid w:val="00AB7168"/>
    <w:rsid w:val="00AC2F83"/>
    <w:rsid w:val="00AC4E28"/>
    <w:rsid w:val="00AC5E92"/>
    <w:rsid w:val="00AC7A11"/>
    <w:rsid w:val="00AE5900"/>
    <w:rsid w:val="00AF2528"/>
    <w:rsid w:val="00B01270"/>
    <w:rsid w:val="00B0174B"/>
    <w:rsid w:val="00B023C2"/>
    <w:rsid w:val="00B203EA"/>
    <w:rsid w:val="00B21EEF"/>
    <w:rsid w:val="00B25C8B"/>
    <w:rsid w:val="00B30A0C"/>
    <w:rsid w:val="00B34504"/>
    <w:rsid w:val="00B369C6"/>
    <w:rsid w:val="00B42C7D"/>
    <w:rsid w:val="00B8298A"/>
    <w:rsid w:val="00B849EC"/>
    <w:rsid w:val="00B9292E"/>
    <w:rsid w:val="00BA5694"/>
    <w:rsid w:val="00BA6F6E"/>
    <w:rsid w:val="00BA79C2"/>
    <w:rsid w:val="00BA7B68"/>
    <w:rsid w:val="00BB1698"/>
    <w:rsid w:val="00BB264C"/>
    <w:rsid w:val="00BB3856"/>
    <w:rsid w:val="00BC4434"/>
    <w:rsid w:val="00BD3EEA"/>
    <w:rsid w:val="00BD6BDD"/>
    <w:rsid w:val="00BE2630"/>
    <w:rsid w:val="00BF19D5"/>
    <w:rsid w:val="00BF39AC"/>
    <w:rsid w:val="00C0402C"/>
    <w:rsid w:val="00C07E1E"/>
    <w:rsid w:val="00C27126"/>
    <w:rsid w:val="00C349AB"/>
    <w:rsid w:val="00C40A67"/>
    <w:rsid w:val="00C437D7"/>
    <w:rsid w:val="00C44AB2"/>
    <w:rsid w:val="00C648EB"/>
    <w:rsid w:val="00C66606"/>
    <w:rsid w:val="00C82A62"/>
    <w:rsid w:val="00C87142"/>
    <w:rsid w:val="00C90265"/>
    <w:rsid w:val="00C9393F"/>
    <w:rsid w:val="00C96929"/>
    <w:rsid w:val="00CA40B9"/>
    <w:rsid w:val="00CA40BA"/>
    <w:rsid w:val="00CA4E5C"/>
    <w:rsid w:val="00CB0BAA"/>
    <w:rsid w:val="00CB30D5"/>
    <w:rsid w:val="00CB5E1A"/>
    <w:rsid w:val="00CD02C6"/>
    <w:rsid w:val="00CD4A17"/>
    <w:rsid w:val="00CE2C9D"/>
    <w:rsid w:val="00CF24A3"/>
    <w:rsid w:val="00CF35E0"/>
    <w:rsid w:val="00D03E30"/>
    <w:rsid w:val="00D059FC"/>
    <w:rsid w:val="00D05B5F"/>
    <w:rsid w:val="00D06D76"/>
    <w:rsid w:val="00D14418"/>
    <w:rsid w:val="00D42476"/>
    <w:rsid w:val="00D436BE"/>
    <w:rsid w:val="00D440DE"/>
    <w:rsid w:val="00D45B42"/>
    <w:rsid w:val="00D4623F"/>
    <w:rsid w:val="00D610CF"/>
    <w:rsid w:val="00D64B6A"/>
    <w:rsid w:val="00D80816"/>
    <w:rsid w:val="00D812D7"/>
    <w:rsid w:val="00D91461"/>
    <w:rsid w:val="00DA2F48"/>
    <w:rsid w:val="00DE56BD"/>
    <w:rsid w:val="00DF40F0"/>
    <w:rsid w:val="00DF7AE7"/>
    <w:rsid w:val="00E02818"/>
    <w:rsid w:val="00E06DBF"/>
    <w:rsid w:val="00E11456"/>
    <w:rsid w:val="00E135B0"/>
    <w:rsid w:val="00E13A77"/>
    <w:rsid w:val="00E17C7F"/>
    <w:rsid w:val="00E361AD"/>
    <w:rsid w:val="00E71B26"/>
    <w:rsid w:val="00E71D0C"/>
    <w:rsid w:val="00E7515C"/>
    <w:rsid w:val="00E77CEA"/>
    <w:rsid w:val="00E82A6D"/>
    <w:rsid w:val="00E91C34"/>
    <w:rsid w:val="00E92652"/>
    <w:rsid w:val="00E962DF"/>
    <w:rsid w:val="00EA1903"/>
    <w:rsid w:val="00EA61D1"/>
    <w:rsid w:val="00EA6CB5"/>
    <w:rsid w:val="00EB34DE"/>
    <w:rsid w:val="00EB718E"/>
    <w:rsid w:val="00EC1EAD"/>
    <w:rsid w:val="00EC552F"/>
    <w:rsid w:val="00EC6A6C"/>
    <w:rsid w:val="00ED1524"/>
    <w:rsid w:val="00EE50AF"/>
    <w:rsid w:val="00EE6CF1"/>
    <w:rsid w:val="00EF3E5D"/>
    <w:rsid w:val="00EF4A5B"/>
    <w:rsid w:val="00EF595D"/>
    <w:rsid w:val="00F2167F"/>
    <w:rsid w:val="00F36796"/>
    <w:rsid w:val="00F36FAD"/>
    <w:rsid w:val="00F42126"/>
    <w:rsid w:val="00F71881"/>
    <w:rsid w:val="00F77D95"/>
    <w:rsid w:val="00F81A5C"/>
    <w:rsid w:val="00F83235"/>
    <w:rsid w:val="00F906D9"/>
    <w:rsid w:val="00F91051"/>
    <w:rsid w:val="00F94896"/>
    <w:rsid w:val="00F94EF3"/>
    <w:rsid w:val="00FA2E75"/>
    <w:rsid w:val="00FB16C8"/>
    <w:rsid w:val="00FB4DAE"/>
    <w:rsid w:val="00FB6D8D"/>
    <w:rsid w:val="00FC0946"/>
    <w:rsid w:val="00FC3049"/>
    <w:rsid w:val="00FC6815"/>
    <w:rsid w:val="00FC6BE5"/>
    <w:rsid w:val="00FD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7FC52"/>
  <w14:defaultImageDpi w14:val="32767"/>
  <w15:chartTrackingRefBased/>
  <w15:docId w15:val="{C7EB1A05-C733-724A-A530-97F60932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Tahom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hAnsiTheme="minorHAnsi" w:cstheme="min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6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65E"/>
    <w:rPr>
      <w:rFonts w:asciiTheme="minorHAnsi" w:hAnsiTheme="minorHAnsi" w:cstheme="minorBidi"/>
      <w:b/>
    </w:rPr>
  </w:style>
  <w:style w:type="paragraph" w:styleId="Footer">
    <w:name w:val="footer"/>
    <w:basedOn w:val="Normal"/>
    <w:link w:val="FooterChar"/>
    <w:uiPriority w:val="99"/>
    <w:unhideWhenUsed/>
    <w:rsid w:val="005B06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65E"/>
    <w:rPr>
      <w:rFonts w:asciiTheme="minorHAnsi" w:hAnsiTheme="minorHAnsi" w:cstheme="minorBidi"/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6BD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6BDD"/>
    <w:rPr>
      <w:rFonts w:asciiTheme="minorHAnsi" w:hAnsiTheme="minorHAnsi" w:cstheme="minorBidi"/>
      <w:b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6BD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D6BDD"/>
    <w:rPr>
      <w:color w:val="0563C1" w:themeColor="hyperlink"/>
      <w:u w:val="single"/>
    </w:rPr>
  </w:style>
  <w:style w:type="paragraph" w:customStyle="1" w:styleId="font8">
    <w:name w:val="font_8"/>
    <w:basedOn w:val="Normal"/>
    <w:rsid w:val="00BD6BDD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6F479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3C4B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0825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B47FA"/>
  </w:style>
  <w:style w:type="paragraph" w:styleId="NormalWeb">
    <w:name w:val="Normal (Web)"/>
    <w:basedOn w:val="Normal"/>
    <w:uiPriority w:val="99"/>
    <w:unhideWhenUsed/>
    <w:rsid w:val="00D45B42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i.org/10.1016/j.gloenvcha.2021.102260" TargetMode="External"/><Relationship Id="rId2" Type="http://schemas.openxmlformats.org/officeDocument/2006/relationships/hyperlink" Target="https://doi.org/10.1525/elementa.429" TargetMode="External"/><Relationship Id="rId1" Type="http://schemas.openxmlformats.org/officeDocument/2006/relationships/hyperlink" Target="https://doi.org/10.1093/scipol/scab014" TargetMode="External"/><Relationship Id="rId4" Type="http://schemas.openxmlformats.org/officeDocument/2006/relationships/hyperlink" Target="https://doi.org/10.1371/journal.pone.02656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8A4233-36DB-EA48-A191-BA286ACDF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1400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sara.a.nawaz@gmail.com</dc:creator>
  <cp:keywords/>
  <dc:description/>
  <cp:lastModifiedBy>sara.a.nawaz@gmail.com</cp:lastModifiedBy>
  <cp:revision>7</cp:revision>
  <dcterms:created xsi:type="dcterms:W3CDTF">2022-06-17T10:32:00Z</dcterms:created>
  <dcterms:modified xsi:type="dcterms:W3CDTF">2022-06-17T10:38:00Z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http://www.zotero.org/styles/environmental-science-and-policy</vt:lpwstr>
  </property>
  <property fmtid="{D5CDD505-2E9C-101B-9397-08002B2CF9AE}" pid="9" name="Mendeley Recent Style Name 3_1">
    <vt:lpwstr>Environmental Science and Policy</vt:lpwstr>
  </property>
  <property fmtid="{D5CDD505-2E9C-101B-9397-08002B2CF9AE}" pid="10" name="Mendeley Recent Style Id 4_1">
    <vt:lpwstr>http://www.zotero.org/styles/global-environmental-change</vt:lpwstr>
  </property>
  <property fmtid="{D5CDD505-2E9C-101B-9397-08002B2CF9AE}" pid="11" name="Mendeley Recent Style Name 4_1">
    <vt:lpwstr>Global Environmental Change</vt:lpwstr>
  </property>
  <property fmtid="{D5CDD505-2E9C-101B-9397-08002B2CF9AE}" pid="12" name="Mendeley Recent Style Id 5_1">
    <vt:lpwstr>http://www.zotero.org/styles/modern-language-association</vt:lpwstr>
  </property>
  <property fmtid="{D5CDD505-2E9C-101B-9397-08002B2CF9AE}" pid="13" name="Mendeley Recent Style Name 5_1">
    <vt:lpwstr>Modern Language Association 8th edition</vt:lpwstr>
  </property>
  <property fmtid="{D5CDD505-2E9C-101B-9397-08002B2CF9AE}" pid="14" name="Mendeley Recent Style Id 6_1">
    <vt:lpwstr>http://www.zotero.org/styles/nature-climate-change</vt:lpwstr>
  </property>
  <property fmtid="{D5CDD505-2E9C-101B-9397-08002B2CF9AE}" pid="15" name="Mendeley Recent Style Name 6_1">
    <vt:lpwstr>Nature Climate Change</vt:lpwstr>
  </property>
  <property fmtid="{D5CDD505-2E9C-101B-9397-08002B2CF9AE}" pid="16" name="Mendeley Recent Style Id 7_1">
    <vt:lpwstr>http://www.zotero.org/styles/plos-one</vt:lpwstr>
  </property>
  <property fmtid="{D5CDD505-2E9C-101B-9397-08002B2CF9AE}" pid="17" name="Mendeley Recent Style Name 7_1">
    <vt:lpwstr>PLOS ONE</vt:lpwstr>
  </property>
  <property fmtid="{D5CDD505-2E9C-101B-9397-08002B2CF9AE}" pid="18" name="Mendeley Recent Style Id 8_1">
    <vt:lpwstr>http://www.zotero.org/styles/pnas</vt:lpwstr>
  </property>
  <property fmtid="{D5CDD505-2E9C-101B-9397-08002B2CF9AE}" pid="19" name="Mendeley Recent Style Name 8_1">
    <vt:lpwstr>Proceedings of the National Academy of Sciences of the United States of America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