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pPr>
      <w:r>
        <w:rPr>
          <w:rFonts w:ascii="Arial" w:hAnsi="Arial" w:eastAsia="黑体"/>
          <w:b/>
          <w:i w:val="0"/>
          <w:color w:val="1B3A5C"/>
          <w:sz w:val="44"/>
        </w:rPr>
        <w:t>意义智能 · 元智能理论与分层应用</w:t>
      </w:r>
    </w:p>
    <w:p>
      <w:pPr>
        <w:spacing w:line="276" w:lineRule="auto" w:before="0" w:after="200"/>
      </w:pPr>
      <w:r>
        <w:rPr>
          <w:rFonts w:ascii="Arial" w:hAnsi="Arial" w:eastAsia="黑体"/>
          <w:b w:val="0"/>
          <w:i w:val="0"/>
          <w:color w:val="7A8CA3"/>
          <w:sz w:val="27"/>
        </w:rPr>
        <w:t>Meaning Intelligence: Meta-Intelligence Theory and Layered Applications</w:t>
      </w:r>
    </w:p>
    <w:p>
      <w:pPr>
        <w:spacing w:line="312" w:lineRule="auto" w:before="0" w:after="40"/>
        <w:jc w:val="left"/>
      </w:pPr>
      <w:r>
        <w:rPr>
          <w:rFonts w:ascii="Arial" w:hAnsi="Arial" w:eastAsia="黑体"/>
          <w:b/>
          <w:i w:val="0"/>
          <w:color w:val="1B3A5C"/>
          <w:sz w:val="28"/>
        </w:rPr>
        <w:t>公开发布白皮书 v1.1</w:t>
      </w:r>
      <w:r>
        <w:rPr>
          <w:rFonts w:ascii="Arial" w:hAnsi="Arial" w:eastAsia="黑体"/>
          <w:b w:val="0"/>
          <w:i w:val="0"/>
          <w:color w:val="7A8CA3"/>
          <w:sz w:val="20"/>
        </w:rPr>
        <w:t xml:space="preserve">　Public Release White Paper v1.1</w:t>
      </w:r>
    </w:p>
    <w:p>
      <w:pPr>
        <w:spacing w:line="312" w:lineRule="auto" w:before="0" w:after="360"/>
      </w:pPr>
      <w:r>
        <w:rPr>
          <w:rFonts w:ascii="Cambria" w:hAnsi="Cambria" w:eastAsia="宋体"/>
          <w:b w:val="0"/>
          <w:i w:val="0"/>
          <w:color w:val="4A5A70"/>
          <w:sz w:val="21"/>
        </w:rPr>
        <w:t>对齐正典：《意义智能：意义文明的认知操作系统》V7.0</w:t>
      </w:r>
      <w:r>
        <w:rPr>
          <w:rFonts w:ascii="Cambria" w:hAnsi="Cambria" w:eastAsia="宋体"/>
          <w:b w:val="0"/>
          <w:i w:val="0"/>
          <w:color w:val="7A8CA3"/>
          <w:sz w:val="18"/>
        </w:rPr>
        <w:t xml:space="preserve">　Aligned with the canonical text: Meaning Intelligence: The Cognitive Operating System of Meaning Civilization, V7.0</w:t>
      </w:r>
    </w:p>
    <w:p>
      <w:pPr>
        <w:spacing w:line="300" w:lineRule="auto" w:before="120" w:after="140"/>
      </w:pPr>
      <w:r>
        <w:rPr>
          <w:rFonts w:ascii="Arial" w:hAnsi="Arial" w:eastAsia="黑体"/>
          <w:b/>
          <w:i w:val="0"/>
          <w:color w:val="1B3A5C"/>
          <w:sz w:val="34"/>
        </w:rPr>
        <w:t>发布声明</w:t>
      </w:r>
      <w:r>
        <w:rPr>
          <w:rFonts w:ascii="Arial" w:hAnsi="Arial" w:eastAsia="黑体"/>
          <w:b w:val="0"/>
          <w:i w:val="0"/>
          <w:color w:val="1B3A5C"/>
          <w:sz w:val="24"/>
        </w:rPr>
        <w:t xml:space="preserve">　Release Statement</w:t>
      </w:r>
    </w:p>
    <w:p>
      <w:pPr>
        <w:spacing w:line="360" w:lineRule="auto" w:before="0" w:after="80"/>
        <w:ind w:firstLine="420"/>
      </w:pPr>
      <w:r>
        <w:rPr>
          <w:rFonts w:ascii="Cambria" w:hAnsi="Cambria" w:eastAsia="宋体"/>
          <w:b w:val="0"/>
          <w:i w:val="0"/>
          <w:color w:val="222222"/>
          <w:sz w:val="24"/>
        </w:rPr>
        <w:t>本白皮书是《意义智能》V7.0 的应用层配套文档。它不新增本体论主张：所有理论命题、构念定义与证据等级一律以 V7.0 正典为准。本白皮书只承担一件事——把正典中的元智能理论，转译为可分层操作、可逐层检验的应用栈。</w:t>
      </w:r>
    </w:p>
    <w:p>
      <w:pPr>
        <w:spacing w:line="324" w:lineRule="auto" w:before="0" w:after="160"/>
        <w:ind w:firstLine="420"/>
      </w:pPr>
      <w:r>
        <w:rPr>
          <w:rFonts w:ascii="Cambria" w:hAnsi="Cambria" w:eastAsia="宋体"/>
          <w:b w:val="0"/>
          <w:i w:val="0"/>
          <w:color w:val="4A5A70"/>
          <w:sz w:val="22"/>
        </w:rPr>
        <w:t>This white paper is a companion document at the application layer of Meaning Intelligence V7.0. It introduces no new ontological claims: all theoretical propositions, construct definitions, and evidence levels follow the V7.0 canon. It does exactly one thing — translate the meta-intelligence theory of the canon into an application stack that can be operated layer by layer and tested layer by layer.</w:t>
      </w:r>
    </w:p>
    <w:p>
      <w:pPr>
        <w:spacing w:line="288" w:lineRule="auto" w:before="200" w:after="60"/>
      </w:pPr>
      <w:r>
        <w:rPr>
          <w:rFonts w:ascii="Arial" w:hAnsi="Arial" w:eastAsia="黑体"/>
          <w:b/>
          <w:i w:val="0"/>
          <w:color w:val="1B3A5C"/>
          <w:sz w:val="22"/>
        </w:rPr>
        <w:t>三条自我约束</w:t>
      </w:r>
      <w:r>
        <w:rPr>
          <w:rFonts w:ascii="Arial" w:hAnsi="Arial" w:eastAsia="黑体"/>
          <w:b w:val="0"/>
          <w:i w:val="0"/>
          <w:color w:val="7A8CA3"/>
          <w:sz w:val="18"/>
        </w:rPr>
        <w:t xml:space="preserve">　[Three Self-Imposed Constraints]</w:t>
      </w:r>
    </w:p>
    <w:p>
      <w:pPr>
        <w:spacing w:line="336" w:lineRule="auto" w:before="0" w:after="40"/>
        <w:ind w:left="420"/>
      </w:pPr>
      <w:r>
        <w:rPr>
          <w:rFonts w:ascii="Cambria" w:hAnsi="Cambria" w:eastAsia="宋体"/>
          <w:b w:val="0"/>
          <w:i w:val="0"/>
          <w:color w:val="222222"/>
          <w:sz w:val="23"/>
        </w:rPr>
        <w:t>· 理论从属：凡本白皮书与正典冲突之处，以正典为准。</w:t>
      </w:r>
    </w:p>
    <w:p>
      <w:pPr>
        <w:spacing w:line="312" w:lineRule="auto" w:before="0" w:after="120"/>
        <w:ind w:left="624"/>
      </w:pPr>
      <w:r>
        <w:rPr>
          <w:rFonts w:ascii="Cambria" w:hAnsi="Cambria" w:eastAsia="宋体"/>
          <w:b w:val="0"/>
          <w:i w:val="0"/>
          <w:color w:val="4A5A70"/>
          <w:sz w:val="21"/>
        </w:rPr>
        <w:t>Theoretical subordination: wherever this white paper conflicts with the canon, the canon prevails.</w:t>
      </w:r>
    </w:p>
    <w:p>
      <w:pPr>
        <w:spacing w:line="336" w:lineRule="auto" w:before="0" w:after="40"/>
        <w:ind w:left="420"/>
      </w:pPr>
      <w:r>
        <w:rPr>
          <w:rFonts w:ascii="Cambria" w:hAnsi="Cambria" w:eastAsia="宋体"/>
          <w:b w:val="0"/>
          <w:i w:val="0"/>
          <w:color w:val="222222"/>
          <w:sz w:val="23"/>
        </w:rPr>
        <w:t>· 证据诚实：每一层均标注证据等级并给出证伪条件；不确定处标注「待检验」，不写成「已成立」。</w:t>
      </w:r>
    </w:p>
    <w:p>
      <w:pPr>
        <w:spacing w:line="312" w:lineRule="auto" w:before="0" w:after="120"/>
        <w:ind w:left="624"/>
      </w:pPr>
      <w:r>
        <w:rPr>
          <w:rFonts w:ascii="Cambria" w:hAnsi="Cambria" w:eastAsia="宋体"/>
          <w:b w:val="0"/>
          <w:i w:val="0"/>
          <w:color w:val="4A5A70"/>
          <w:sz w:val="21"/>
        </w:rPr>
        <w:t>Evidence honesty: every layer carries an evidence level and a falsification condition; what is uncertain is marked "to be tested", never written as "established".</w:t>
      </w:r>
    </w:p>
    <w:p>
      <w:pPr>
        <w:spacing w:line="336" w:lineRule="auto" w:before="0" w:after="40"/>
        <w:ind w:left="420"/>
      </w:pPr>
      <w:r>
        <w:rPr>
          <w:rFonts w:ascii="Cambria" w:hAnsi="Cambria" w:eastAsia="宋体"/>
          <w:b w:val="0"/>
          <w:i w:val="0"/>
          <w:color w:val="222222"/>
          <w:sz w:val="23"/>
        </w:rPr>
        <w:t>· 结构标明：六层栈本身是本白皮书提出的整合结构，当前证据等级为 E0（概念），尚未经过独立检验。请把它当作一个待检验的组织工具，而非一个已证实的发现。</w:t>
      </w:r>
    </w:p>
    <w:p>
      <w:pPr>
        <w:spacing w:line="312" w:lineRule="auto" w:before="0" w:after="120"/>
        <w:ind w:left="624"/>
      </w:pPr>
      <w:r>
        <w:rPr>
          <w:rFonts w:ascii="Cambria" w:hAnsi="Cambria" w:eastAsia="宋体"/>
          <w:b w:val="0"/>
          <w:i w:val="0"/>
          <w:color w:val="4A5A70"/>
          <w:sz w:val="21"/>
        </w:rPr>
        <w:t>Structural disclosure: the six-layer stack itself is an integrative structure proposed by this white paper. Its current evidence level is E0 (conceptual); it has not been independently tested. Treat it as a testable organizing tool, not a confirmed finding.</w:t>
      </w:r>
    </w:p>
    <w:p>
      <w:pPr>
        <w:spacing w:line="312" w:lineRule="auto" w:before="80" w:after="60"/>
      </w:pPr>
      <w:r>
        <w:rPr>
          <w:rFonts w:ascii="Cambria" w:hAnsi="Cambria" w:eastAsia="宋体"/>
          <w:b w:val="0"/>
          <w:i w:val="0"/>
          <w:color w:val="4A5A70"/>
          <w:sz w:val="19"/>
        </w:rPr>
        <w:t>说明：正典《意义智能》V7.0 的中英双语版本仅在标题与图表题层面双语。本白皮书作为独立发布物，正文亦提供英文，以便英文读者完整阅读——这是刻意的体例升级，不改变正典体例。</w:t>
      </w:r>
    </w:p>
    <w:p>
      <w:pPr>
        <w:spacing w:line="300" w:lineRule="auto" w:before="0" w:after="160"/>
      </w:pPr>
      <w:r>
        <w:rPr>
          <w:rFonts w:ascii="Cambria" w:hAnsi="Cambria" w:eastAsia="宋体"/>
          <w:b w:val="0"/>
          <w:i w:val="0"/>
          <w:color w:val="7A8CA3"/>
          <w:sz w:val="18"/>
        </w:rPr>
        <w:t>Note: the bilingual edition of the canon provides English only at headings and captions. As a standalone release document, this white paper also provides English for body text so that English readers can read it in full — a deliberate upgrade in convention that does not alter the canon's own convention.</w:t>
      </w:r>
    </w:p>
    <w:p>
      <w:pPr>
        <w:spacing w:line="300" w:lineRule="auto" w:before="320" w:after="140"/>
      </w:pPr>
      <w:r>
        <w:rPr>
          <w:rFonts w:ascii="Arial" w:hAnsi="Arial" w:eastAsia="黑体"/>
          <w:b/>
          <w:i w:val="0"/>
          <w:color w:val="1B3A5C"/>
          <w:sz w:val="34"/>
        </w:rPr>
        <w:t>一页总览</w:t>
      </w:r>
      <w:r>
        <w:rPr>
          <w:rFonts w:ascii="Arial" w:hAnsi="Arial" w:eastAsia="黑体"/>
          <w:b w:val="0"/>
          <w:i w:val="0"/>
          <w:color w:val="1B3A5C"/>
          <w:sz w:val="24"/>
        </w:rPr>
        <w:t xml:space="preserve">　One-Page Overview</w:t>
      </w:r>
    </w:p>
    <w:p>
      <w:pPr>
        <w:spacing w:line="288" w:lineRule="auto" w:before="200" w:after="60"/>
      </w:pPr>
      <w:r>
        <w:rPr>
          <w:rFonts w:ascii="Arial" w:hAnsi="Arial" w:eastAsia="黑体"/>
          <w:b/>
          <w:i w:val="0"/>
          <w:color w:val="1B3A5C"/>
          <w:sz w:val="22"/>
        </w:rPr>
        <w:t>元智能的定义（引自正典 1.3）</w:t>
      </w:r>
      <w:r>
        <w:rPr>
          <w:rFonts w:ascii="Arial" w:hAnsi="Arial" w:eastAsia="黑体"/>
          <w:b w:val="0"/>
          <w:i w:val="0"/>
          <w:color w:val="7A8CA3"/>
          <w:sz w:val="18"/>
        </w:rPr>
        <w:t xml:space="preserve">　[Definition of Meta-Intelligence, from Canon §1.3]</w:t>
      </w:r>
    </w:p>
    <w:p>
      <w:pPr>
        <w:spacing w:line="360" w:lineRule="auto" w:before="0" w:after="80"/>
        <w:ind w:firstLine="420"/>
      </w:pPr>
      <w:r>
        <w:rPr>
          <w:rFonts w:ascii="Cambria" w:hAnsi="Cambria" w:eastAsia="宋体"/>
          <w:b w:val="0"/>
          <w:i w:val="0"/>
          <w:color w:val="222222"/>
          <w:sz w:val="24"/>
        </w:rPr>
        <w:t>意义智能是对其他智能活动的方向性调控。它不是与逻辑智能、计算智能、感知智能并列的第四类智能，而是位于它们之上、对它们进行方向约束的元层。它的追问不是「能不能做到」，而是「值不值得做？对谁值得？在什么尺度上值得？」</w:t>
      </w:r>
    </w:p>
    <w:p>
      <w:pPr>
        <w:spacing w:line="324" w:lineRule="auto" w:before="0" w:after="160"/>
        <w:ind w:firstLine="420"/>
      </w:pPr>
      <w:r>
        <w:rPr>
          <w:rFonts w:ascii="Cambria" w:hAnsi="Cambria" w:eastAsia="宋体"/>
          <w:b w:val="0"/>
          <w:i w:val="0"/>
          <w:color w:val="4A5A70"/>
          <w:sz w:val="22"/>
        </w:rPr>
        <w:t>Meaning intelligence is the directional regulation of other intelligent activities. It is not a fourth kind of intelligence standing alongside logical, computational, and perceptual intelligence, but a meta-layer above them that constrains their direction. Its question is not "can it be done" but "is it worth doing — worth it for whom, and at what scale?"</w:t>
      </w:r>
    </w:p>
    <w:p>
      <w:pPr>
        <w:spacing w:line="288" w:lineRule="auto" w:before="200" w:after="60"/>
      </w:pPr>
      <w:r>
        <w:rPr>
          <w:rFonts w:ascii="Arial" w:hAnsi="Arial" w:eastAsia="黑体"/>
          <w:b/>
          <w:i w:val="0"/>
          <w:color w:val="1B3A5C"/>
          <w:sz w:val="22"/>
        </w:rPr>
        <w:t>六层不是六个功能，而是一个递归栈</w:t>
      </w:r>
      <w:r>
        <w:rPr>
          <w:rFonts w:ascii="Arial" w:hAnsi="Arial" w:eastAsia="黑体"/>
          <w:b w:val="0"/>
          <w:i w:val="0"/>
          <w:color w:val="7A8CA3"/>
          <w:sz w:val="18"/>
        </w:rPr>
        <w:t xml:space="preserve">　[Six Layers as a Recursive Stack, Not Six Features]</w:t>
      </w:r>
    </w:p>
    <w:p>
      <w:pPr>
        <w:spacing w:line="360" w:lineRule="auto" w:before="0" w:after="80"/>
        <w:ind w:firstLine="420"/>
      </w:pPr>
      <w:r>
        <w:rPr>
          <w:rFonts w:ascii="Cambria" w:hAnsi="Cambria" w:eastAsia="宋体"/>
          <w:b w:val="0"/>
          <w:i w:val="0"/>
          <w:color w:val="222222"/>
          <w:sz w:val="24"/>
        </w:rPr>
        <w:t>六层按认知距离分为三带：界面带（L1–L2）解决「信息进不来」，把外部信息压到可处理的带宽内；加工带（L3–L4）解决「意义出不来」，把材料转成有结构、有强度标注的判断；元带（L5–L6）解决「方向守不住」，选定方向并让系统审视自己的审视。三带之中，只有元带具备改写下层前提的能力——这正是「元」的形式特征。</w:t>
      </w:r>
    </w:p>
    <w:p>
      <w:pPr>
        <w:spacing w:line="324" w:lineRule="auto" w:before="0" w:after="160"/>
        <w:ind w:firstLine="420"/>
      </w:pPr>
      <w:r>
        <w:rPr>
          <w:rFonts w:ascii="Cambria" w:hAnsi="Cambria" w:eastAsia="宋体"/>
          <w:b w:val="0"/>
          <w:i w:val="0"/>
          <w:color w:val="4A5A70"/>
          <w:sz w:val="22"/>
        </w:rPr>
        <w:t>The six layers fall into three bands by cognitive distance. The interface band (L1–L2) solves "information cannot get in" by compressing external input to a workable bandwidth. The processing band (L3–L4) solves "meaning cannot get out" by turning material into structured judgments carrying strength labels. The meta band (L5–L6) solves "direction cannot be held" by selecting a direction and letting the system review its own review. Of the three bands, only the meta band can rewrite the premises of the layers below — this is the formal signature of "meta".</w:t>
      </w:r>
    </w:p>
    <w:p>
      <w:pPr>
        <w:spacing w:line="240" w:lineRule="auto" w:before="120" w:after="60"/>
        <w:jc w:val="center"/>
      </w:pPr>
      <w:r>
        <w:drawing>
          <wp:inline xmlns:a="http://schemas.openxmlformats.org/drawingml/2006/main" xmlns:pic="http://schemas.openxmlformats.org/drawingml/2006/picture">
            <wp:extent cx="5256000" cy="3352966"/>
            <wp:docPr id="1" name="Picture 1"/>
            <wp:cNvGraphicFramePr>
              <a:graphicFrameLocks noChangeAspect="1"/>
            </wp:cNvGraphicFramePr>
            <a:graphic>
              <a:graphicData uri="http://schemas.openxmlformats.org/drawingml/2006/picture">
                <pic:pic>
                  <pic:nvPicPr>
                    <pic:cNvPr id="0" name="fig1_six_layer_stack.png"/>
                    <pic:cNvPicPr/>
                  </pic:nvPicPr>
                  <pic:blipFill>
                    <a:blip r:embed="rId9"/>
                    <a:stretch>
                      <a:fillRect/>
                    </a:stretch>
                  </pic:blipFill>
                  <pic:spPr>
                    <a:xfrm>
                      <a:off x="0" y="0"/>
                      <a:ext cx="5256000" cy="3352966"/>
                    </a:xfrm>
                    <a:prstGeom prst="rect"/>
                  </pic:spPr>
                </pic:pic>
              </a:graphicData>
            </a:graphic>
          </wp:inline>
        </w:drawing>
      </w:r>
    </w:p>
    <w:p>
      <w:pPr>
        <w:spacing w:line="300" w:lineRule="auto" w:before="0" w:after="200"/>
        <w:jc w:val="center"/>
      </w:pPr>
      <w:r>
        <w:rPr>
          <w:rFonts w:ascii="Arial" w:hAnsi="Arial" w:eastAsia="黑体"/>
          <w:b/>
          <w:i w:val="0"/>
          <w:color w:val="1B3A5C"/>
          <w:sz w:val="20"/>
        </w:rPr>
        <w:t>图 1　元智能六层栈</w:t>
      </w:r>
    </w:p>
    <w:p>
      <w:pPr>
        <w:spacing w:line="288" w:lineRule="auto" w:before="0" w:after="240"/>
        <w:jc w:val="center"/>
      </w:pPr>
      <w:r>
        <w:rPr>
          <w:rFonts w:ascii="Arial" w:hAnsi="Arial" w:eastAsia="黑体"/>
          <w:b w:val="0"/>
          <w:i w:val="0"/>
          <w:color w:val="7A8CA3"/>
          <w:sz w:val="17"/>
        </w:rPr>
        <w:t>Figure 1  The Six-Layer Meta-Intelligence Stack</w:t>
      </w:r>
    </w:p>
    <w:p>
      <w:pPr>
        <w:spacing w:line="288" w:lineRule="auto" w:before="240" w:after="80"/>
      </w:pPr>
      <w:r>
        <w:rPr>
          <w:rFonts w:ascii="Arial" w:hAnsi="Arial" w:eastAsia="黑体"/>
          <w:b/>
          <w:i w:val="0"/>
          <w:color w:val="1B3A5C"/>
          <w:sz w:val="22"/>
        </w:rPr>
        <w:t>表 1　六层总表</w:t>
      </w:r>
      <w:r>
        <w:rPr>
          <w:rFonts w:ascii="Arial" w:hAnsi="Arial" w:eastAsia="黑体"/>
          <w:b w:val="0"/>
          <w:i w:val="0"/>
          <w:color w:val="7A8CA3"/>
          <w:sz w:val="17"/>
        </w:rPr>
        <w:t xml:space="preserve">  |  Table 1  Overview of the Six Layers</w:t>
      </w:r>
    </w:p>
    <w:tbl>
      <w:tblPr>
        <w:tblStyle w:val="TableGrid"/>
        <w:tblW w:type="auto" w:w="0"/>
        <w:jc w:val="center"/>
        <w:tblLayout w:type="fixed"/>
        <w:tblLook w:firstColumn="1" w:firstRow="1" w:lastColumn="0" w:lastRow="0" w:noHBand="0" w:noVBand="1" w:val="04A0"/>
        <w:tblLayout w:type="fixed"/>
      </w:tblPr>
      <w:tblGrid>
        <w:gridCol w:w="680"/>
        <w:gridCol w:w="1474"/>
        <w:gridCol w:w="2268"/>
        <w:gridCol w:w="2268"/>
        <w:gridCol w:w="1587"/>
      </w:tblGrid>
      <w:tr>
        <w:tc>
          <w:tcPr>
            <w:tcW w:type="dxa" w:w="680"/>
            <w:shd w:val="clear" w:fill="1B3A5C"/>
          </w:tcPr>
          <w:p>
            <w:pPr>
              <w:spacing w:line="276" w:lineRule="auto" w:after="20" w:before="20"/>
            </w:pPr>
            <w:r>
              <w:rPr>
                <w:rFonts w:ascii="Arial" w:hAnsi="Arial" w:eastAsia="黑体"/>
                <w:b/>
                <w:i w:val="0"/>
                <w:color w:val="FFFFFF"/>
                <w:sz w:val="19"/>
              </w:rPr>
              <w:t>层</w:t>
            </w:r>
          </w:p>
        </w:tc>
        <w:tc>
          <w:tcPr>
            <w:tcW w:type="dxa" w:w="1474"/>
            <w:shd w:val="clear" w:fill="1B3A5C"/>
          </w:tcPr>
          <w:p>
            <w:pPr>
              <w:spacing w:line="276" w:lineRule="auto" w:after="20" w:before="20"/>
            </w:pPr>
            <w:r>
              <w:rPr>
                <w:rFonts w:ascii="Arial" w:hAnsi="Arial" w:eastAsia="黑体"/>
                <w:b/>
                <w:i w:val="0"/>
                <w:color w:val="FFFFFF"/>
                <w:sz w:val="19"/>
              </w:rPr>
              <w:t>名称</w:t>
            </w:r>
          </w:p>
        </w:tc>
        <w:tc>
          <w:tcPr>
            <w:tcW w:type="dxa" w:w="2268"/>
            <w:shd w:val="clear" w:fill="1B3A5C"/>
          </w:tcPr>
          <w:p>
            <w:pPr>
              <w:spacing w:line="276" w:lineRule="auto" w:after="20" w:before="20"/>
            </w:pPr>
            <w:r>
              <w:rPr>
                <w:rFonts w:ascii="Arial" w:hAnsi="Arial" w:eastAsia="黑体"/>
                <w:b/>
                <w:i w:val="0"/>
                <w:color w:val="FFFFFF"/>
                <w:sz w:val="19"/>
              </w:rPr>
              <w:t>一句话定义</w:t>
            </w:r>
          </w:p>
        </w:tc>
        <w:tc>
          <w:tcPr>
            <w:tcW w:type="dxa" w:w="2268"/>
            <w:shd w:val="clear" w:fill="1B3A5C"/>
          </w:tcPr>
          <w:p>
            <w:pPr>
              <w:spacing w:line="276" w:lineRule="auto" w:after="20" w:before="20"/>
            </w:pPr>
            <w:r>
              <w:rPr>
                <w:rFonts w:ascii="Arial" w:hAnsi="Arial" w:eastAsia="黑体"/>
                <w:b/>
                <w:i w:val="0"/>
                <w:color w:val="FFFFFF"/>
                <w:sz w:val="19"/>
              </w:rPr>
              <w:t>理论锚点（正典）</w:t>
            </w:r>
          </w:p>
        </w:tc>
        <w:tc>
          <w:tcPr>
            <w:tcW w:type="dxa" w:w="1587"/>
            <w:shd w:val="clear" w:fill="1B3A5C"/>
          </w:tcPr>
          <w:p>
            <w:pPr>
              <w:spacing w:line="276" w:lineRule="auto" w:after="20" w:before="20"/>
            </w:pPr>
            <w:r>
              <w:rPr>
                <w:rFonts w:ascii="Arial" w:hAnsi="Arial" w:eastAsia="黑体"/>
                <w:b/>
                <w:i w:val="0"/>
                <w:color w:val="FFFFFF"/>
                <w:sz w:val="19"/>
              </w:rPr>
              <w:t>证据等级</w:t>
            </w:r>
          </w:p>
        </w:tc>
      </w:tr>
      <w:tr>
        <w:tc>
          <w:tcPr>
            <w:tcW w:type="dxa" w:w="680"/>
          </w:tcPr>
          <w:p>
            <w:pPr>
              <w:spacing w:line="288" w:lineRule="auto" w:after="20" w:before="20"/>
            </w:pPr>
            <w:r>
              <w:rPr>
                <w:rFonts w:ascii="Cambria" w:hAnsi="Cambria" w:eastAsia="宋体"/>
                <w:b w:val="0"/>
                <w:i w:val="0"/>
                <w:color w:val="222222"/>
                <w:sz w:val="18"/>
              </w:rPr>
              <w:t>L1</w:t>
            </w:r>
          </w:p>
        </w:tc>
        <w:tc>
          <w:tcPr>
            <w:tcW w:type="dxa" w:w="1474"/>
          </w:tcPr>
          <w:p>
            <w:pPr>
              <w:spacing w:line="288" w:lineRule="auto" w:after="20" w:before="20"/>
            </w:pPr>
            <w:r>
              <w:rPr>
                <w:rFonts w:ascii="Cambria" w:hAnsi="Cambria" w:eastAsia="宋体"/>
                <w:b w:val="0"/>
                <w:i w:val="0"/>
                <w:color w:val="222222"/>
                <w:sz w:val="18"/>
              </w:rPr>
              <w:t>减负</w:t>
            </w:r>
          </w:p>
        </w:tc>
        <w:tc>
          <w:tcPr>
            <w:tcW w:type="dxa" w:w="2268"/>
          </w:tcPr>
          <w:p>
            <w:pPr>
              <w:spacing w:line="288" w:lineRule="auto" w:after="20" w:before="20"/>
            </w:pPr>
            <w:r>
              <w:rPr>
                <w:rFonts w:ascii="Cambria" w:hAnsi="Cambria" w:eastAsia="宋体"/>
                <w:b w:val="0"/>
                <w:i w:val="0"/>
                <w:color w:val="222222"/>
                <w:sz w:val="18"/>
              </w:rPr>
              <w:t>把认知负荷从信息量转移到结构</w:t>
            </w:r>
          </w:p>
        </w:tc>
        <w:tc>
          <w:tcPr>
            <w:tcW w:type="dxa" w:w="2268"/>
          </w:tcPr>
          <w:p>
            <w:pPr>
              <w:spacing w:line="288" w:lineRule="auto" w:after="20" w:before="20"/>
            </w:pPr>
            <w:r>
              <w:rPr>
                <w:rFonts w:ascii="Cambria" w:hAnsi="Cambria" w:eastAsia="宋体"/>
                <w:b w:val="0"/>
                <w:i w:val="0"/>
                <w:color w:val="222222"/>
                <w:sz w:val="18"/>
              </w:rPr>
              <w:t>第1章 1.1；工具 A.1</w:t>
            </w:r>
          </w:p>
        </w:tc>
        <w:tc>
          <w:tcPr>
            <w:tcW w:type="dxa" w:w="1587"/>
          </w:tcPr>
          <w:p>
            <w:pPr>
              <w:spacing w:line="288" w:lineRule="auto" w:after="20" w:before="20"/>
            </w:pPr>
            <w:r>
              <w:rPr>
                <w:rFonts w:ascii="Cambria" w:hAnsi="Cambria" w:eastAsia="宋体"/>
                <w:b w:val="0"/>
                <w:i w:val="0"/>
                <w:color w:val="222222"/>
                <w:sz w:val="18"/>
              </w:rPr>
              <w:t>机制 E3 / 本框架 E1</w:t>
            </w:r>
          </w:p>
        </w:tc>
      </w:tr>
      <w:tr>
        <w:tc>
          <w:tcPr>
            <w:tcW w:type="dxa" w:w="680"/>
            <w:shd w:val="clear" w:fill="EEF2F7"/>
          </w:tcPr>
          <w:p>
            <w:pPr>
              <w:spacing w:line="288" w:lineRule="auto" w:after="20" w:before="20"/>
            </w:pPr>
            <w:r>
              <w:rPr>
                <w:rFonts w:ascii="Cambria" w:hAnsi="Cambria" w:eastAsia="宋体"/>
                <w:b w:val="0"/>
                <w:i w:val="0"/>
                <w:color w:val="222222"/>
                <w:sz w:val="18"/>
              </w:rPr>
              <w:t>L2</w:t>
            </w:r>
          </w:p>
        </w:tc>
        <w:tc>
          <w:tcPr>
            <w:tcW w:type="dxa" w:w="1474"/>
            <w:shd w:val="clear" w:fill="EEF2F7"/>
          </w:tcPr>
          <w:p>
            <w:pPr>
              <w:spacing w:line="288" w:lineRule="auto" w:after="20" w:before="20"/>
            </w:pPr>
            <w:r>
              <w:rPr>
                <w:rFonts w:ascii="Cambria" w:hAnsi="Cambria" w:eastAsia="宋体"/>
                <w:b w:val="0"/>
                <w:i w:val="0"/>
                <w:color w:val="222222"/>
                <w:sz w:val="18"/>
              </w:rPr>
              <w:t>可体验</w:t>
            </w:r>
          </w:p>
        </w:tc>
        <w:tc>
          <w:tcPr>
            <w:tcW w:type="dxa" w:w="2268"/>
            <w:shd w:val="clear" w:fill="EEF2F7"/>
          </w:tcPr>
          <w:p>
            <w:pPr>
              <w:spacing w:line="288" w:lineRule="auto" w:after="20" w:before="20"/>
            </w:pPr>
            <w:r>
              <w:rPr>
                <w:rFonts w:ascii="Cambria" w:hAnsi="Cambria" w:eastAsia="宋体"/>
                <w:b w:val="0"/>
                <w:i w:val="0"/>
                <w:color w:val="222222"/>
                <w:sz w:val="18"/>
              </w:rPr>
              <w:t>把「读到」变成「操作到」</w:t>
            </w:r>
          </w:p>
        </w:tc>
        <w:tc>
          <w:tcPr>
            <w:tcW w:type="dxa" w:w="2268"/>
            <w:shd w:val="clear" w:fill="EEF2F7"/>
          </w:tcPr>
          <w:p>
            <w:pPr>
              <w:spacing w:line="288" w:lineRule="auto" w:after="20" w:before="20"/>
            </w:pPr>
            <w:r>
              <w:rPr>
                <w:rFonts w:ascii="Cambria" w:hAnsi="Cambria" w:eastAsia="宋体"/>
                <w:b w:val="0"/>
                <w:i w:val="0"/>
                <w:color w:val="222222"/>
                <w:sz w:val="18"/>
              </w:rPr>
              <w:t>第3章；第9章 M1</w:t>
            </w:r>
          </w:p>
        </w:tc>
        <w:tc>
          <w:tcPr>
            <w:tcW w:type="dxa" w:w="1587"/>
            <w:shd w:val="clear" w:fill="EEF2F7"/>
          </w:tcPr>
          <w:p>
            <w:pPr>
              <w:spacing w:line="288" w:lineRule="auto" w:after="20" w:before="20"/>
            </w:pPr>
            <w:r>
              <w:rPr>
                <w:rFonts w:ascii="Cambria" w:hAnsi="Cambria" w:eastAsia="宋体"/>
                <w:b w:val="0"/>
                <w:i w:val="0"/>
                <w:color w:val="222222"/>
                <w:sz w:val="18"/>
              </w:rPr>
              <w:t>机制 E3 / 本框架 E1</w:t>
            </w:r>
          </w:p>
        </w:tc>
      </w:tr>
      <w:tr>
        <w:tc>
          <w:tcPr>
            <w:tcW w:type="dxa" w:w="680"/>
          </w:tcPr>
          <w:p>
            <w:pPr>
              <w:spacing w:line="288" w:lineRule="auto" w:after="20" w:before="20"/>
            </w:pPr>
            <w:r>
              <w:rPr>
                <w:rFonts w:ascii="Cambria" w:hAnsi="Cambria" w:eastAsia="宋体"/>
                <w:b w:val="0"/>
                <w:i w:val="0"/>
                <w:color w:val="222222"/>
                <w:sz w:val="18"/>
              </w:rPr>
              <w:t>L3</w:t>
            </w:r>
          </w:p>
        </w:tc>
        <w:tc>
          <w:tcPr>
            <w:tcW w:type="dxa" w:w="1474"/>
          </w:tcPr>
          <w:p>
            <w:pPr>
              <w:spacing w:line="288" w:lineRule="auto" w:after="20" w:before="20"/>
            </w:pPr>
            <w:r>
              <w:rPr>
                <w:rFonts w:ascii="Cambria" w:hAnsi="Cambria" w:eastAsia="宋体"/>
                <w:b w:val="0"/>
                <w:i w:val="0"/>
                <w:color w:val="222222"/>
                <w:sz w:val="18"/>
              </w:rPr>
              <w:t>意义生成</w:t>
            </w:r>
          </w:p>
        </w:tc>
        <w:tc>
          <w:tcPr>
            <w:tcW w:type="dxa" w:w="2268"/>
          </w:tcPr>
          <w:p>
            <w:pPr>
              <w:spacing w:line="288" w:lineRule="auto" w:after="20" w:before="20"/>
            </w:pPr>
            <w:r>
              <w:rPr>
                <w:rFonts w:ascii="Cambria" w:hAnsi="Cambria" w:eastAsia="宋体"/>
                <w:b w:val="0"/>
                <w:i w:val="0"/>
                <w:color w:val="222222"/>
                <w:sz w:val="18"/>
              </w:rPr>
              <w:t>组织成方向·价值·边界</w:t>
            </w:r>
          </w:p>
        </w:tc>
        <w:tc>
          <w:tcPr>
            <w:tcW w:type="dxa" w:w="2268"/>
          </w:tcPr>
          <w:p>
            <w:pPr>
              <w:spacing w:line="288" w:lineRule="auto" w:after="20" w:before="20"/>
            </w:pPr>
            <w:r>
              <w:rPr>
                <w:rFonts w:ascii="Cambria" w:hAnsi="Cambria" w:eastAsia="宋体"/>
                <w:b w:val="0"/>
                <w:i w:val="0"/>
                <w:color w:val="222222"/>
                <w:sz w:val="18"/>
              </w:rPr>
              <w:t>第3章 3.1 / 3.2；第8章 8.1</w:t>
            </w:r>
          </w:p>
        </w:tc>
        <w:tc>
          <w:tcPr>
            <w:tcW w:type="dxa" w:w="1587"/>
          </w:tcPr>
          <w:p>
            <w:pPr>
              <w:spacing w:line="288" w:lineRule="auto" w:after="20" w:before="20"/>
            </w:pPr>
            <w:r>
              <w:rPr>
                <w:rFonts w:ascii="Cambria" w:hAnsi="Cambria" w:eastAsia="宋体"/>
                <w:b w:val="0"/>
                <w:i w:val="0"/>
                <w:color w:val="222222"/>
                <w:sz w:val="18"/>
              </w:rPr>
              <w:t>E0–E1</w:t>
            </w:r>
          </w:p>
        </w:tc>
      </w:tr>
      <w:tr>
        <w:tc>
          <w:tcPr>
            <w:tcW w:type="dxa" w:w="680"/>
            <w:shd w:val="clear" w:fill="EEF2F7"/>
          </w:tcPr>
          <w:p>
            <w:pPr>
              <w:spacing w:line="288" w:lineRule="auto" w:after="20" w:before="20"/>
            </w:pPr>
            <w:r>
              <w:rPr>
                <w:rFonts w:ascii="Cambria" w:hAnsi="Cambria" w:eastAsia="宋体"/>
                <w:b w:val="0"/>
                <w:i w:val="0"/>
                <w:color w:val="222222"/>
                <w:sz w:val="18"/>
              </w:rPr>
              <w:t>L4</w:t>
            </w:r>
          </w:p>
        </w:tc>
        <w:tc>
          <w:tcPr>
            <w:tcW w:type="dxa" w:w="1474"/>
            <w:shd w:val="clear" w:fill="EEF2F7"/>
          </w:tcPr>
          <w:p>
            <w:pPr>
              <w:spacing w:line="288" w:lineRule="auto" w:after="20" w:before="20"/>
            </w:pPr>
            <w:r>
              <w:rPr>
                <w:rFonts w:ascii="Cambria" w:hAnsi="Cambria" w:eastAsia="宋体"/>
                <w:b w:val="0"/>
                <w:i w:val="0"/>
                <w:color w:val="222222"/>
                <w:sz w:val="18"/>
              </w:rPr>
              <w:t>价值评估</w:t>
            </w:r>
          </w:p>
        </w:tc>
        <w:tc>
          <w:tcPr>
            <w:tcW w:type="dxa" w:w="2268"/>
            <w:shd w:val="clear" w:fill="EEF2F7"/>
          </w:tcPr>
          <w:p>
            <w:pPr>
              <w:spacing w:line="288" w:lineRule="auto" w:after="20" w:before="20"/>
            </w:pPr>
            <w:r>
              <w:rPr>
                <w:rFonts w:ascii="Cambria" w:hAnsi="Cambria" w:eastAsia="宋体"/>
                <w:b w:val="0"/>
                <w:i w:val="0"/>
                <w:color w:val="222222"/>
                <w:sz w:val="18"/>
              </w:rPr>
              <w:t>为判断标注证据强度</w:t>
            </w:r>
          </w:p>
        </w:tc>
        <w:tc>
          <w:tcPr>
            <w:tcW w:type="dxa" w:w="2268"/>
            <w:shd w:val="clear" w:fill="EEF2F7"/>
          </w:tcPr>
          <w:p>
            <w:pPr>
              <w:spacing w:line="288" w:lineRule="auto" w:after="20" w:before="20"/>
            </w:pPr>
            <w:r>
              <w:rPr>
                <w:rFonts w:ascii="Cambria" w:hAnsi="Cambria" w:eastAsia="宋体"/>
                <w:b w:val="0"/>
                <w:i w:val="0"/>
                <w:color w:val="222222"/>
                <w:sz w:val="18"/>
              </w:rPr>
              <w:t>第6章 E0–E6；3.3 PE 方程</w:t>
            </w:r>
          </w:p>
        </w:tc>
        <w:tc>
          <w:tcPr>
            <w:tcW w:type="dxa" w:w="1587"/>
            <w:shd w:val="clear" w:fill="EEF2F7"/>
          </w:tcPr>
          <w:p>
            <w:pPr>
              <w:spacing w:line="288" w:lineRule="auto" w:after="20" w:before="20"/>
            </w:pPr>
            <w:r>
              <w:rPr>
                <w:rFonts w:ascii="Cambria" w:hAnsi="Cambria" w:eastAsia="宋体"/>
                <w:b w:val="0"/>
                <w:i w:val="0"/>
                <w:color w:val="222222"/>
                <w:sz w:val="18"/>
              </w:rPr>
              <w:t>E2（工具）/ E1（模型）</w:t>
            </w:r>
          </w:p>
        </w:tc>
      </w:tr>
      <w:tr>
        <w:tc>
          <w:tcPr>
            <w:tcW w:type="dxa" w:w="680"/>
          </w:tcPr>
          <w:p>
            <w:pPr>
              <w:spacing w:line="288" w:lineRule="auto" w:after="20" w:before="20"/>
            </w:pPr>
            <w:r>
              <w:rPr>
                <w:rFonts w:ascii="Cambria" w:hAnsi="Cambria" w:eastAsia="宋体"/>
                <w:b w:val="0"/>
                <w:i w:val="0"/>
                <w:color w:val="222222"/>
                <w:sz w:val="18"/>
              </w:rPr>
              <w:t>L5</w:t>
            </w:r>
          </w:p>
        </w:tc>
        <w:tc>
          <w:tcPr>
            <w:tcW w:type="dxa" w:w="1474"/>
          </w:tcPr>
          <w:p>
            <w:pPr>
              <w:spacing w:line="288" w:lineRule="auto" w:after="20" w:before="20"/>
            </w:pPr>
            <w:r>
              <w:rPr>
                <w:rFonts w:ascii="Cambria" w:hAnsi="Cambria" w:eastAsia="宋体"/>
                <w:b w:val="0"/>
                <w:i w:val="0"/>
                <w:color w:val="222222"/>
                <w:sz w:val="18"/>
              </w:rPr>
              <w:t>方向选择</w:t>
            </w:r>
          </w:p>
        </w:tc>
        <w:tc>
          <w:tcPr>
            <w:tcW w:type="dxa" w:w="2268"/>
          </w:tcPr>
          <w:p>
            <w:pPr>
              <w:spacing w:line="288" w:lineRule="auto" w:after="20" w:before="20"/>
            </w:pPr>
            <w:r>
              <w:rPr>
                <w:rFonts w:ascii="Cambria" w:hAnsi="Cambria" w:eastAsia="宋体"/>
                <w:b w:val="0"/>
                <w:i w:val="0"/>
                <w:color w:val="222222"/>
                <w:sz w:val="18"/>
              </w:rPr>
              <w:t>在五尺度上选定值得的方向</w:t>
            </w:r>
          </w:p>
        </w:tc>
        <w:tc>
          <w:tcPr>
            <w:tcW w:type="dxa" w:w="2268"/>
          </w:tcPr>
          <w:p>
            <w:pPr>
              <w:spacing w:line="288" w:lineRule="auto" w:after="20" w:before="20"/>
            </w:pPr>
            <w:r>
              <w:rPr>
                <w:rFonts w:ascii="Cambria" w:hAnsi="Cambria" w:eastAsia="宋体"/>
                <w:b w:val="0"/>
                <w:i w:val="0"/>
                <w:color w:val="222222"/>
                <w:sz w:val="18"/>
              </w:rPr>
              <w:t>第4章；DC 指标；三级修正</w:t>
            </w:r>
          </w:p>
        </w:tc>
        <w:tc>
          <w:tcPr>
            <w:tcW w:type="dxa" w:w="1587"/>
          </w:tcPr>
          <w:p>
            <w:pPr>
              <w:spacing w:line="288" w:lineRule="auto" w:after="20" w:before="20"/>
            </w:pPr>
            <w:r>
              <w:rPr>
                <w:rFonts w:ascii="Cambria" w:hAnsi="Cambria" w:eastAsia="宋体"/>
                <w:b w:val="0"/>
                <w:i w:val="0"/>
                <w:color w:val="222222"/>
                <w:sz w:val="18"/>
              </w:rPr>
              <w:t>E1</w:t>
            </w:r>
          </w:p>
        </w:tc>
      </w:tr>
      <w:tr>
        <w:tc>
          <w:tcPr>
            <w:tcW w:type="dxa" w:w="680"/>
            <w:shd w:val="clear" w:fill="EEF2F7"/>
          </w:tcPr>
          <w:p>
            <w:pPr>
              <w:spacing w:line="288" w:lineRule="auto" w:after="20" w:before="20"/>
            </w:pPr>
            <w:r>
              <w:rPr>
                <w:rFonts w:ascii="Cambria" w:hAnsi="Cambria" w:eastAsia="宋体"/>
                <w:b w:val="0"/>
                <w:i w:val="0"/>
                <w:color w:val="222222"/>
                <w:sz w:val="18"/>
              </w:rPr>
              <w:t>L6</w:t>
            </w:r>
          </w:p>
        </w:tc>
        <w:tc>
          <w:tcPr>
            <w:tcW w:type="dxa" w:w="1474"/>
            <w:shd w:val="clear" w:fill="EEF2F7"/>
          </w:tcPr>
          <w:p>
            <w:pPr>
              <w:spacing w:line="288" w:lineRule="auto" w:after="20" w:before="20"/>
            </w:pPr>
            <w:r>
              <w:rPr>
                <w:rFonts w:ascii="Cambria" w:hAnsi="Cambria" w:eastAsia="宋体"/>
                <w:b w:val="0"/>
                <w:i w:val="0"/>
                <w:color w:val="222222"/>
                <w:sz w:val="18"/>
              </w:rPr>
              <w:t>反思与审视递归</w:t>
            </w:r>
          </w:p>
        </w:tc>
        <w:tc>
          <w:tcPr>
            <w:tcW w:type="dxa" w:w="2268"/>
            <w:shd w:val="clear" w:fill="EEF2F7"/>
          </w:tcPr>
          <w:p>
            <w:pPr>
              <w:spacing w:line="288" w:lineRule="auto" w:after="20" w:before="20"/>
            </w:pPr>
            <w:r>
              <w:rPr>
                <w:rFonts w:ascii="Cambria" w:hAnsi="Cambria" w:eastAsia="宋体"/>
                <w:b w:val="0"/>
                <w:i w:val="0"/>
                <w:color w:val="222222"/>
                <w:sz w:val="18"/>
              </w:rPr>
              <w:t>让系统审视自己的审视</w:t>
            </w:r>
          </w:p>
        </w:tc>
        <w:tc>
          <w:tcPr>
            <w:tcW w:type="dxa" w:w="2268"/>
            <w:shd w:val="clear" w:fill="EEF2F7"/>
          </w:tcPr>
          <w:p>
            <w:pPr>
              <w:spacing w:line="288" w:lineRule="auto" w:after="20" w:before="20"/>
            </w:pPr>
            <w:r>
              <w:rPr>
                <w:rFonts w:ascii="Cambria" w:hAnsi="Cambria" w:eastAsia="宋体"/>
                <w:b w:val="0"/>
                <w:i w:val="0"/>
                <w:color w:val="222222"/>
                <w:sz w:val="18"/>
              </w:rPr>
              <w:t>三特性；理论失败矩阵</w:t>
            </w:r>
          </w:p>
        </w:tc>
        <w:tc>
          <w:tcPr>
            <w:tcW w:type="dxa" w:w="1587"/>
            <w:shd w:val="clear" w:fill="EEF2F7"/>
          </w:tcPr>
          <w:p>
            <w:pPr>
              <w:spacing w:line="288" w:lineRule="auto" w:after="20" w:before="20"/>
            </w:pPr>
            <w:r>
              <w:rPr>
                <w:rFonts w:ascii="Cambria" w:hAnsi="Cambria" w:eastAsia="宋体"/>
                <w:b w:val="0"/>
                <w:i w:val="0"/>
                <w:color w:val="222222"/>
                <w:sz w:val="18"/>
              </w:rPr>
              <w:t>E2（案例）/ E1</w:t>
            </w:r>
          </w:p>
        </w:tc>
      </w:tr>
    </w:tbl>
    <w:p>
      <w:pPr>
        <w:spacing w:line="240" w:lineRule="auto" w:before="0" w:after="160"/>
      </w:pPr>
    </w:p>
    <w:p>
      <w:pPr>
        <w:spacing w:line="300" w:lineRule="auto" w:before="320" w:after="140"/>
      </w:pPr>
      <w:r>
        <w:rPr>
          <w:rFonts w:ascii="Arial" w:hAnsi="Arial" w:eastAsia="黑体"/>
          <w:b/>
          <w:i w:val="0"/>
          <w:color w:val="1B3A5C"/>
          <w:sz w:val="34"/>
        </w:rPr>
        <w:t>元智能为什么是「元」</w:t>
      </w:r>
      <w:r>
        <w:rPr>
          <w:rFonts w:ascii="Arial" w:hAnsi="Arial" w:eastAsia="黑体"/>
          <w:b w:val="0"/>
          <w:i w:val="0"/>
          <w:color w:val="1B3A5C"/>
          <w:sz w:val="24"/>
        </w:rPr>
        <w:t xml:space="preserve">　Why Meta-Intelligence Is "Meta"</w:t>
      </w:r>
    </w:p>
    <w:p>
      <w:pPr>
        <w:spacing w:line="300" w:lineRule="auto" w:before="320" w:after="140"/>
      </w:pPr>
      <w:r>
        <w:rPr>
          <w:rFonts w:ascii="Arial" w:hAnsi="Arial" w:eastAsia="黑体"/>
          <w:b/>
          <w:i w:val="0"/>
          <w:color w:val="1B3A5C"/>
          <w:sz w:val="26"/>
        </w:rPr>
        <w:t>一、不是并列，而是嵌套与约束</w:t>
      </w:r>
      <w:r>
        <w:rPr>
          <w:rFonts w:ascii="Arial" w:hAnsi="Arial" w:eastAsia="黑体"/>
          <w:b w:val="0"/>
          <w:i w:val="0"/>
          <w:color w:val="1B3A5C"/>
          <w:sz w:val="18"/>
        </w:rPr>
        <w:t xml:space="preserve">　1. Not Parallel, But Nested and Constraining</w:t>
      </w:r>
    </w:p>
    <w:p>
      <w:pPr>
        <w:spacing w:line="360" w:lineRule="auto" w:before="0" w:after="80"/>
        <w:ind w:firstLine="420"/>
      </w:pPr>
      <w:r>
        <w:rPr>
          <w:rFonts w:ascii="Cambria" w:hAnsi="Cambria" w:eastAsia="宋体"/>
          <w:b w:val="0"/>
          <w:i w:val="0"/>
          <w:color w:val="222222"/>
          <w:sz w:val="24"/>
        </w:rPr>
        <w:t>正典 1.3 明确：意义智能与 IQ、EQ、SQ 的关系不是并列，而是嵌套与约束。IQ 关心「能不能算」，EQ 关心「能不能相处」，SQ 关心「能不能共处」；三者都在回答「如何做到」。唯有意义智能追问「为何要做」以及「值不值得」。这不是能力更强，而是</w:t>
      </w:r>
      <w:r>
        <w:rPr>
          <w:rFonts w:ascii="Cambria" w:hAnsi="Cambria" w:eastAsia="宋体"/>
          <w:b/>
          <w:i w:val="0"/>
          <w:color w:val="222222"/>
          <w:sz w:val="24"/>
        </w:rPr>
        <w:t>层级更高</w:t>
      </w:r>
      <w:r>
        <w:rPr>
          <w:rFonts w:ascii="Cambria" w:hAnsi="Cambria" w:eastAsia="宋体"/>
          <w:b w:val="0"/>
          <w:i w:val="0"/>
          <w:color w:val="222222"/>
          <w:sz w:val="24"/>
        </w:rPr>
        <w:t>。</w:t>
      </w:r>
    </w:p>
    <w:p>
      <w:pPr>
        <w:spacing w:line="324" w:lineRule="auto" w:before="0" w:after="160"/>
        <w:ind w:firstLine="420"/>
      </w:pPr>
      <w:r>
        <w:rPr>
          <w:rFonts w:ascii="Cambria" w:hAnsi="Cambria" w:eastAsia="宋体"/>
          <w:b w:val="0"/>
          <w:i w:val="0"/>
          <w:color w:val="4A5A70"/>
          <w:sz w:val="22"/>
        </w:rPr>
        <w:t>Canon §1.3 states that meaning intelligence relates to IQ, EQ, and SQ not by parallelism but by nesting and constraint. IQ asks whether something can be computed, EQ whether people can get along, SQ whether they can coexist. All three answer "how". Only meaning intelligence asks "why" and "whether it is worth it". This is not greater capability but a higher level.</w:t>
      </w:r>
    </w:p>
    <w:p>
      <w:pPr>
        <w:spacing w:line="300" w:lineRule="auto" w:before="320" w:after="140"/>
      </w:pPr>
      <w:r>
        <w:rPr>
          <w:rFonts w:ascii="Arial" w:hAnsi="Arial" w:eastAsia="黑体"/>
          <w:b/>
          <w:i w:val="0"/>
          <w:color w:val="1B3A5C"/>
          <w:sz w:val="26"/>
        </w:rPr>
        <w:t>二、递归是「元」的形式特征</w:t>
      </w:r>
      <w:r>
        <w:rPr>
          <w:rFonts w:ascii="Arial" w:hAnsi="Arial" w:eastAsia="黑体"/>
          <w:b w:val="0"/>
          <w:i w:val="0"/>
          <w:color w:val="1B3A5C"/>
          <w:sz w:val="18"/>
        </w:rPr>
        <w:t xml:space="preserve">　2. Recursion Is the Formal Signature of "Meta"</w:t>
      </w:r>
    </w:p>
    <w:p>
      <w:pPr>
        <w:spacing w:line="360" w:lineRule="auto" w:before="0" w:after="80"/>
        <w:ind w:firstLine="420"/>
      </w:pPr>
      <w:r>
        <w:rPr>
          <w:rFonts w:ascii="Cambria" w:hAnsi="Cambria" w:eastAsia="宋体"/>
          <w:b w:val="0"/>
          <w:i w:val="0"/>
          <w:color w:val="222222"/>
          <w:sz w:val="24"/>
        </w:rPr>
        <w:t>一个普通的能力栈是单向流水线：输入经各级加工后输出，加工规则本身不受输出影响。元智能栈不是这样——第六层的产出会改写第一层的输入标准。换句话说，第二轮进入 L1 的材料，已经按第一轮 L6 的判断重新定义过「什么才算值得处理的材料」。</w:t>
      </w:r>
    </w:p>
    <w:p>
      <w:pPr>
        <w:spacing w:line="324" w:lineRule="auto" w:before="0" w:after="160"/>
        <w:ind w:firstLine="420"/>
      </w:pPr>
      <w:r>
        <w:rPr>
          <w:rFonts w:ascii="Cambria" w:hAnsi="Cambria" w:eastAsia="宋体"/>
          <w:b w:val="0"/>
          <w:i w:val="0"/>
          <w:color w:val="4A5A70"/>
          <w:sz w:val="22"/>
        </w:rPr>
        <w:t>An ordinary capability stack is a one-way pipeline: input passes through stages and emerges as output, while the processing rules themselves are unaffected by the output. A meta-intelligence stack is different — the output of layer six rewrites the input criteria of layer one. In other words, the material entering L1 in the second cycle has already had "what counts as worth processing" redefined by the L6 judgment of the first cycle.</w:t>
      </w:r>
    </w:p>
    <w:p>
      <w:pPr>
        <w:spacing w:line="240" w:lineRule="auto" w:before="120" w:after="60"/>
        <w:jc w:val="center"/>
      </w:pPr>
      <w:r>
        <w:drawing>
          <wp:inline xmlns:a="http://schemas.openxmlformats.org/drawingml/2006/main" xmlns:pic="http://schemas.openxmlformats.org/drawingml/2006/picture">
            <wp:extent cx="5256000" cy="3232138"/>
            <wp:docPr id="2" name="Picture 2"/>
            <wp:cNvGraphicFramePr>
              <a:graphicFrameLocks noChangeAspect="1"/>
            </wp:cNvGraphicFramePr>
            <a:graphic>
              <a:graphicData uri="http://schemas.openxmlformats.org/drawingml/2006/picture">
                <pic:pic>
                  <pic:nvPicPr>
                    <pic:cNvPr id="0" name="fig2_recursive_spiral.png"/>
                    <pic:cNvPicPr/>
                  </pic:nvPicPr>
                  <pic:blipFill>
                    <a:blip r:embed="rId10"/>
                    <a:stretch>
                      <a:fillRect/>
                    </a:stretch>
                  </pic:blipFill>
                  <pic:spPr>
                    <a:xfrm>
                      <a:off x="0" y="0"/>
                      <a:ext cx="5256000" cy="3232138"/>
                    </a:xfrm>
                    <a:prstGeom prst="rect"/>
                  </pic:spPr>
                </pic:pic>
              </a:graphicData>
            </a:graphic>
          </wp:inline>
        </w:drawing>
      </w:r>
    </w:p>
    <w:p>
      <w:pPr>
        <w:spacing w:line="300" w:lineRule="auto" w:before="0" w:after="200"/>
        <w:jc w:val="center"/>
      </w:pPr>
      <w:r>
        <w:rPr>
          <w:rFonts w:ascii="Arial" w:hAnsi="Arial" w:eastAsia="黑体"/>
          <w:b/>
          <w:i w:val="0"/>
          <w:color w:val="1B3A5C"/>
          <w:sz w:val="20"/>
        </w:rPr>
        <w:t>图 2　递归闭合：六层螺旋</w:t>
      </w:r>
    </w:p>
    <w:p>
      <w:pPr>
        <w:spacing w:line="288" w:lineRule="auto" w:before="0" w:after="240"/>
        <w:jc w:val="center"/>
      </w:pPr>
      <w:r>
        <w:rPr>
          <w:rFonts w:ascii="Arial" w:hAnsi="Arial" w:eastAsia="黑体"/>
          <w:b w:val="0"/>
          <w:i w:val="0"/>
          <w:color w:val="7A8CA3"/>
          <w:sz w:val="17"/>
        </w:rPr>
        <w:t>Figure 2  Recursive Closure: The Six-Layer Spiral</w:t>
      </w:r>
    </w:p>
    <w:p>
      <w:pPr>
        <w:spacing w:line="312" w:lineRule="auto" w:before="80" w:after="60"/>
      </w:pPr>
      <w:r>
        <w:rPr>
          <w:rFonts w:ascii="Cambria" w:hAnsi="Cambria" w:eastAsia="宋体"/>
          <w:b w:val="0"/>
          <w:i w:val="0"/>
          <w:color w:val="4A5A70"/>
          <w:sz w:val="19"/>
        </w:rPr>
        <w:t>图 2 的关键几何：归零后的落点 L1′ 与原点 L1 处于同一角度，但半径更大。归零不是回到原点，而是回到更高一层的起点。若第二轮与第一轮完全重合，说明这一轮没有产生意义增量。</w:t>
      </w:r>
    </w:p>
    <w:p>
      <w:pPr>
        <w:spacing w:line="300" w:lineRule="auto" w:before="0" w:after="160"/>
      </w:pPr>
      <w:r>
        <w:rPr>
          <w:rFonts w:ascii="Cambria" w:hAnsi="Cambria" w:eastAsia="宋体"/>
          <w:b w:val="0"/>
          <w:i w:val="0"/>
          <w:color w:val="7A8CA3"/>
          <w:sz w:val="18"/>
        </w:rPr>
        <w:t>The key geometry of Figure 2: the post-zeroing entry point L1′ sits at the same angle as the original L1 but at a larger radius. Zeroing does not return to the origin but to a higher entry point. If the second cycle coincides exactly with the first, no meaning increment was produced.</w:t>
      </w:r>
    </w:p>
    <w:p>
      <w:pPr>
        <w:spacing w:line="300" w:lineRule="auto" w:before="320" w:after="140"/>
      </w:pPr>
      <w:r>
        <w:rPr>
          <w:rFonts w:ascii="Arial" w:hAnsi="Arial" w:eastAsia="黑体"/>
          <w:b/>
          <w:i w:val="0"/>
          <w:color w:val="1B3A5C"/>
          <w:sz w:val="26"/>
        </w:rPr>
        <w:t>三、与正典运行机制的映射</w:t>
      </w:r>
      <w:r>
        <w:rPr>
          <w:rFonts w:ascii="Arial" w:hAnsi="Arial" w:eastAsia="黑体"/>
          <w:b w:val="0"/>
          <w:i w:val="0"/>
          <w:color w:val="1B3A5C"/>
          <w:sz w:val="18"/>
        </w:rPr>
        <w:t xml:space="preserve">　3. Mapping onto the Canon's Operating Mechanisms</w:t>
      </w:r>
    </w:p>
    <w:p>
      <w:pPr>
        <w:spacing w:line="288" w:lineRule="auto" w:before="240" w:after="80"/>
      </w:pPr>
      <w:r>
        <w:rPr>
          <w:rFonts w:ascii="Arial" w:hAnsi="Arial" w:eastAsia="黑体"/>
          <w:b/>
          <w:i w:val="0"/>
          <w:color w:val="1B3A5C"/>
          <w:sz w:val="22"/>
        </w:rPr>
        <w:t>表 2　六层与正典运行机制的对应</w:t>
      </w:r>
      <w:r>
        <w:rPr>
          <w:rFonts w:ascii="Arial" w:hAnsi="Arial" w:eastAsia="黑体"/>
          <w:b w:val="0"/>
          <w:i w:val="0"/>
          <w:color w:val="7A8CA3"/>
          <w:sz w:val="17"/>
        </w:rPr>
        <w:t xml:space="preserve">  |  Table 2  Mapping the Six Layers onto Canon Mechanisms</w:t>
      </w:r>
    </w:p>
    <w:tbl>
      <w:tblPr>
        <w:tblStyle w:val="TableGrid"/>
        <w:tblW w:type="auto" w:w="0"/>
        <w:jc w:val="center"/>
        <w:tblLayout w:type="fixed"/>
        <w:tblLook w:firstColumn="1" w:firstRow="1" w:lastColumn="0" w:lastRow="0" w:noHBand="0" w:noVBand="1" w:val="04A0"/>
        <w:tblLayout w:type="fixed"/>
      </w:tblPr>
      <w:tblGrid>
        <w:gridCol w:w="1474"/>
        <w:gridCol w:w="2041"/>
        <w:gridCol w:w="1814"/>
        <w:gridCol w:w="2948"/>
      </w:tblGrid>
      <w:tr>
        <w:tc>
          <w:tcPr>
            <w:tcW w:type="dxa" w:w="1474"/>
            <w:shd w:val="clear" w:fill="1B3A5C"/>
          </w:tcPr>
          <w:p>
            <w:pPr>
              <w:spacing w:line="276" w:lineRule="auto" w:after="20" w:before="20"/>
            </w:pPr>
            <w:r>
              <w:rPr>
                <w:rFonts w:ascii="Arial" w:hAnsi="Arial" w:eastAsia="黑体"/>
                <w:b/>
                <w:i w:val="0"/>
                <w:color w:val="FFFFFF"/>
                <w:sz w:val="19"/>
              </w:rPr>
              <w:t>六层</w:t>
            </w:r>
          </w:p>
        </w:tc>
        <w:tc>
          <w:tcPr>
            <w:tcW w:type="dxa" w:w="2041"/>
            <w:shd w:val="clear" w:fill="1B3A5C"/>
          </w:tcPr>
          <w:p>
            <w:pPr>
              <w:spacing w:line="276" w:lineRule="auto" w:after="20" w:before="20"/>
            </w:pPr>
            <w:r>
              <w:rPr>
                <w:rFonts w:ascii="Arial" w:hAnsi="Arial" w:eastAsia="黑体"/>
                <w:b/>
                <w:i w:val="0"/>
                <w:color w:val="FFFFFF"/>
                <w:sz w:val="19"/>
              </w:rPr>
              <w:t>正典三模块（第9章）</w:t>
            </w:r>
          </w:p>
        </w:tc>
        <w:tc>
          <w:tcPr>
            <w:tcW w:type="dxa" w:w="1814"/>
            <w:shd w:val="clear" w:fill="1B3A5C"/>
          </w:tcPr>
          <w:p>
            <w:pPr>
              <w:spacing w:line="276" w:lineRule="auto" w:after="20" w:before="20"/>
            </w:pPr>
            <w:r>
              <w:rPr>
                <w:rFonts w:ascii="Arial" w:hAnsi="Arial" w:eastAsia="黑体"/>
                <w:b/>
                <w:i w:val="0"/>
                <w:color w:val="FFFFFF"/>
                <w:sz w:val="19"/>
              </w:rPr>
              <w:t>正典四流程（第10章）</w:t>
            </w:r>
          </w:p>
        </w:tc>
        <w:tc>
          <w:tcPr>
            <w:tcW w:type="dxa" w:w="2948"/>
            <w:shd w:val="clear" w:fill="1B3A5C"/>
          </w:tcPr>
          <w:p>
            <w:pPr>
              <w:spacing w:line="276" w:lineRule="auto" w:after="20" w:before="20"/>
            </w:pPr>
            <w:r>
              <w:rPr>
                <w:rFonts w:ascii="Arial" w:hAnsi="Arial" w:eastAsia="黑体"/>
                <w:b/>
                <w:i w:val="0"/>
                <w:color w:val="FFFFFF"/>
                <w:sz w:val="19"/>
              </w:rPr>
              <w:t>主要产出</w:t>
            </w:r>
          </w:p>
        </w:tc>
      </w:tr>
      <w:tr>
        <w:tc>
          <w:tcPr>
            <w:tcW w:type="dxa" w:w="1474"/>
          </w:tcPr>
          <w:p>
            <w:pPr>
              <w:spacing w:line="288" w:lineRule="auto" w:after="20" w:before="20"/>
            </w:pPr>
            <w:r>
              <w:rPr>
                <w:rFonts w:ascii="Cambria" w:hAnsi="Cambria" w:eastAsia="宋体"/>
                <w:b w:val="0"/>
                <w:i w:val="0"/>
                <w:color w:val="222222"/>
                <w:sz w:val="18"/>
              </w:rPr>
              <w:t>L1 减负</w:t>
            </w:r>
          </w:p>
        </w:tc>
        <w:tc>
          <w:tcPr>
            <w:tcW w:type="dxa" w:w="2041"/>
          </w:tcPr>
          <w:p>
            <w:pPr>
              <w:spacing w:line="288" w:lineRule="auto" w:after="20" w:before="20"/>
            </w:pPr>
            <w:r>
              <w:rPr>
                <w:rFonts w:ascii="Cambria" w:hAnsi="Cambria" w:eastAsia="宋体"/>
                <w:b w:val="0"/>
                <w:i w:val="0"/>
                <w:color w:val="222222"/>
                <w:sz w:val="18"/>
              </w:rPr>
              <w:t>M1 感知（输入侧）</w:t>
            </w:r>
          </w:p>
        </w:tc>
        <w:tc>
          <w:tcPr>
            <w:tcW w:type="dxa" w:w="1814"/>
          </w:tcPr>
          <w:p>
            <w:pPr>
              <w:spacing w:line="288" w:lineRule="auto" w:after="20" w:before="20"/>
            </w:pPr>
            <w:r>
              <w:rPr>
                <w:rFonts w:ascii="Cambria" w:hAnsi="Cambria" w:eastAsia="宋体"/>
                <w:b w:val="0"/>
                <w:i w:val="0"/>
                <w:color w:val="222222"/>
                <w:sz w:val="18"/>
              </w:rPr>
              <w:t>F1 意义识别</w:t>
            </w:r>
          </w:p>
        </w:tc>
        <w:tc>
          <w:tcPr>
            <w:tcW w:type="dxa" w:w="2948"/>
          </w:tcPr>
          <w:p>
            <w:pPr>
              <w:spacing w:line="288" w:lineRule="auto" w:after="20" w:before="20"/>
            </w:pPr>
            <w:r>
              <w:rPr>
                <w:rFonts w:ascii="Cambria" w:hAnsi="Cambria" w:eastAsia="宋体"/>
                <w:b w:val="0"/>
                <w:i w:val="0"/>
                <w:color w:val="222222"/>
                <w:sz w:val="18"/>
              </w:rPr>
              <w:t>结构化材料</w:t>
            </w:r>
          </w:p>
        </w:tc>
      </w:tr>
      <w:tr>
        <w:tc>
          <w:tcPr>
            <w:tcW w:type="dxa" w:w="1474"/>
            <w:shd w:val="clear" w:fill="EEF2F7"/>
          </w:tcPr>
          <w:p>
            <w:pPr>
              <w:spacing w:line="288" w:lineRule="auto" w:after="20" w:before="20"/>
            </w:pPr>
            <w:r>
              <w:rPr>
                <w:rFonts w:ascii="Cambria" w:hAnsi="Cambria" w:eastAsia="宋体"/>
                <w:b w:val="0"/>
                <w:i w:val="0"/>
                <w:color w:val="222222"/>
                <w:sz w:val="18"/>
              </w:rPr>
              <w:t>L2 可体验</w:t>
            </w:r>
          </w:p>
        </w:tc>
        <w:tc>
          <w:tcPr>
            <w:tcW w:type="dxa" w:w="2041"/>
            <w:shd w:val="clear" w:fill="EEF2F7"/>
          </w:tcPr>
          <w:p>
            <w:pPr>
              <w:spacing w:line="288" w:lineRule="auto" w:after="20" w:before="20"/>
            </w:pPr>
            <w:r>
              <w:rPr>
                <w:rFonts w:ascii="Cambria" w:hAnsi="Cambria" w:eastAsia="宋体"/>
                <w:b w:val="0"/>
                <w:i w:val="0"/>
                <w:color w:val="222222"/>
                <w:sz w:val="18"/>
              </w:rPr>
              <w:t>M1 感知（呈现侧）</w:t>
            </w:r>
          </w:p>
        </w:tc>
        <w:tc>
          <w:tcPr>
            <w:tcW w:type="dxa" w:w="1814"/>
            <w:shd w:val="clear" w:fill="EEF2F7"/>
          </w:tcPr>
          <w:p>
            <w:pPr>
              <w:spacing w:line="288" w:lineRule="auto" w:after="20" w:before="20"/>
            </w:pPr>
            <w:r>
              <w:rPr>
                <w:rFonts w:ascii="Cambria" w:hAnsi="Cambria" w:eastAsia="宋体"/>
                <w:b w:val="0"/>
                <w:i w:val="0"/>
                <w:color w:val="222222"/>
                <w:sz w:val="18"/>
              </w:rPr>
              <w:t>F1 意义识别</w:t>
            </w:r>
          </w:p>
        </w:tc>
        <w:tc>
          <w:tcPr>
            <w:tcW w:type="dxa" w:w="2948"/>
            <w:shd w:val="clear" w:fill="EEF2F7"/>
          </w:tcPr>
          <w:p>
            <w:pPr>
              <w:spacing w:line="288" w:lineRule="auto" w:after="20" w:before="20"/>
            </w:pPr>
            <w:r>
              <w:rPr>
                <w:rFonts w:ascii="Cambria" w:hAnsi="Cambria" w:eastAsia="宋体"/>
                <w:b w:val="0"/>
                <w:i w:val="0"/>
                <w:color w:val="222222"/>
                <w:sz w:val="18"/>
              </w:rPr>
              <w:t>可交互产物</w:t>
            </w:r>
          </w:p>
        </w:tc>
      </w:tr>
      <w:tr>
        <w:tc>
          <w:tcPr>
            <w:tcW w:type="dxa" w:w="1474"/>
          </w:tcPr>
          <w:p>
            <w:pPr>
              <w:spacing w:line="288" w:lineRule="auto" w:after="20" w:before="20"/>
            </w:pPr>
            <w:r>
              <w:rPr>
                <w:rFonts w:ascii="Cambria" w:hAnsi="Cambria" w:eastAsia="宋体"/>
                <w:b w:val="0"/>
                <w:i w:val="0"/>
                <w:color w:val="222222"/>
                <w:sz w:val="18"/>
              </w:rPr>
              <w:t>L3 意义生成</w:t>
            </w:r>
          </w:p>
        </w:tc>
        <w:tc>
          <w:tcPr>
            <w:tcW w:type="dxa" w:w="2041"/>
          </w:tcPr>
          <w:p>
            <w:pPr>
              <w:spacing w:line="288" w:lineRule="auto" w:after="20" w:before="20"/>
            </w:pPr>
            <w:r>
              <w:rPr>
                <w:rFonts w:ascii="Cambria" w:hAnsi="Cambria" w:eastAsia="宋体"/>
                <w:b w:val="0"/>
                <w:i w:val="0"/>
                <w:color w:val="222222"/>
                <w:sz w:val="18"/>
              </w:rPr>
              <w:t>M2 判断</w:t>
            </w:r>
          </w:p>
        </w:tc>
        <w:tc>
          <w:tcPr>
            <w:tcW w:type="dxa" w:w="1814"/>
          </w:tcPr>
          <w:p>
            <w:pPr>
              <w:spacing w:line="288" w:lineRule="auto" w:after="20" w:before="20"/>
            </w:pPr>
            <w:r>
              <w:rPr>
                <w:rFonts w:ascii="Cambria" w:hAnsi="Cambria" w:eastAsia="宋体"/>
                <w:b w:val="0"/>
                <w:i w:val="0"/>
                <w:color w:val="222222"/>
                <w:sz w:val="18"/>
              </w:rPr>
              <w:t>F2 意义评估</w:t>
            </w:r>
          </w:p>
        </w:tc>
        <w:tc>
          <w:tcPr>
            <w:tcW w:type="dxa" w:w="2948"/>
          </w:tcPr>
          <w:p>
            <w:pPr>
              <w:spacing w:line="288" w:lineRule="auto" w:after="20" w:before="20"/>
            </w:pPr>
            <w:r>
              <w:rPr>
                <w:rFonts w:ascii="Cambria" w:hAnsi="Cambria" w:eastAsia="宋体"/>
                <w:b w:val="0"/>
                <w:i w:val="0"/>
                <w:color w:val="222222"/>
                <w:sz w:val="18"/>
              </w:rPr>
              <w:t>候选意义结构</w:t>
            </w:r>
          </w:p>
        </w:tc>
      </w:tr>
      <w:tr>
        <w:tc>
          <w:tcPr>
            <w:tcW w:type="dxa" w:w="1474"/>
            <w:shd w:val="clear" w:fill="EEF2F7"/>
          </w:tcPr>
          <w:p>
            <w:pPr>
              <w:spacing w:line="288" w:lineRule="auto" w:after="20" w:before="20"/>
            </w:pPr>
            <w:r>
              <w:rPr>
                <w:rFonts w:ascii="Cambria" w:hAnsi="Cambria" w:eastAsia="宋体"/>
                <w:b w:val="0"/>
                <w:i w:val="0"/>
                <w:color w:val="222222"/>
                <w:sz w:val="18"/>
              </w:rPr>
              <w:t>L4 价值评估</w:t>
            </w:r>
          </w:p>
        </w:tc>
        <w:tc>
          <w:tcPr>
            <w:tcW w:type="dxa" w:w="2041"/>
            <w:shd w:val="clear" w:fill="EEF2F7"/>
          </w:tcPr>
          <w:p>
            <w:pPr>
              <w:spacing w:line="288" w:lineRule="auto" w:after="20" w:before="20"/>
            </w:pPr>
            <w:r>
              <w:rPr>
                <w:rFonts w:ascii="Cambria" w:hAnsi="Cambria" w:eastAsia="宋体"/>
                <w:b w:val="0"/>
                <w:i w:val="0"/>
                <w:color w:val="222222"/>
                <w:sz w:val="18"/>
              </w:rPr>
              <w:t>M2 判断</w:t>
            </w:r>
          </w:p>
        </w:tc>
        <w:tc>
          <w:tcPr>
            <w:tcW w:type="dxa" w:w="1814"/>
            <w:shd w:val="clear" w:fill="EEF2F7"/>
          </w:tcPr>
          <w:p>
            <w:pPr>
              <w:spacing w:line="288" w:lineRule="auto" w:after="20" w:before="20"/>
            </w:pPr>
            <w:r>
              <w:rPr>
                <w:rFonts w:ascii="Cambria" w:hAnsi="Cambria" w:eastAsia="宋体"/>
                <w:b w:val="0"/>
                <w:i w:val="0"/>
                <w:color w:val="222222"/>
                <w:sz w:val="18"/>
              </w:rPr>
              <w:t>F2 意义评估</w:t>
            </w:r>
          </w:p>
        </w:tc>
        <w:tc>
          <w:tcPr>
            <w:tcW w:type="dxa" w:w="2948"/>
            <w:shd w:val="clear" w:fill="EEF2F7"/>
          </w:tcPr>
          <w:p>
            <w:pPr>
              <w:spacing w:line="288" w:lineRule="auto" w:after="20" w:before="20"/>
            </w:pPr>
            <w:r>
              <w:rPr>
                <w:rFonts w:ascii="Cambria" w:hAnsi="Cambria" w:eastAsia="宋体"/>
                <w:b w:val="0"/>
                <w:i w:val="0"/>
                <w:color w:val="222222"/>
                <w:sz w:val="18"/>
              </w:rPr>
              <w:t>证据强度标注</w:t>
            </w:r>
          </w:p>
        </w:tc>
      </w:tr>
      <w:tr>
        <w:tc>
          <w:tcPr>
            <w:tcW w:type="dxa" w:w="1474"/>
          </w:tcPr>
          <w:p>
            <w:pPr>
              <w:spacing w:line="288" w:lineRule="auto" w:after="20" w:before="20"/>
            </w:pPr>
            <w:r>
              <w:rPr>
                <w:rFonts w:ascii="Cambria" w:hAnsi="Cambria" w:eastAsia="宋体"/>
                <w:b w:val="0"/>
                <w:i w:val="0"/>
                <w:color w:val="222222"/>
                <w:sz w:val="18"/>
              </w:rPr>
              <w:t>L5 方向选择</w:t>
            </w:r>
          </w:p>
        </w:tc>
        <w:tc>
          <w:tcPr>
            <w:tcW w:type="dxa" w:w="2041"/>
          </w:tcPr>
          <w:p>
            <w:pPr>
              <w:spacing w:line="288" w:lineRule="auto" w:after="20" w:before="20"/>
            </w:pPr>
            <w:r>
              <w:rPr>
                <w:rFonts w:ascii="Cambria" w:hAnsi="Cambria" w:eastAsia="宋体"/>
                <w:b w:val="0"/>
                <w:i w:val="0"/>
                <w:color w:val="222222"/>
                <w:sz w:val="18"/>
              </w:rPr>
              <w:t>M3 行动</w:t>
            </w:r>
          </w:p>
        </w:tc>
        <w:tc>
          <w:tcPr>
            <w:tcW w:type="dxa" w:w="1814"/>
          </w:tcPr>
          <w:p>
            <w:pPr>
              <w:spacing w:line="288" w:lineRule="auto" w:after="20" w:before="20"/>
            </w:pPr>
            <w:r>
              <w:rPr>
                <w:rFonts w:ascii="Cambria" w:hAnsi="Cambria" w:eastAsia="宋体"/>
                <w:b w:val="0"/>
                <w:i w:val="0"/>
                <w:color w:val="222222"/>
                <w:sz w:val="18"/>
              </w:rPr>
              <w:t>F3 意义决策</w:t>
            </w:r>
          </w:p>
        </w:tc>
        <w:tc>
          <w:tcPr>
            <w:tcW w:type="dxa" w:w="2948"/>
          </w:tcPr>
          <w:p>
            <w:pPr>
              <w:spacing w:line="288" w:lineRule="auto" w:after="20" w:before="20"/>
            </w:pPr>
            <w:r>
              <w:rPr>
                <w:rFonts w:ascii="Cambria" w:hAnsi="Cambria" w:eastAsia="宋体"/>
                <w:b w:val="0"/>
                <w:i w:val="0"/>
                <w:color w:val="222222"/>
                <w:sz w:val="18"/>
              </w:rPr>
              <w:t>方向声明＋偏离阈值</w:t>
            </w:r>
          </w:p>
        </w:tc>
      </w:tr>
      <w:tr>
        <w:tc>
          <w:tcPr>
            <w:tcW w:type="dxa" w:w="1474"/>
            <w:shd w:val="clear" w:fill="EEF2F7"/>
          </w:tcPr>
          <w:p>
            <w:pPr>
              <w:spacing w:line="288" w:lineRule="auto" w:after="20" w:before="20"/>
            </w:pPr>
            <w:r>
              <w:rPr>
                <w:rFonts w:ascii="Cambria" w:hAnsi="Cambria" w:eastAsia="宋体"/>
                <w:b w:val="0"/>
                <w:i w:val="0"/>
                <w:color w:val="222222"/>
                <w:sz w:val="18"/>
              </w:rPr>
              <w:t>L6 反思与审视递归</w:t>
            </w:r>
          </w:p>
        </w:tc>
        <w:tc>
          <w:tcPr>
            <w:tcW w:type="dxa" w:w="2041"/>
            <w:shd w:val="clear" w:fill="EEF2F7"/>
          </w:tcPr>
          <w:p>
            <w:pPr>
              <w:spacing w:line="288" w:lineRule="auto" w:after="20" w:before="20"/>
            </w:pPr>
            <w:r>
              <w:rPr>
                <w:rFonts w:ascii="Cambria" w:hAnsi="Cambria" w:eastAsia="宋体"/>
                <w:b w:val="0"/>
                <w:i w:val="0"/>
                <w:color w:val="222222"/>
                <w:sz w:val="18"/>
              </w:rPr>
              <w:t>M1→M2→M3 回环</w:t>
            </w:r>
          </w:p>
        </w:tc>
        <w:tc>
          <w:tcPr>
            <w:tcW w:type="dxa" w:w="1814"/>
            <w:shd w:val="clear" w:fill="EEF2F7"/>
          </w:tcPr>
          <w:p>
            <w:pPr>
              <w:spacing w:line="288" w:lineRule="auto" w:after="20" w:before="20"/>
            </w:pPr>
            <w:r>
              <w:rPr>
                <w:rFonts w:ascii="Cambria" w:hAnsi="Cambria" w:eastAsia="宋体"/>
                <w:b w:val="0"/>
                <w:i w:val="0"/>
                <w:color w:val="222222"/>
                <w:sz w:val="18"/>
              </w:rPr>
              <w:t>F4 意义反馈</w:t>
            </w:r>
          </w:p>
        </w:tc>
        <w:tc>
          <w:tcPr>
            <w:tcW w:type="dxa" w:w="2948"/>
            <w:shd w:val="clear" w:fill="EEF2F7"/>
          </w:tcPr>
          <w:p>
            <w:pPr>
              <w:spacing w:line="288" w:lineRule="auto" w:after="20" w:before="20"/>
            </w:pPr>
            <w:r>
              <w:rPr>
                <w:rFonts w:ascii="Cambria" w:hAnsi="Cambria" w:eastAsia="宋体"/>
                <w:b w:val="0"/>
                <w:i w:val="0"/>
                <w:color w:val="222222"/>
                <w:sz w:val="18"/>
              </w:rPr>
              <w:t>前提改写＋螺旋回环</w:t>
            </w:r>
          </w:p>
        </w:tc>
      </w:tr>
    </w:tbl>
    <w:p>
      <w:pPr>
        <w:spacing w:line="240" w:lineRule="auto" w:before="0" w:after="160"/>
      </w:pPr>
    </w:p>
    <w:p>
      <w:pPr>
        <w:spacing w:line="300" w:lineRule="auto" w:before="320" w:after="140"/>
      </w:pPr>
      <w:r>
        <w:rPr>
          <w:rFonts w:ascii="Arial" w:hAnsi="Arial" w:eastAsia="黑体"/>
          <w:b/>
          <w:i w:val="0"/>
          <w:color w:val="1B3A5C"/>
          <w:sz w:val="34"/>
        </w:rPr>
        <w:t>构造边界</w:t>
      </w:r>
      <w:r>
        <w:rPr>
          <w:rFonts w:ascii="Arial" w:hAnsi="Arial" w:eastAsia="黑体"/>
          <w:b w:val="0"/>
          <w:i w:val="0"/>
          <w:color w:val="1B3A5C"/>
          <w:sz w:val="24"/>
        </w:rPr>
        <w:t xml:space="preserve">　Construct Boundaries</w:t>
      </w:r>
    </w:p>
    <w:p>
      <w:pPr>
        <w:spacing w:line="312" w:lineRule="auto" w:before="80" w:after="60"/>
      </w:pPr>
      <w:r>
        <w:rPr>
          <w:rFonts w:ascii="Cambria" w:hAnsi="Cambria" w:eastAsia="宋体"/>
          <w:b w:val="0"/>
          <w:i w:val="0"/>
          <w:color w:val="4A5A70"/>
          <w:sz w:val="19"/>
        </w:rPr>
        <w:t>MIT 是一个特定命名。截至 2026 年，`Meaning Intelligence` 一词在语义/语用分析、决策支持、商业产品等多个方向已有使用。本项目的 Meaning Intelligence Theory (MIT) 指方向性调控，与下列方向不是同一构造。</w:t>
      </w:r>
    </w:p>
    <w:p>
      <w:pPr>
        <w:spacing w:line="300" w:lineRule="auto" w:before="0" w:after="160"/>
      </w:pPr>
      <w:r>
        <w:rPr>
          <w:rFonts w:ascii="Cambria" w:hAnsi="Cambria" w:eastAsia="宋体"/>
          <w:b w:val="0"/>
          <w:i w:val="0"/>
          <w:color w:val="7A8CA3"/>
          <w:sz w:val="18"/>
        </w:rPr>
        <w:t>MIT is a specific naming. As of 2026, `Meaning Intelligence` is already in use across several directions — semantic/pragmatic analysis, decision support, and commercial products among them. This project's Meaning Intelligence Theory (MIT) refers to directional regulation, which is a different construct from same-named usage in those directions.</w:t>
      </w:r>
    </w:p>
    <w:p>
      <w:pPr>
        <w:spacing w:line="240" w:lineRule="auto" w:before="120" w:after="60"/>
        <w:jc w:val="center"/>
      </w:pPr>
      <w:r>
        <w:drawing>
          <wp:inline xmlns:a="http://schemas.openxmlformats.org/drawingml/2006/main" xmlns:pic="http://schemas.openxmlformats.org/drawingml/2006/picture">
            <wp:extent cx="5256000" cy="3352966"/>
            <wp:docPr id="3" name="Picture 3"/>
            <wp:cNvGraphicFramePr>
              <a:graphicFrameLocks noChangeAspect="1"/>
            </wp:cNvGraphicFramePr>
            <a:graphic>
              <a:graphicData uri="http://schemas.openxmlformats.org/drawingml/2006/picture">
                <pic:pic>
                  <pic:nvPicPr>
                    <pic:cNvPr id="0" name="fig3_construct_boundary.png"/>
                    <pic:cNvPicPr/>
                  </pic:nvPicPr>
                  <pic:blipFill>
                    <a:blip r:embed="rId11"/>
                    <a:stretch>
                      <a:fillRect/>
                    </a:stretch>
                  </pic:blipFill>
                  <pic:spPr>
                    <a:xfrm>
                      <a:off x="0" y="0"/>
                      <a:ext cx="5256000" cy="3352966"/>
                    </a:xfrm>
                    <a:prstGeom prst="rect"/>
                  </pic:spPr>
                </pic:pic>
              </a:graphicData>
            </a:graphic>
          </wp:inline>
        </w:drawing>
      </w:r>
    </w:p>
    <w:p>
      <w:pPr>
        <w:spacing w:line="300" w:lineRule="auto" w:before="0" w:after="200"/>
        <w:jc w:val="center"/>
      </w:pPr>
      <w:r>
        <w:rPr>
          <w:rFonts w:ascii="Arial" w:hAnsi="Arial" w:eastAsia="黑体"/>
          <w:b/>
          <w:i w:val="0"/>
          <w:color w:val="1B3A5C"/>
          <w:sz w:val="20"/>
        </w:rPr>
        <w:t>图 3　构造边界：MIT 与邻接场域</w:t>
      </w:r>
    </w:p>
    <w:p>
      <w:pPr>
        <w:spacing w:line="288" w:lineRule="auto" w:before="0" w:after="240"/>
        <w:jc w:val="center"/>
      </w:pPr>
      <w:r>
        <w:rPr>
          <w:rFonts w:ascii="Arial" w:hAnsi="Arial" w:eastAsia="黑体"/>
          <w:b w:val="0"/>
          <w:i w:val="0"/>
          <w:color w:val="7A8CA3"/>
          <w:sz w:val="17"/>
        </w:rPr>
        <w:t>Figure 3  Construct Boundary Map</w:t>
      </w:r>
    </w:p>
    <w:p>
      <w:pPr>
        <w:spacing w:line="312" w:lineRule="auto" w:before="80" w:after="60"/>
      </w:pPr>
      <w:r>
        <w:rPr>
          <w:rFonts w:ascii="Cambria" w:hAnsi="Cambria" w:eastAsia="宋体"/>
          <w:b w:val="0"/>
          <w:i w:val="0"/>
          <w:color w:val="4A5A70"/>
          <w:sz w:val="19"/>
        </w:rPr>
        <w:t>内环是 MIT 本身（元层，对智能活动的方向性调控）；中环是 IQ / EQ / SQ（平行能力，被元层约束）；外环是邻接场域（Semantic / Pragmatic、Decision Intelligence、Metacognitive AI、AI Alignment、Wisdom 传统）。只有 MIT 位于其他智能活动之上，对它们进行方向约束——这是「元」的形式特征。</w:t>
      </w:r>
    </w:p>
    <w:p>
      <w:pPr>
        <w:spacing w:line="300" w:lineRule="auto" w:before="0" w:after="160"/>
      </w:pPr>
      <w:r>
        <w:rPr>
          <w:rFonts w:ascii="Cambria" w:hAnsi="Cambria" w:eastAsia="宋体"/>
          <w:b w:val="0"/>
          <w:i w:val="0"/>
          <w:color w:val="7A8CA3"/>
          <w:sz w:val="18"/>
        </w:rPr>
        <w:t>The inner ring is MIT itself (a meta-layer for the directional regulation of intelligent activities); the middle ring is IQ / EQ / SQ (parallel capabilities, constrained by the meta-layer); the outer ring is the adjacent fields (Semantic/Pragmatic, Decision Intelligence, Metacognitive AI, AI Alignment, Wisdom traditions). Only MIT sits above the others and constrains their direction — the formal signature of the word meta.</w:t>
      </w:r>
    </w:p>
    <w:p>
      <w:pPr>
        <w:spacing w:line="300" w:lineRule="auto" w:before="320" w:after="140"/>
      </w:pPr>
      <w:r>
        <w:rPr>
          <w:rFonts w:ascii="Arial" w:hAnsi="Arial" w:eastAsia="黑体"/>
          <w:b/>
          <w:i w:val="0"/>
          <w:color w:val="1B3A5C"/>
          <w:sz w:val="34"/>
        </w:rPr>
        <w:t>六层详解</w:t>
      </w:r>
      <w:r>
        <w:rPr>
          <w:rFonts w:ascii="Arial" w:hAnsi="Arial" w:eastAsia="黑体"/>
          <w:b w:val="0"/>
          <w:i w:val="0"/>
          <w:color w:val="1B3A5C"/>
          <w:sz w:val="24"/>
        </w:rPr>
        <w:t xml:space="preserve">　The Six Layers in Detail</w:t>
      </w:r>
    </w:p>
    <w:p>
      <w:pPr>
        <w:spacing w:line="312" w:lineRule="auto" w:before="80" w:after="60"/>
      </w:pPr>
      <w:r>
        <w:rPr>
          <w:rFonts w:ascii="Cambria" w:hAnsi="Cambria" w:eastAsia="宋体"/>
          <w:b w:val="0"/>
          <w:i w:val="0"/>
          <w:color w:val="4A5A70"/>
          <w:sz w:val="19"/>
        </w:rPr>
        <w:t>每层按统一体例展开：本层追问 / 定义 / 理论锚点 / 操作 / 证据等级 / 常见误区 / 与相邻层的关系。</w:t>
      </w:r>
    </w:p>
    <w:p>
      <w:pPr>
        <w:spacing w:line="300" w:lineRule="auto" w:before="0" w:after="160"/>
      </w:pPr>
      <w:r>
        <w:rPr>
          <w:rFonts w:ascii="Cambria" w:hAnsi="Cambria" w:eastAsia="宋体"/>
          <w:b w:val="0"/>
          <w:i w:val="0"/>
          <w:color w:val="7A8CA3"/>
          <w:sz w:val="18"/>
        </w:rPr>
        <w:t>Each layer follows a uniform template: Core Question / Definition / Theoretical Anchor / Practice / Evidence Level / Common Misconception / Relation to Adjacent Layers.</w:t>
      </w:r>
    </w:p>
    <w:p>
      <w:pPr>
        <w:spacing w:line="300" w:lineRule="auto" w:before="320" w:after="140"/>
      </w:pPr>
      <w:r>
        <w:rPr>
          <w:rFonts w:ascii="Arial" w:hAnsi="Arial" w:eastAsia="黑体"/>
          <w:b/>
          <w:i w:val="0"/>
          <w:color w:val="1B3A5C"/>
          <w:sz w:val="30"/>
        </w:rPr>
        <w:t>第一层　减负</w:t>
      </w:r>
      <w:r>
        <w:rPr>
          <w:rFonts w:ascii="Arial" w:hAnsi="Arial" w:eastAsia="黑体"/>
          <w:b w:val="0"/>
          <w:i w:val="0"/>
          <w:color w:val="1B3A5C"/>
          <w:sz w:val="21"/>
        </w:rPr>
        <w:t xml:space="preserve">　Layer 1  Cognitive Load Reduction</w:t>
      </w:r>
    </w:p>
    <w:p>
      <w:pPr>
        <w:spacing w:line="288" w:lineRule="auto" w:before="200" w:after="60"/>
      </w:pPr>
      <w:r>
        <w:rPr>
          <w:rFonts w:ascii="Arial" w:hAnsi="Arial" w:eastAsia="黑体"/>
          <w:b/>
          <w:i w:val="0"/>
          <w:color w:val="1B3A5C"/>
          <w:sz w:val="22"/>
        </w:rPr>
        <w:t>【本层追问】</w:t>
      </w:r>
      <w:r>
        <w:rPr>
          <w:rFonts w:ascii="Arial" w:hAnsi="Arial" w:eastAsia="黑体"/>
          <w:b w:val="0"/>
          <w:i w:val="0"/>
          <w:color w:val="7A8CA3"/>
          <w:sz w:val="18"/>
        </w:rPr>
        <w:t xml:space="preserve">　[Core Question]</w:t>
      </w:r>
    </w:p>
    <w:p>
      <w:pPr>
        <w:spacing w:line="360" w:lineRule="auto" w:before="0" w:after="80"/>
        <w:ind w:firstLine="420"/>
      </w:pPr>
      <w:r>
        <w:rPr>
          <w:rFonts w:ascii="Cambria" w:hAnsi="Cambria" w:eastAsia="宋体"/>
          <w:b w:val="0"/>
          <w:i w:val="0"/>
          <w:color w:val="222222"/>
          <w:sz w:val="24"/>
        </w:rPr>
        <w:t>当信息供给远超认知带宽时，第一步该做什么？</w:t>
      </w:r>
    </w:p>
    <w:p>
      <w:pPr>
        <w:spacing w:line="324" w:lineRule="auto" w:before="0" w:after="160"/>
        <w:ind w:firstLine="420"/>
      </w:pPr>
      <w:r>
        <w:rPr>
          <w:rFonts w:ascii="Cambria" w:hAnsi="Cambria" w:eastAsia="宋体"/>
          <w:b w:val="0"/>
          <w:i w:val="0"/>
          <w:color w:val="4A5A70"/>
          <w:sz w:val="22"/>
        </w:rPr>
        <w:t>When information supply far exceeds cognitive bandwidth, what is the first thing to do?</w:t>
      </w:r>
    </w:p>
    <w:p>
      <w:pPr>
        <w:spacing w:line="288" w:lineRule="auto" w:before="200" w:after="60"/>
      </w:pPr>
      <w:r>
        <w:rPr>
          <w:rFonts w:ascii="Arial" w:hAnsi="Arial" w:eastAsia="黑体"/>
          <w:b/>
          <w:i w:val="0"/>
          <w:color w:val="1B3A5C"/>
          <w:sz w:val="22"/>
        </w:rPr>
        <w:t>【定义】</w:t>
      </w:r>
      <w:r>
        <w:rPr>
          <w:rFonts w:ascii="Arial" w:hAnsi="Arial" w:eastAsia="黑体"/>
          <w:b w:val="0"/>
          <w:i w:val="0"/>
          <w:color w:val="7A8CA3"/>
          <w:sz w:val="18"/>
        </w:rPr>
        <w:t xml:space="preserve">　[Definition]</w:t>
      </w:r>
    </w:p>
    <w:p>
      <w:pPr>
        <w:spacing w:line="360" w:lineRule="auto" w:before="0" w:after="80"/>
        <w:ind w:firstLine="420"/>
      </w:pPr>
      <w:r>
        <w:rPr>
          <w:rFonts w:ascii="Cambria" w:hAnsi="Cambria" w:eastAsia="宋体"/>
          <w:b w:val="0"/>
          <w:i w:val="0"/>
          <w:color w:val="222222"/>
          <w:sz w:val="24"/>
        </w:rPr>
        <w:t>在不丢失决策所需关键结构的前提下，降低单位时间内的认知负荷总量。减负不是删减信息，而是把负荷从「处理原始信息」转移到「理解已结构化的关系」。</w:t>
      </w:r>
    </w:p>
    <w:p>
      <w:pPr>
        <w:spacing w:line="324" w:lineRule="auto" w:before="0" w:after="160"/>
        <w:ind w:firstLine="420"/>
      </w:pPr>
      <w:r>
        <w:rPr>
          <w:rFonts w:ascii="Cambria" w:hAnsi="Cambria" w:eastAsia="宋体"/>
          <w:b w:val="0"/>
          <w:i w:val="0"/>
          <w:color w:val="4A5A70"/>
          <w:sz w:val="22"/>
        </w:rPr>
        <w:t>To reduce the total cognitive load per unit of time without losing the key structure needed for decision. Load reduction is not deleting information; it shifts load from "processing raw information" to "understanding already-structured relations".</w:t>
      </w:r>
    </w:p>
    <w:p>
      <w:pPr>
        <w:spacing w:line="288" w:lineRule="auto" w:before="200" w:after="60"/>
      </w:pPr>
      <w:r>
        <w:rPr>
          <w:rFonts w:ascii="Arial" w:hAnsi="Arial" w:eastAsia="黑体"/>
          <w:b/>
          <w:i w:val="0"/>
          <w:color w:val="1B3A5C"/>
          <w:sz w:val="22"/>
        </w:rPr>
        <w:t>【理论锚点】</w:t>
      </w:r>
      <w:r>
        <w:rPr>
          <w:rFonts w:ascii="Arial" w:hAnsi="Arial" w:eastAsia="黑体"/>
          <w:b w:val="0"/>
          <w:i w:val="0"/>
          <w:color w:val="7A8CA3"/>
          <w:sz w:val="18"/>
        </w:rPr>
        <w:t xml:space="preserve">　[Theoretical Anchor]</w:t>
      </w:r>
    </w:p>
    <w:p>
      <w:pPr>
        <w:spacing w:line="360" w:lineRule="auto" w:before="0" w:after="80"/>
        <w:ind w:firstLine="420"/>
      </w:pPr>
      <w:r>
        <w:rPr>
          <w:rFonts w:ascii="Cambria" w:hAnsi="Cambria" w:eastAsia="宋体"/>
          <w:b w:val="0"/>
          <w:i w:val="0"/>
          <w:color w:val="222222"/>
          <w:sz w:val="24"/>
        </w:rPr>
        <w:t>正典第1章 1.1 智能的「方向性盲区」；附录 A 工具 A.1 意义自检卡。</w:t>
      </w:r>
    </w:p>
    <w:p>
      <w:pPr>
        <w:spacing w:line="324" w:lineRule="auto" w:before="0" w:after="160"/>
        <w:ind w:firstLine="420"/>
      </w:pPr>
      <w:r>
        <w:rPr>
          <w:rFonts w:ascii="Cambria" w:hAnsi="Cambria" w:eastAsia="宋体"/>
          <w:b w:val="0"/>
          <w:i w:val="0"/>
          <w:color w:val="4A5A70"/>
          <w:sz w:val="22"/>
        </w:rPr>
        <w:t>Canon §1.1, the "directional blind spot" of intelligence; Appendix A, Tool A.1, the Meaning Self-Check Card.</w:t>
      </w:r>
    </w:p>
    <w:p>
      <w:pPr>
        <w:spacing w:line="288" w:lineRule="auto" w:before="200" w:after="60"/>
      </w:pPr>
      <w:r>
        <w:rPr>
          <w:rFonts w:ascii="Arial" w:hAnsi="Arial" w:eastAsia="黑体"/>
          <w:b/>
          <w:i w:val="0"/>
          <w:color w:val="1B3A5C"/>
          <w:sz w:val="22"/>
        </w:rPr>
        <w:t>【操作】</w:t>
      </w:r>
      <w:r>
        <w:rPr>
          <w:rFonts w:ascii="Arial" w:hAnsi="Arial" w:eastAsia="黑体"/>
          <w:b w:val="0"/>
          <w:i w:val="0"/>
          <w:color w:val="7A8CA3"/>
          <w:sz w:val="18"/>
        </w:rPr>
        <w:t xml:space="preserve">　[Practice]</w:t>
      </w:r>
    </w:p>
    <w:p>
      <w:pPr>
        <w:spacing w:line="336" w:lineRule="auto" w:before="0" w:after="40"/>
        <w:ind w:left="420"/>
      </w:pPr>
      <w:r>
        <w:rPr>
          <w:rFonts w:ascii="Cambria" w:hAnsi="Cambria" w:eastAsia="宋体"/>
          <w:b w:val="0"/>
          <w:i w:val="0"/>
          <w:color w:val="222222"/>
          <w:sz w:val="23"/>
        </w:rPr>
        <w:t>· 设定字数硬上限（建议 300 字），超限即触发重述。</w:t>
      </w:r>
    </w:p>
    <w:p>
      <w:pPr>
        <w:spacing w:line="312" w:lineRule="auto" w:before="0" w:after="120"/>
        <w:ind w:left="624"/>
      </w:pPr>
      <w:r>
        <w:rPr>
          <w:rFonts w:ascii="Cambria" w:hAnsi="Cambria" w:eastAsia="宋体"/>
          <w:b w:val="0"/>
          <w:i w:val="0"/>
          <w:color w:val="4A5A70"/>
          <w:sz w:val="21"/>
        </w:rPr>
        <w:t>Set a hard word limit (300 characters/words suggested); exceeding it triggers a rewrite.</w:t>
      </w:r>
    </w:p>
    <w:p>
      <w:pPr>
        <w:spacing w:line="336" w:lineRule="auto" w:before="0" w:after="40"/>
        <w:ind w:left="420"/>
      </w:pPr>
      <w:r>
        <w:rPr>
          <w:rFonts w:ascii="Cambria" w:hAnsi="Cambria" w:eastAsia="宋体"/>
          <w:b w:val="0"/>
          <w:i w:val="0"/>
          <w:color w:val="222222"/>
          <w:sz w:val="23"/>
        </w:rPr>
        <w:t>· 用受控语言重述：主动语态、一句话一个指令、约 900 个核心词；取 ASD-STE100 的 80% 严格度，兼顾可读性。</w:t>
      </w:r>
    </w:p>
    <w:p>
      <w:pPr>
        <w:spacing w:line="312" w:lineRule="auto" w:before="0" w:after="120"/>
        <w:ind w:left="624"/>
      </w:pPr>
      <w:r>
        <w:rPr>
          <w:rFonts w:ascii="Cambria" w:hAnsi="Cambria" w:eastAsia="宋体"/>
          <w:b w:val="0"/>
          <w:i w:val="0"/>
          <w:color w:val="4A5A70"/>
          <w:sz w:val="21"/>
        </w:rPr>
        <w:t>Restate in controlled language: active voice, one instruction per sentence, roughly 900 core words; apply ASD-STE100 at about 80% strictness to keep it readable.</w:t>
      </w:r>
    </w:p>
    <w:p>
      <w:pPr>
        <w:spacing w:line="336" w:lineRule="auto" w:before="0" w:after="40"/>
        <w:ind w:left="420"/>
      </w:pPr>
      <w:r>
        <w:rPr>
          <w:rFonts w:ascii="Cambria" w:hAnsi="Cambria" w:eastAsia="宋体"/>
          <w:b w:val="0"/>
          <w:i w:val="0"/>
          <w:color w:val="222222"/>
          <w:sz w:val="23"/>
        </w:rPr>
        <w:t>· 强制分离两份清单：「核心事实」与「待决问题」。前者可归档，后者必须带入下一层。</w:t>
      </w:r>
    </w:p>
    <w:p>
      <w:pPr>
        <w:spacing w:line="312" w:lineRule="auto" w:before="0" w:after="120"/>
        <w:ind w:left="624"/>
      </w:pPr>
      <w:r>
        <w:rPr>
          <w:rFonts w:ascii="Cambria" w:hAnsi="Cambria" w:eastAsia="宋体"/>
          <w:b w:val="0"/>
          <w:i w:val="0"/>
          <w:color w:val="4A5A70"/>
          <w:sz w:val="21"/>
        </w:rPr>
        <w:t>Force a separation into two lists: "core facts" and "open questions". The former can be archived; the latter must be carried into the next layer.</w:t>
      </w:r>
    </w:p>
    <w:p>
      <w:pPr>
        <w:spacing w:line="336" w:lineRule="auto" w:before="0" w:after="40"/>
        <w:ind w:left="420"/>
      </w:pPr>
      <w:r>
        <w:rPr>
          <w:rFonts w:ascii="Cambria" w:hAnsi="Cambria" w:eastAsia="宋体"/>
          <w:b w:val="0"/>
          <w:i w:val="0"/>
          <w:color w:val="222222"/>
          <w:sz w:val="23"/>
        </w:rPr>
        <w:t>· 原始长文归档而非删除——减负不等于销毁证据。</w:t>
      </w:r>
    </w:p>
    <w:p>
      <w:pPr>
        <w:spacing w:line="312" w:lineRule="auto" w:before="0" w:after="120"/>
        <w:ind w:left="624"/>
      </w:pPr>
      <w:r>
        <w:rPr>
          <w:rFonts w:ascii="Cambria" w:hAnsi="Cambria" w:eastAsia="宋体"/>
          <w:b w:val="0"/>
          <w:i w:val="0"/>
          <w:color w:val="4A5A70"/>
          <w:sz w:val="21"/>
        </w:rPr>
        <w:t>Archive the original long text rather than delete it — load reduction is not the destruction of evidence.</w:t>
      </w:r>
    </w:p>
    <w:p>
      <w:pPr>
        <w:spacing w:line="288" w:lineRule="auto" w:before="200" w:after="60"/>
      </w:pPr>
      <w:r>
        <w:rPr>
          <w:rFonts w:ascii="Arial" w:hAnsi="Arial" w:eastAsia="黑体"/>
          <w:b/>
          <w:i w:val="0"/>
          <w:color w:val="1B3A5C"/>
          <w:sz w:val="22"/>
        </w:rPr>
        <w:t>【证据等级】</w:t>
      </w:r>
      <w:r>
        <w:rPr>
          <w:rFonts w:ascii="Arial" w:hAnsi="Arial" w:eastAsia="黑体"/>
          <w:b w:val="0"/>
          <w:i w:val="0"/>
          <w:color w:val="7A8CA3"/>
          <w:sz w:val="18"/>
        </w:rPr>
        <w:t xml:space="preserve">　[Evidence Level]</w:t>
      </w:r>
    </w:p>
    <w:p>
      <w:pPr>
        <w:spacing w:line="360" w:lineRule="auto" w:before="0" w:after="80"/>
        <w:ind w:firstLine="420"/>
      </w:pPr>
      <w:r>
        <w:rPr>
          <w:rFonts w:ascii="Cambria" w:hAnsi="Cambria" w:eastAsia="宋体"/>
          <w:b w:val="0"/>
          <w:i w:val="0"/>
          <w:color w:val="222222"/>
          <w:sz w:val="24"/>
        </w:rPr>
        <w:t>底层机制 E3–E4（认知负荷与受控语言有长期实证积累）；本框架下的操作化 E1。</w:t>
      </w:r>
    </w:p>
    <w:p>
      <w:pPr>
        <w:spacing w:line="324" w:lineRule="auto" w:before="0" w:after="160"/>
        <w:ind w:firstLine="420"/>
      </w:pPr>
      <w:r>
        <w:rPr>
          <w:rFonts w:ascii="Cambria" w:hAnsi="Cambria" w:eastAsia="宋体"/>
          <w:b w:val="0"/>
          <w:i w:val="0"/>
          <w:color w:val="4A5A70"/>
          <w:sz w:val="22"/>
        </w:rPr>
        <w:t>Underlying mechanisms E3–E4 (cognitive load and controlled language have a long empirical record); operationalization within this framework E1.</w:t>
      </w:r>
    </w:p>
    <w:p>
      <w:pPr>
        <w:spacing w:line="288" w:lineRule="auto" w:before="200" w:after="60"/>
      </w:pPr>
      <w:r>
        <w:rPr>
          <w:rFonts w:ascii="Arial" w:hAnsi="Arial" w:eastAsia="黑体"/>
          <w:b/>
          <w:i w:val="0"/>
          <w:color w:val="1B3A5C"/>
          <w:sz w:val="22"/>
        </w:rPr>
        <w:t>【常见误区】</w:t>
      </w:r>
      <w:r>
        <w:rPr>
          <w:rFonts w:ascii="Arial" w:hAnsi="Arial" w:eastAsia="黑体"/>
          <w:b w:val="0"/>
          <w:i w:val="0"/>
          <w:color w:val="7A8CA3"/>
          <w:sz w:val="18"/>
        </w:rPr>
        <w:t xml:space="preserve">　[Common Misconception]</w:t>
      </w:r>
    </w:p>
    <w:p>
      <w:pPr>
        <w:spacing w:line="336" w:lineRule="auto" w:before="0" w:after="40"/>
        <w:ind w:left="420"/>
      </w:pPr>
      <w:r>
        <w:rPr>
          <w:rFonts w:ascii="Cambria" w:hAnsi="Cambria" w:eastAsia="宋体"/>
          <w:b w:val="0"/>
          <w:i w:val="0"/>
          <w:color w:val="222222"/>
          <w:sz w:val="23"/>
        </w:rPr>
        <w:t>· 把减负等同于「摘要」。摘要仍是被动阅读；减负的目标是让读者从「读」转为「判断」。</w:t>
      </w:r>
    </w:p>
    <w:p>
      <w:pPr>
        <w:spacing w:line="312" w:lineRule="auto" w:before="0" w:after="120"/>
        <w:ind w:left="624"/>
      </w:pPr>
      <w:r>
        <w:rPr>
          <w:rFonts w:ascii="Cambria" w:hAnsi="Cambria" w:eastAsia="宋体"/>
          <w:b w:val="0"/>
          <w:i w:val="0"/>
          <w:color w:val="4A5A70"/>
          <w:sz w:val="21"/>
        </w:rPr>
        <w:t>Equating load reduction with summarization. A summary is still passive reading; the goal is to move the reader from reading to judging.</w:t>
      </w:r>
    </w:p>
    <w:p>
      <w:pPr>
        <w:spacing w:line="336" w:lineRule="auto" w:before="0" w:after="40"/>
        <w:ind w:left="420"/>
      </w:pPr>
      <w:r>
        <w:rPr>
          <w:rFonts w:ascii="Cambria" w:hAnsi="Cambria" w:eastAsia="宋体"/>
          <w:b w:val="0"/>
          <w:i w:val="0"/>
          <w:color w:val="222222"/>
          <w:sz w:val="23"/>
        </w:rPr>
        <w:t>· 过度压缩导致边界信息丢失。正典公理四指出意义判断永远具有不完备性，压缩会放大这种不完备性。</w:t>
      </w:r>
    </w:p>
    <w:p>
      <w:pPr>
        <w:spacing w:line="312" w:lineRule="auto" w:before="0" w:after="120"/>
        <w:ind w:left="624"/>
      </w:pPr>
      <w:r>
        <w:rPr>
          <w:rFonts w:ascii="Cambria" w:hAnsi="Cambria" w:eastAsia="宋体"/>
          <w:b w:val="0"/>
          <w:i w:val="0"/>
          <w:color w:val="4A5A70"/>
          <w:sz w:val="21"/>
        </w:rPr>
        <w:t>Over-compression loses boundary information. Canon Axiom Four holds that meaning judgment is always incomplete; compression amplifies that incompleteness.</w:t>
      </w:r>
    </w:p>
    <w:p>
      <w:pPr>
        <w:spacing w:line="288" w:lineRule="auto" w:before="200" w:after="60"/>
      </w:pPr>
      <w:r>
        <w:rPr>
          <w:rFonts w:ascii="Arial" w:hAnsi="Arial" w:eastAsia="黑体"/>
          <w:b/>
          <w:i w:val="0"/>
          <w:color w:val="1B3A5C"/>
          <w:sz w:val="22"/>
        </w:rPr>
        <w:t>【与相邻层的关系】</w:t>
      </w:r>
      <w:r>
        <w:rPr>
          <w:rFonts w:ascii="Arial" w:hAnsi="Arial" w:eastAsia="黑体"/>
          <w:b w:val="0"/>
          <w:i w:val="0"/>
          <w:color w:val="7A8CA3"/>
          <w:sz w:val="18"/>
        </w:rPr>
        <w:t xml:space="preserve">　[Relation to Adjacent Layers]</w:t>
      </w:r>
    </w:p>
    <w:p>
      <w:pPr>
        <w:spacing w:line="360" w:lineRule="auto" w:before="0" w:after="80"/>
        <w:ind w:firstLine="420"/>
      </w:pPr>
      <w:r>
        <w:rPr>
          <w:rFonts w:ascii="Cambria" w:hAnsi="Cambria" w:eastAsia="宋体"/>
          <w:b w:val="0"/>
          <w:i w:val="0"/>
          <w:color w:val="222222"/>
          <w:sz w:val="24"/>
        </w:rPr>
        <w:t>L1 的产物是 L2 的输入。没有 L1，L2 只是把混乱做得更好看。</w:t>
      </w:r>
    </w:p>
    <w:p>
      <w:pPr>
        <w:spacing w:line="324" w:lineRule="auto" w:before="0" w:after="160"/>
        <w:ind w:firstLine="420"/>
      </w:pPr>
      <w:r>
        <w:rPr>
          <w:rFonts w:ascii="Cambria" w:hAnsi="Cambria" w:eastAsia="宋体"/>
          <w:b w:val="0"/>
          <w:i w:val="0"/>
          <w:color w:val="4A5A70"/>
          <w:sz w:val="22"/>
        </w:rPr>
        <w:t>The output of L1 is the input of L2. Without L1, L2 merely makes confusion look better.</w:t>
      </w:r>
    </w:p>
    <w:p>
      <w:pPr>
        <w:spacing w:line="300" w:lineRule="auto" w:before="320" w:after="140"/>
      </w:pPr>
      <w:r>
        <w:rPr>
          <w:rFonts w:ascii="Arial" w:hAnsi="Arial" w:eastAsia="黑体"/>
          <w:b/>
          <w:i w:val="0"/>
          <w:color w:val="1B3A5C"/>
          <w:sz w:val="30"/>
        </w:rPr>
        <w:t>第二层　可体验</w:t>
      </w:r>
      <w:r>
        <w:rPr>
          <w:rFonts w:ascii="Arial" w:hAnsi="Arial" w:eastAsia="黑体"/>
          <w:b w:val="0"/>
          <w:i w:val="0"/>
          <w:color w:val="1B3A5C"/>
          <w:sz w:val="21"/>
        </w:rPr>
        <w:t xml:space="preserve">　Layer 2  Experiential Rendering</w:t>
      </w:r>
    </w:p>
    <w:p>
      <w:pPr>
        <w:spacing w:line="288" w:lineRule="auto" w:before="200" w:after="60"/>
      </w:pPr>
      <w:r>
        <w:rPr>
          <w:rFonts w:ascii="Arial" w:hAnsi="Arial" w:eastAsia="黑体"/>
          <w:b/>
          <w:i w:val="0"/>
          <w:color w:val="1B3A5C"/>
          <w:sz w:val="22"/>
        </w:rPr>
        <w:t>【本层追问】</w:t>
      </w:r>
      <w:r>
        <w:rPr>
          <w:rFonts w:ascii="Arial" w:hAnsi="Arial" w:eastAsia="黑体"/>
          <w:b w:val="0"/>
          <w:i w:val="0"/>
          <w:color w:val="7A8CA3"/>
          <w:sz w:val="18"/>
        </w:rPr>
        <w:t xml:space="preserve">　[Core Question]</w:t>
      </w:r>
    </w:p>
    <w:p>
      <w:pPr>
        <w:spacing w:line="360" w:lineRule="auto" w:before="0" w:after="80"/>
        <w:ind w:firstLine="420"/>
      </w:pPr>
      <w:r>
        <w:rPr>
          <w:rFonts w:ascii="Cambria" w:hAnsi="Cambria" w:eastAsia="宋体"/>
          <w:b w:val="0"/>
          <w:i w:val="0"/>
          <w:color w:val="222222"/>
          <w:sz w:val="24"/>
        </w:rPr>
        <w:t>理解一个结构，最短的路径是什么？</w:t>
      </w:r>
    </w:p>
    <w:p>
      <w:pPr>
        <w:spacing w:line="324" w:lineRule="auto" w:before="0" w:after="160"/>
        <w:ind w:firstLine="420"/>
      </w:pPr>
      <w:r>
        <w:rPr>
          <w:rFonts w:ascii="Cambria" w:hAnsi="Cambria" w:eastAsia="宋体"/>
          <w:b w:val="0"/>
          <w:i w:val="0"/>
          <w:color w:val="4A5A70"/>
          <w:sz w:val="22"/>
        </w:rPr>
        <w:t>What is the shortest path to understanding a structure?</w:t>
      </w:r>
    </w:p>
    <w:p>
      <w:pPr>
        <w:spacing w:line="288" w:lineRule="auto" w:before="200" w:after="60"/>
      </w:pPr>
      <w:r>
        <w:rPr>
          <w:rFonts w:ascii="Arial" w:hAnsi="Arial" w:eastAsia="黑体"/>
          <w:b/>
          <w:i w:val="0"/>
          <w:color w:val="1B3A5C"/>
          <w:sz w:val="22"/>
        </w:rPr>
        <w:t>【定义】</w:t>
      </w:r>
      <w:r>
        <w:rPr>
          <w:rFonts w:ascii="Arial" w:hAnsi="Arial" w:eastAsia="黑体"/>
          <w:b w:val="0"/>
          <w:i w:val="0"/>
          <w:color w:val="7A8CA3"/>
          <w:sz w:val="18"/>
        </w:rPr>
        <w:t xml:space="preserve">　[Definition]</w:t>
      </w:r>
    </w:p>
    <w:p>
      <w:pPr>
        <w:spacing w:line="360" w:lineRule="auto" w:before="0" w:after="80"/>
        <w:ind w:firstLine="420"/>
      </w:pPr>
      <w:r>
        <w:rPr>
          <w:rFonts w:ascii="Cambria" w:hAnsi="Cambria" w:eastAsia="宋体"/>
          <w:b w:val="0"/>
          <w:i w:val="0"/>
          <w:color w:val="222222"/>
          <w:sz w:val="24"/>
        </w:rPr>
        <w:t>把抽象关系转译为可操作、可回放的感知对象，使主体通过「动手」而非「阅读」获得结构直觉。</w:t>
      </w:r>
    </w:p>
    <w:p>
      <w:pPr>
        <w:spacing w:line="324" w:lineRule="auto" w:before="0" w:after="160"/>
        <w:ind w:firstLine="420"/>
      </w:pPr>
      <w:r>
        <w:rPr>
          <w:rFonts w:ascii="Cambria" w:hAnsi="Cambria" w:eastAsia="宋体"/>
          <w:b w:val="0"/>
          <w:i w:val="0"/>
          <w:color w:val="4A5A70"/>
          <w:sz w:val="22"/>
        </w:rPr>
        <w:t>To translate abstract relations into operable, replayable perceptual objects, so that the subject acquires structural intuition by doing rather than by reading.</w:t>
      </w:r>
    </w:p>
    <w:p>
      <w:pPr>
        <w:spacing w:line="288" w:lineRule="auto" w:before="200" w:after="60"/>
      </w:pPr>
      <w:r>
        <w:rPr>
          <w:rFonts w:ascii="Arial" w:hAnsi="Arial" w:eastAsia="黑体"/>
          <w:b/>
          <w:i w:val="0"/>
          <w:color w:val="1B3A5C"/>
          <w:sz w:val="22"/>
        </w:rPr>
        <w:t>【理论锚点】</w:t>
      </w:r>
      <w:r>
        <w:rPr>
          <w:rFonts w:ascii="Arial" w:hAnsi="Arial" w:eastAsia="黑体"/>
          <w:b w:val="0"/>
          <w:i w:val="0"/>
          <w:color w:val="7A8CA3"/>
          <w:sz w:val="18"/>
        </w:rPr>
        <w:t xml:space="preserve">　[Theoretical Anchor]</w:t>
      </w:r>
    </w:p>
    <w:p>
      <w:pPr>
        <w:spacing w:line="360" w:lineRule="auto" w:before="0" w:after="80"/>
        <w:ind w:firstLine="420"/>
      </w:pPr>
      <w:r>
        <w:rPr>
          <w:rFonts w:ascii="Cambria" w:hAnsi="Cambria" w:eastAsia="宋体"/>
          <w:b w:val="0"/>
          <w:i w:val="0"/>
          <w:color w:val="222222"/>
          <w:sz w:val="24"/>
        </w:rPr>
        <w:t>正典第3章 意义的结构与层次；第9章 M1 感知模块。本项目 MSI（意义智能演示系统）为本层的一个参考实现。</w:t>
      </w:r>
    </w:p>
    <w:p>
      <w:pPr>
        <w:spacing w:line="324" w:lineRule="auto" w:before="0" w:after="160"/>
        <w:ind w:firstLine="420"/>
      </w:pPr>
      <w:r>
        <w:rPr>
          <w:rFonts w:ascii="Cambria" w:hAnsi="Cambria" w:eastAsia="宋体"/>
          <w:b w:val="0"/>
          <w:i w:val="0"/>
          <w:color w:val="4A5A70"/>
          <w:sz w:val="22"/>
        </w:rPr>
        <w:t>Canon Chapter 3, the structure and levels of meaning; Chapter 9, module M1 (perception). The MSI (Meaning Intelligence demonstration system) in this project is one reference implementation of this layer.</w:t>
      </w:r>
    </w:p>
    <w:p>
      <w:pPr>
        <w:spacing w:line="288" w:lineRule="auto" w:before="200" w:after="60"/>
      </w:pPr>
      <w:r>
        <w:rPr>
          <w:rFonts w:ascii="Arial" w:hAnsi="Arial" w:eastAsia="黑体"/>
          <w:b/>
          <w:i w:val="0"/>
          <w:color w:val="1B3A5C"/>
          <w:sz w:val="22"/>
        </w:rPr>
        <w:t>【操作】</w:t>
      </w:r>
      <w:r>
        <w:rPr>
          <w:rFonts w:ascii="Arial" w:hAnsi="Arial" w:eastAsia="黑体"/>
          <w:b w:val="0"/>
          <w:i w:val="0"/>
          <w:color w:val="7A8CA3"/>
          <w:sz w:val="18"/>
        </w:rPr>
        <w:t xml:space="preserve">　[Practice]</w:t>
      </w:r>
    </w:p>
    <w:p>
      <w:pPr>
        <w:spacing w:line="336" w:lineRule="auto" w:before="0" w:after="40"/>
        <w:ind w:left="420"/>
      </w:pPr>
      <w:r>
        <w:rPr>
          <w:rFonts w:ascii="Cambria" w:hAnsi="Cambria" w:eastAsia="宋体"/>
          <w:b w:val="0"/>
          <w:i w:val="0"/>
          <w:color w:val="222222"/>
          <w:sz w:val="23"/>
        </w:rPr>
        <w:t>· 为每个待理解的概念至少生成一种可交互形式。</w:t>
      </w:r>
    </w:p>
    <w:p>
      <w:pPr>
        <w:spacing w:line="312" w:lineRule="auto" w:before="0" w:after="120"/>
        <w:ind w:left="624"/>
      </w:pPr>
      <w:r>
        <w:rPr>
          <w:rFonts w:ascii="Cambria" w:hAnsi="Cambria" w:eastAsia="宋体"/>
          <w:b w:val="0"/>
          <w:i w:val="0"/>
          <w:color w:val="4A5A70"/>
          <w:sz w:val="21"/>
        </w:rPr>
        <w:t>Produce at least one interactive form for every concept to be understood.</w:t>
      </w:r>
    </w:p>
    <w:p>
      <w:pPr>
        <w:spacing w:line="336" w:lineRule="auto" w:before="0" w:after="40"/>
        <w:ind w:left="420"/>
      </w:pPr>
      <w:r>
        <w:rPr>
          <w:rFonts w:ascii="Cambria" w:hAnsi="Cambria" w:eastAsia="宋体"/>
          <w:b w:val="0"/>
          <w:i w:val="0"/>
          <w:color w:val="222222"/>
          <w:sz w:val="23"/>
        </w:rPr>
        <w:t>· 交互必须暴露一个可改变的参数，并让结果可预测——这是「可体验」与「好看」的分界。</w:t>
      </w:r>
    </w:p>
    <w:p>
      <w:pPr>
        <w:spacing w:line="312" w:lineRule="auto" w:before="0" w:after="120"/>
        <w:ind w:left="624"/>
      </w:pPr>
      <w:r>
        <w:rPr>
          <w:rFonts w:ascii="Cambria" w:hAnsi="Cambria" w:eastAsia="宋体"/>
          <w:b w:val="0"/>
          <w:i w:val="0"/>
          <w:color w:val="4A5A70"/>
          <w:sz w:val="21"/>
        </w:rPr>
        <w:t>The interaction must expose one changeable parameter whose effect is predictable — this is the dividing line between experiential and merely attractive.</w:t>
      </w:r>
    </w:p>
    <w:p>
      <w:pPr>
        <w:spacing w:line="336" w:lineRule="auto" w:before="0" w:after="40"/>
        <w:ind w:left="420"/>
      </w:pPr>
      <w:r>
        <w:rPr>
          <w:rFonts w:ascii="Cambria" w:hAnsi="Cambria" w:eastAsia="宋体"/>
          <w:b w:val="0"/>
          <w:i w:val="0"/>
          <w:color w:val="222222"/>
          <w:sz w:val="23"/>
        </w:rPr>
        <w:t>· 保留「可丢弃产物」思维：用完即弃，不占用记忆负担。</w:t>
      </w:r>
    </w:p>
    <w:p>
      <w:pPr>
        <w:spacing w:line="312" w:lineRule="auto" w:before="0" w:after="120"/>
        <w:ind w:left="624"/>
      </w:pPr>
      <w:r>
        <w:rPr>
          <w:rFonts w:ascii="Cambria" w:hAnsi="Cambria" w:eastAsia="宋体"/>
          <w:b w:val="0"/>
          <w:i w:val="0"/>
          <w:color w:val="4A5A70"/>
          <w:sz w:val="21"/>
        </w:rPr>
        <w:t>Keep the disposable-artifact mindset: use it and discard it, so it occupies no memory burden.</w:t>
      </w:r>
    </w:p>
    <w:p>
      <w:pPr>
        <w:spacing w:line="336" w:lineRule="auto" w:before="0" w:after="40"/>
        <w:ind w:left="420"/>
      </w:pPr>
      <w:r>
        <w:rPr>
          <w:rFonts w:ascii="Cambria" w:hAnsi="Cambria" w:eastAsia="宋体"/>
          <w:b w:val="0"/>
          <w:i w:val="0"/>
          <w:color w:val="222222"/>
          <w:sz w:val="23"/>
        </w:rPr>
        <w:t>· 交互产物应附带时间轴标注，使「看到」与「读到」可对齐。</w:t>
      </w:r>
    </w:p>
    <w:p>
      <w:pPr>
        <w:spacing w:line="312" w:lineRule="auto" w:before="0" w:after="120"/>
        <w:ind w:left="624"/>
      </w:pPr>
      <w:r>
        <w:rPr>
          <w:rFonts w:ascii="Cambria" w:hAnsi="Cambria" w:eastAsia="宋体"/>
          <w:b w:val="0"/>
          <w:i w:val="0"/>
          <w:color w:val="4A5A70"/>
          <w:sz w:val="21"/>
        </w:rPr>
        <w:t>Interactive artifacts should carry timeline annotations so that seeing and reading can be aligned.</w:t>
      </w:r>
    </w:p>
    <w:p>
      <w:pPr>
        <w:spacing w:line="288" w:lineRule="auto" w:before="200" w:after="60"/>
      </w:pPr>
      <w:r>
        <w:rPr>
          <w:rFonts w:ascii="Arial" w:hAnsi="Arial" w:eastAsia="黑体"/>
          <w:b/>
          <w:i w:val="0"/>
          <w:color w:val="1B3A5C"/>
          <w:sz w:val="22"/>
        </w:rPr>
        <w:t>【证据等级】</w:t>
      </w:r>
      <w:r>
        <w:rPr>
          <w:rFonts w:ascii="Arial" w:hAnsi="Arial" w:eastAsia="黑体"/>
          <w:b w:val="0"/>
          <w:i w:val="0"/>
          <w:color w:val="7A8CA3"/>
          <w:sz w:val="18"/>
        </w:rPr>
        <w:t xml:space="preserve">　[Evidence Level]</w:t>
      </w:r>
    </w:p>
    <w:p>
      <w:pPr>
        <w:spacing w:line="360" w:lineRule="auto" w:before="0" w:after="80"/>
        <w:ind w:firstLine="420"/>
      </w:pPr>
      <w:r>
        <w:rPr>
          <w:rFonts w:ascii="Cambria" w:hAnsi="Cambria" w:eastAsia="宋体"/>
          <w:b w:val="0"/>
          <w:i w:val="0"/>
          <w:color w:val="222222"/>
          <w:sz w:val="24"/>
        </w:rPr>
        <w:t>机制 E3（多媒体学习与双通道效应有实证支持）；本框架下的操作化 E1。</w:t>
      </w:r>
    </w:p>
    <w:p>
      <w:pPr>
        <w:spacing w:line="324" w:lineRule="auto" w:before="0" w:after="160"/>
        <w:ind w:firstLine="420"/>
      </w:pPr>
      <w:r>
        <w:rPr>
          <w:rFonts w:ascii="Cambria" w:hAnsi="Cambria" w:eastAsia="宋体"/>
          <w:b w:val="0"/>
          <w:i w:val="0"/>
          <w:color w:val="4A5A70"/>
          <w:sz w:val="22"/>
        </w:rPr>
        <w:t>Mechanisms E3 (multimedia learning and dual-channel effects have empirical support); operationalization within this framework E1.</w:t>
      </w:r>
    </w:p>
    <w:p>
      <w:pPr>
        <w:spacing w:line="288" w:lineRule="auto" w:before="200" w:after="60"/>
      </w:pPr>
      <w:r>
        <w:rPr>
          <w:rFonts w:ascii="Arial" w:hAnsi="Arial" w:eastAsia="黑体"/>
          <w:b/>
          <w:i w:val="0"/>
          <w:color w:val="1B3A5C"/>
          <w:sz w:val="22"/>
        </w:rPr>
        <w:t>【常见误区】</w:t>
      </w:r>
      <w:r>
        <w:rPr>
          <w:rFonts w:ascii="Arial" w:hAnsi="Arial" w:eastAsia="黑体"/>
          <w:b w:val="0"/>
          <w:i w:val="0"/>
          <w:color w:val="7A8CA3"/>
          <w:sz w:val="18"/>
        </w:rPr>
        <w:t xml:space="preserve">　[Common Misconception]</w:t>
      </w:r>
    </w:p>
    <w:p>
      <w:pPr>
        <w:spacing w:line="336" w:lineRule="auto" w:before="0" w:after="40"/>
        <w:ind w:left="420"/>
      </w:pPr>
      <w:r>
        <w:rPr>
          <w:rFonts w:ascii="Cambria" w:hAnsi="Cambria" w:eastAsia="宋体"/>
          <w:b w:val="0"/>
          <w:i w:val="0"/>
          <w:color w:val="222222"/>
          <w:sz w:val="23"/>
        </w:rPr>
        <w:t>· 把「好看」当「可体验」。判据是用户能否改变参数并预测结果，而非页面是否精致。</w:t>
      </w:r>
    </w:p>
    <w:p>
      <w:pPr>
        <w:spacing w:line="312" w:lineRule="auto" w:before="0" w:after="120"/>
        <w:ind w:left="624"/>
      </w:pPr>
      <w:r>
        <w:rPr>
          <w:rFonts w:ascii="Cambria" w:hAnsi="Cambria" w:eastAsia="宋体"/>
          <w:b w:val="0"/>
          <w:i w:val="0"/>
          <w:color w:val="4A5A70"/>
          <w:sz w:val="21"/>
        </w:rPr>
        <w:t>Mistaking good-looking for experiential. The criterion is whether the user can change a parameter and predict the result, not whether the page is polished.</w:t>
      </w:r>
    </w:p>
    <w:p>
      <w:pPr>
        <w:spacing w:line="336" w:lineRule="auto" w:before="0" w:after="40"/>
        <w:ind w:left="420"/>
      </w:pPr>
      <w:r>
        <w:rPr>
          <w:rFonts w:ascii="Cambria" w:hAnsi="Cambria" w:eastAsia="宋体"/>
          <w:b w:val="0"/>
          <w:i w:val="0"/>
          <w:color w:val="222222"/>
          <w:sz w:val="23"/>
        </w:rPr>
        <w:t>· 用交互掩饰逻辑空洞——交互会同时放大结构与错误。</w:t>
      </w:r>
    </w:p>
    <w:p>
      <w:pPr>
        <w:spacing w:line="312" w:lineRule="auto" w:before="0" w:after="120"/>
        <w:ind w:left="624"/>
      </w:pPr>
      <w:r>
        <w:rPr>
          <w:rFonts w:ascii="Cambria" w:hAnsi="Cambria" w:eastAsia="宋体"/>
          <w:b w:val="0"/>
          <w:i w:val="0"/>
          <w:color w:val="4A5A70"/>
          <w:sz w:val="21"/>
        </w:rPr>
        <w:t>Using interactivity to mask an empty logic — interactivity amplifies errors as much as structures.</w:t>
      </w:r>
    </w:p>
    <w:p>
      <w:pPr>
        <w:spacing w:line="288" w:lineRule="auto" w:before="200" w:after="60"/>
      </w:pPr>
      <w:r>
        <w:rPr>
          <w:rFonts w:ascii="Arial" w:hAnsi="Arial" w:eastAsia="黑体"/>
          <w:b/>
          <w:i w:val="0"/>
          <w:color w:val="1B3A5C"/>
          <w:sz w:val="22"/>
        </w:rPr>
        <w:t>【与相邻层的关系】</w:t>
      </w:r>
      <w:r>
        <w:rPr>
          <w:rFonts w:ascii="Arial" w:hAnsi="Arial" w:eastAsia="黑体"/>
          <w:b w:val="0"/>
          <w:i w:val="0"/>
          <w:color w:val="7A8CA3"/>
          <w:sz w:val="18"/>
        </w:rPr>
        <w:t xml:space="preserve">　[Relation to Adjacent Layers]</w:t>
      </w:r>
    </w:p>
    <w:p>
      <w:pPr>
        <w:spacing w:line="360" w:lineRule="auto" w:before="0" w:after="80"/>
        <w:ind w:firstLine="420"/>
      </w:pPr>
      <w:r>
        <w:rPr>
          <w:rFonts w:ascii="Cambria" w:hAnsi="Cambria" w:eastAsia="宋体"/>
          <w:b w:val="0"/>
          <w:i w:val="0"/>
          <w:color w:val="222222"/>
          <w:sz w:val="24"/>
        </w:rPr>
        <w:t>L2 暴露结构，但不判断结构是否值得追求；后者属 L3 至 L5。</w:t>
      </w:r>
    </w:p>
    <w:p>
      <w:pPr>
        <w:spacing w:line="324" w:lineRule="auto" w:before="0" w:after="160"/>
        <w:ind w:firstLine="420"/>
      </w:pPr>
      <w:r>
        <w:rPr>
          <w:rFonts w:ascii="Cambria" w:hAnsi="Cambria" w:eastAsia="宋体"/>
          <w:b w:val="0"/>
          <w:i w:val="0"/>
          <w:color w:val="4A5A70"/>
          <w:sz w:val="22"/>
        </w:rPr>
        <w:t>L2 exposes structure but does not judge whether the structure is worth pursuing; that belongs to L3 through L5.</w:t>
      </w:r>
    </w:p>
    <w:p>
      <w:pPr>
        <w:spacing w:line="300" w:lineRule="auto" w:before="320" w:after="140"/>
      </w:pPr>
      <w:r>
        <w:rPr>
          <w:rFonts w:ascii="Arial" w:hAnsi="Arial" w:eastAsia="黑体"/>
          <w:b/>
          <w:i w:val="0"/>
          <w:color w:val="1B3A5C"/>
          <w:sz w:val="30"/>
        </w:rPr>
        <w:t>第三层　意义生成</w:t>
      </w:r>
      <w:r>
        <w:rPr>
          <w:rFonts w:ascii="Arial" w:hAnsi="Arial" w:eastAsia="黑体"/>
          <w:b w:val="0"/>
          <w:i w:val="0"/>
          <w:color w:val="1B3A5C"/>
          <w:sz w:val="21"/>
        </w:rPr>
        <w:t xml:space="preserve">　Layer 3  Meaning Generation</w:t>
      </w:r>
    </w:p>
    <w:p>
      <w:pPr>
        <w:spacing w:line="288" w:lineRule="auto" w:before="200" w:after="60"/>
      </w:pPr>
      <w:r>
        <w:rPr>
          <w:rFonts w:ascii="Arial" w:hAnsi="Arial" w:eastAsia="黑体"/>
          <w:b/>
          <w:i w:val="0"/>
          <w:color w:val="1B3A5C"/>
          <w:sz w:val="22"/>
        </w:rPr>
        <w:t>【本层追问】</w:t>
      </w:r>
      <w:r>
        <w:rPr>
          <w:rFonts w:ascii="Arial" w:hAnsi="Arial" w:eastAsia="黑体"/>
          <w:b w:val="0"/>
          <w:i w:val="0"/>
          <w:color w:val="7A8CA3"/>
          <w:sz w:val="18"/>
        </w:rPr>
        <w:t xml:space="preserve">　[Core Question]</w:t>
      </w:r>
    </w:p>
    <w:p>
      <w:pPr>
        <w:spacing w:line="360" w:lineRule="auto" w:before="0" w:after="80"/>
        <w:ind w:firstLine="420"/>
      </w:pPr>
      <w:r>
        <w:rPr>
          <w:rFonts w:ascii="Cambria" w:hAnsi="Cambria" w:eastAsia="宋体"/>
          <w:b w:val="0"/>
          <w:i w:val="0"/>
          <w:color w:val="222222"/>
          <w:sz w:val="24"/>
        </w:rPr>
        <w:t>一堆已经看懂的材料，如何变成「对我／我们意味着什么」？</w:t>
      </w:r>
    </w:p>
    <w:p>
      <w:pPr>
        <w:spacing w:line="324" w:lineRule="auto" w:before="0" w:after="160"/>
        <w:ind w:firstLine="420"/>
      </w:pPr>
      <w:r>
        <w:rPr>
          <w:rFonts w:ascii="Cambria" w:hAnsi="Cambria" w:eastAsia="宋体"/>
          <w:b w:val="0"/>
          <w:i w:val="0"/>
          <w:color w:val="4A5A70"/>
          <w:sz w:val="22"/>
        </w:rPr>
        <w:t>How does a pile of already-understood material become "what it means for me / for us"?</w:t>
      </w:r>
    </w:p>
    <w:p>
      <w:pPr>
        <w:spacing w:line="288" w:lineRule="auto" w:before="200" w:after="60"/>
      </w:pPr>
      <w:r>
        <w:rPr>
          <w:rFonts w:ascii="Arial" w:hAnsi="Arial" w:eastAsia="黑体"/>
          <w:b/>
          <w:i w:val="0"/>
          <w:color w:val="1B3A5C"/>
          <w:sz w:val="22"/>
        </w:rPr>
        <w:t>【定义】</w:t>
      </w:r>
      <w:r>
        <w:rPr>
          <w:rFonts w:ascii="Arial" w:hAnsi="Arial" w:eastAsia="黑体"/>
          <w:b w:val="0"/>
          <w:i w:val="0"/>
          <w:color w:val="7A8CA3"/>
          <w:sz w:val="18"/>
        </w:rPr>
        <w:t xml:space="preserve">　[Definition]</w:t>
      </w:r>
    </w:p>
    <w:p>
      <w:pPr>
        <w:spacing w:line="360" w:lineRule="auto" w:before="0" w:after="80"/>
        <w:ind w:firstLine="420"/>
      </w:pPr>
      <w:r>
        <w:rPr>
          <w:rFonts w:ascii="Cambria" w:hAnsi="Cambria" w:eastAsia="宋体"/>
          <w:b w:val="0"/>
          <w:i w:val="0"/>
          <w:color w:val="222222"/>
          <w:sz w:val="24"/>
        </w:rPr>
        <w:t>把材料组织为方向、价值、边界三个维度，并沿意义光谱带定位其抽象程度与时间尺度。</w:t>
      </w:r>
    </w:p>
    <w:p>
      <w:pPr>
        <w:spacing w:line="324" w:lineRule="auto" w:before="0" w:after="160"/>
        <w:ind w:firstLine="420"/>
      </w:pPr>
      <w:r>
        <w:rPr>
          <w:rFonts w:ascii="Cambria" w:hAnsi="Cambria" w:eastAsia="宋体"/>
          <w:b w:val="0"/>
          <w:i w:val="0"/>
          <w:color w:val="4A5A70"/>
          <w:sz w:val="22"/>
        </w:rPr>
        <w:t>To organize material along three dimensions — direction, value, boundary — and to locate its level of abstraction and time scale along the meaning spectrum.</w:t>
      </w:r>
    </w:p>
    <w:p>
      <w:pPr>
        <w:spacing w:line="288" w:lineRule="auto" w:before="200" w:after="60"/>
      </w:pPr>
      <w:r>
        <w:rPr>
          <w:rFonts w:ascii="Arial" w:hAnsi="Arial" w:eastAsia="黑体"/>
          <w:b/>
          <w:i w:val="0"/>
          <w:color w:val="1B3A5C"/>
          <w:sz w:val="22"/>
        </w:rPr>
        <w:t>【理论锚点】</w:t>
      </w:r>
      <w:r>
        <w:rPr>
          <w:rFonts w:ascii="Arial" w:hAnsi="Arial" w:eastAsia="黑体"/>
          <w:b w:val="0"/>
          <w:i w:val="0"/>
          <w:color w:val="7A8CA3"/>
          <w:sz w:val="18"/>
        </w:rPr>
        <w:t xml:space="preserve">　[Theoretical Anchor]</w:t>
      </w:r>
    </w:p>
    <w:p>
      <w:pPr>
        <w:spacing w:line="360" w:lineRule="auto" w:before="0" w:after="80"/>
        <w:ind w:firstLine="420"/>
      </w:pPr>
      <w:r>
        <w:rPr>
          <w:rFonts w:ascii="Cambria" w:hAnsi="Cambria" w:eastAsia="宋体"/>
          <w:b w:val="0"/>
          <w:i w:val="0"/>
          <w:color w:val="222222"/>
          <w:sz w:val="24"/>
        </w:rPr>
        <w:t>正典第3章 3.1（三层次）与 3.2（三维度）；</w:t>
      </w:r>
      <w:r>
        <w:rPr>
          <w:rFonts w:ascii="Cambria" w:hAnsi="Cambria" w:eastAsia="宋体"/>
          <w:b/>
          <w:i w:val="0"/>
          <w:color w:val="222222"/>
          <w:sz w:val="24"/>
        </w:rPr>
        <w:t>第8章 8.1 光谱带模型</w:t>
      </w:r>
      <w:r>
        <w:rPr>
          <w:rFonts w:ascii="Cambria" w:hAnsi="Cambria" w:eastAsia="宋体"/>
          <w:b w:val="0"/>
          <w:i w:val="0"/>
          <w:color w:val="222222"/>
          <w:sz w:val="24"/>
        </w:rPr>
        <w:t>。</w:t>
      </w:r>
    </w:p>
    <w:p>
      <w:pPr>
        <w:spacing w:line="324" w:lineRule="auto" w:before="0" w:after="160"/>
        <w:ind w:firstLine="420"/>
      </w:pPr>
      <w:r>
        <w:rPr>
          <w:rFonts w:ascii="Cambria" w:hAnsi="Cambria" w:eastAsia="宋体"/>
          <w:b w:val="0"/>
          <w:i w:val="0"/>
          <w:color w:val="4A5A70"/>
          <w:sz w:val="22"/>
        </w:rPr>
        <w:t xml:space="preserve">Canon §3.1 (three levels) and §3.2 (three dimensions); </w:t>
      </w:r>
      <w:r>
        <w:rPr>
          <w:rFonts w:ascii="Cambria" w:hAnsi="Cambria" w:eastAsia="宋体"/>
          <w:b/>
          <w:i w:val="0"/>
          <w:color w:val="4A5A70"/>
          <w:sz w:val="22"/>
        </w:rPr>
        <w:t>Chapter 8 §8.1, the spectral band model</w:t>
      </w:r>
      <w:r>
        <w:rPr>
          <w:rFonts w:ascii="Cambria" w:hAnsi="Cambria" w:eastAsia="宋体"/>
          <w:b w:val="0"/>
          <w:i w:val="0"/>
          <w:color w:val="4A5A70"/>
          <w:sz w:val="22"/>
        </w:rPr>
        <w:t>.</w:t>
      </w:r>
    </w:p>
    <w:p>
      <w:pPr>
        <w:spacing w:line="312" w:lineRule="auto" w:before="80" w:after="60"/>
      </w:pPr>
      <w:r>
        <w:rPr>
          <w:rFonts w:ascii="Cambria" w:hAnsi="Cambria" w:eastAsia="宋体"/>
          <w:b w:val="0"/>
          <w:i w:val="0"/>
          <w:color w:val="4A5A70"/>
          <w:sz w:val="19"/>
        </w:rPr>
        <w:t>V7 的重要更动：第3章 3.1 给出的是</w:t>
      </w:r>
      <w:r>
        <w:rPr>
          <w:rFonts w:ascii="Cambria" w:hAnsi="Cambria" w:eastAsia="宋体"/>
          <w:b/>
          <w:i w:val="0"/>
          <w:color w:val="4A5A70"/>
          <w:sz w:val="19"/>
        </w:rPr>
        <w:t>离散三层次</w:t>
      </w:r>
      <w:r>
        <w:rPr>
          <w:rFonts w:ascii="Cambria" w:hAnsi="Cambria" w:eastAsia="宋体"/>
          <w:b w:val="0"/>
          <w:i w:val="0"/>
          <w:color w:val="4A5A70"/>
          <w:sz w:val="19"/>
        </w:rPr>
        <w:t>，而第8章 8.1「光谱带模型取代固定层次」把它们重释为</w:t>
      </w:r>
      <w:r>
        <w:rPr>
          <w:rFonts w:ascii="Cambria" w:hAnsi="Cambria" w:eastAsia="宋体"/>
          <w:b/>
          <w:i w:val="0"/>
          <w:color w:val="4A5A70"/>
          <w:sz w:val="19"/>
        </w:rPr>
        <w:t>一条连续光谱带</w:t>
      </w:r>
      <w:r>
        <w:rPr>
          <w:rFonts w:ascii="Cambria" w:hAnsi="Cambria" w:eastAsia="宋体"/>
          <w:b w:val="0"/>
          <w:i w:val="0"/>
          <w:color w:val="4A5A70"/>
          <w:sz w:val="19"/>
        </w:rPr>
        <w:t>——原元意义层在高端（高抽象、长时距、低频率），原情境意义层在低端（高具体、短时距、高频率），「中间不存在断层，而是连续过渡」。因此 L3 的操作不是把材料塞进三个抽屉，而是判断它落在光谱带的哪一段。</w:t>
      </w:r>
    </w:p>
    <w:p>
      <w:pPr>
        <w:spacing w:line="300" w:lineRule="auto" w:before="0" w:after="160"/>
      </w:pPr>
      <w:r>
        <w:rPr>
          <w:rFonts w:ascii="Cambria" w:hAnsi="Cambria" w:eastAsia="宋体"/>
          <w:b w:val="0"/>
          <w:i w:val="0"/>
          <w:color w:val="7A8CA3"/>
          <w:sz w:val="18"/>
        </w:rPr>
        <w:t xml:space="preserve">An important V7 change: §3.1 gives </w:t>
      </w:r>
      <w:r>
        <w:rPr>
          <w:rFonts w:ascii="Cambria" w:hAnsi="Cambria" w:eastAsia="宋体"/>
          <w:b/>
          <w:i w:val="0"/>
          <w:color w:val="7A8CA3"/>
          <w:sz w:val="18"/>
        </w:rPr>
        <w:t>discrete</w:t>
      </w:r>
      <w:r>
        <w:rPr>
          <w:rFonts w:ascii="Cambria" w:hAnsi="Cambria" w:eastAsia="宋体"/>
          <w:b w:val="0"/>
          <w:i w:val="0"/>
          <w:color w:val="7A8CA3"/>
          <w:sz w:val="18"/>
        </w:rPr>
        <w:t xml:space="preserve"> levels, while §8.1 ("the spectral band model replaces fixed levels") reinterprets them as </w:t>
      </w:r>
      <w:r>
        <w:rPr>
          <w:rFonts w:ascii="Cambria" w:hAnsi="Cambria" w:eastAsia="宋体"/>
          <w:b/>
          <w:i w:val="0"/>
          <w:color w:val="7A8CA3"/>
          <w:sz w:val="18"/>
        </w:rPr>
        <w:t>one continuous band</w:t>
      </w:r>
      <w:r>
        <w:rPr>
          <w:rFonts w:ascii="Cambria" w:hAnsi="Cambria" w:eastAsia="宋体"/>
          <w:b w:val="0"/>
          <w:i w:val="0"/>
          <w:color w:val="7A8CA3"/>
          <w:sz w:val="18"/>
        </w:rPr>
        <w:t xml:space="preserve"> — the former meta-meaning level at the abstract end, the former situational level at the concrete end, with "no fault line in between, only continuous transition." L3's job is therefore not to sort material into three drawers but to judge which segment of the band it occupies.</w:t>
      </w:r>
    </w:p>
    <w:p>
      <w:pPr>
        <w:spacing w:line="312" w:lineRule="auto" w:before="80" w:after="60"/>
      </w:pPr>
      <w:r>
        <w:rPr>
          <w:rFonts w:ascii="Cambria" w:hAnsi="Cambria" w:eastAsia="宋体"/>
          <w:b w:val="0"/>
          <w:i w:val="0"/>
          <w:color w:val="4A5A70"/>
          <w:sz w:val="19"/>
        </w:rPr>
        <w:t>另注意不要与「四维度」混淆：</w:t>
      </w:r>
      <w:r>
        <w:rPr>
          <w:rFonts w:ascii="Cambria" w:hAnsi="Cambria" w:eastAsia="宋体"/>
          <w:b/>
          <w:i w:val="0"/>
          <w:color w:val="4A5A70"/>
          <w:sz w:val="19"/>
        </w:rPr>
        <w:t>三维度 = 方向·价值·边界</w:t>
      </w:r>
      <w:r>
        <w:rPr>
          <w:rFonts w:ascii="Cambria" w:hAnsi="Cambria" w:eastAsia="宋体"/>
          <w:b w:val="0"/>
          <w:i w:val="0"/>
          <w:color w:val="4A5A70"/>
          <w:sz w:val="19"/>
        </w:rPr>
        <w:t>（3.2）是一次意义判断要回答的三个问题；</w:t>
      </w:r>
      <w:r>
        <w:rPr>
          <w:rFonts w:ascii="Cambria" w:hAnsi="Cambria" w:eastAsia="宋体"/>
          <w:b/>
          <w:i w:val="0"/>
          <w:color w:val="4A5A70"/>
          <w:sz w:val="19"/>
        </w:rPr>
        <w:t>四维度 = 认知 C·价值 V·存在 E·行动 A</w:t>
      </w:r>
      <w:r>
        <w:rPr>
          <w:rFonts w:ascii="Cambria" w:hAnsi="Cambria" w:eastAsia="宋体"/>
          <w:b w:val="0"/>
          <w:i w:val="0"/>
          <w:color w:val="4A5A70"/>
          <w:sz w:val="19"/>
        </w:rPr>
        <w:t>（8.2）是光谱带上的四个耦合维度，用于系缚强度 BS 分析。</w:t>
      </w:r>
    </w:p>
    <w:p>
      <w:pPr>
        <w:spacing w:line="300" w:lineRule="auto" w:before="0" w:after="160"/>
      </w:pPr>
      <w:r>
        <w:rPr>
          <w:rFonts w:ascii="Cambria" w:hAnsi="Cambria" w:eastAsia="宋体"/>
          <w:b w:val="0"/>
          <w:i w:val="0"/>
          <w:color w:val="7A8CA3"/>
          <w:sz w:val="18"/>
        </w:rPr>
        <w:t xml:space="preserve">Do not confuse this with the </w:t>
      </w:r>
      <w:r>
        <w:rPr>
          <w:rFonts w:ascii="Cambria" w:hAnsi="Cambria" w:eastAsia="宋体"/>
          <w:b/>
          <w:i w:val="0"/>
          <w:color w:val="7A8CA3"/>
          <w:sz w:val="18"/>
        </w:rPr>
        <w:t>four dimensions</w:t>
      </w:r>
      <w:r>
        <w:rPr>
          <w:rFonts w:ascii="Cambria" w:hAnsi="Cambria" w:eastAsia="宋体"/>
          <w:b w:val="0"/>
          <w:i w:val="0"/>
          <w:color w:val="7A8CA3"/>
          <w:sz w:val="18"/>
        </w:rPr>
        <w:t>: direction / value / boundary (§3.2) are the three questions one meaning judgment answers, whereas cognitive C / value V / existential E / action A (§8.2) are the four coupled dimensions of the spectral band used for binding-strength (BS) analysis.</w:t>
      </w:r>
    </w:p>
    <w:p>
      <w:pPr>
        <w:spacing w:line="288" w:lineRule="auto" w:before="200" w:after="60"/>
      </w:pPr>
      <w:r>
        <w:rPr>
          <w:rFonts w:ascii="Arial" w:hAnsi="Arial" w:eastAsia="黑体"/>
          <w:b/>
          <w:i w:val="0"/>
          <w:color w:val="1B3A5C"/>
          <w:sz w:val="22"/>
        </w:rPr>
        <w:t>【操作】</w:t>
      </w:r>
      <w:r>
        <w:rPr>
          <w:rFonts w:ascii="Arial" w:hAnsi="Arial" w:eastAsia="黑体"/>
          <w:b w:val="0"/>
          <w:i w:val="0"/>
          <w:color w:val="7A8CA3"/>
          <w:sz w:val="18"/>
        </w:rPr>
        <w:t xml:space="preserve">　[Practice]</w:t>
      </w:r>
    </w:p>
    <w:p>
      <w:pPr>
        <w:spacing w:line="336" w:lineRule="auto" w:before="0" w:after="40"/>
        <w:ind w:left="420"/>
      </w:pPr>
      <w:r>
        <w:rPr>
          <w:rFonts w:ascii="Cambria" w:hAnsi="Cambria" w:eastAsia="宋体"/>
          <w:b w:val="0"/>
          <w:i w:val="0"/>
          <w:color w:val="222222"/>
          <w:sz w:val="23"/>
        </w:rPr>
        <w:t>· 方向之问：这件事把我们带向哪里？它的反方向是什么？</w:t>
      </w:r>
    </w:p>
    <w:p>
      <w:pPr>
        <w:spacing w:line="312" w:lineRule="auto" w:before="0" w:after="120"/>
        <w:ind w:left="624"/>
      </w:pPr>
      <w:r>
        <w:rPr>
          <w:rFonts w:ascii="Cambria" w:hAnsi="Cambria" w:eastAsia="宋体"/>
          <w:b w:val="0"/>
          <w:i w:val="0"/>
          <w:color w:val="4A5A70"/>
          <w:sz w:val="21"/>
        </w:rPr>
        <w:t>Question of direction: where does this take us? What is its opposite direction?</w:t>
      </w:r>
    </w:p>
    <w:p>
      <w:pPr>
        <w:spacing w:line="336" w:lineRule="auto" w:before="0" w:after="40"/>
        <w:ind w:left="420"/>
      </w:pPr>
      <w:r>
        <w:rPr>
          <w:rFonts w:ascii="Cambria" w:hAnsi="Cambria" w:eastAsia="宋体"/>
          <w:b w:val="0"/>
          <w:i w:val="0"/>
          <w:color w:val="222222"/>
          <w:sz w:val="23"/>
        </w:rPr>
        <w:t>· 价值之问：它满足的是效用价值、内在价值还是关系价值？</w:t>
      </w:r>
    </w:p>
    <w:p>
      <w:pPr>
        <w:spacing w:line="312" w:lineRule="auto" w:before="0" w:after="120"/>
        <w:ind w:left="624"/>
      </w:pPr>
      <w:r>
        <w:rPr>
          <w:rFonts w:ascii="Cambria" w:hAnsi="Cambria" w:eastAsia="宋体"/>
          <w:b w:val="0"/>
          <w:i w:val="0"/>
          <w:color w:val="4A5A70"/>
          <w:sz w:val="21"/>
        </w:rPr>
        <w:t>Question of value: does it satisfy utility value, intrinsic value, or relational value?</w:t>
      </w:r>
    </w:p>
    <w:p>
      <w:pPr>
        <w:spacing w:line="336" w:lineRule="auto" w:before="0" w:after="40"/>
        <w:ind w:left="420"/>
      </w:pPr>
      <w:r>
        <w:rPr>
          <w:rFonts w:ascii="Cambria" w:hAnsi="Cambria" w:eastAsia="宋体"/>
          <w:b w:val="0"/>
          <w:i w:val="0"/>
          <w:color w:val="222222"/>
          <w:sz w:val="23"/>
        </w:rPr>
        <w:t>· 边界之问：时间边界、空间边界、关系边界各在哪里？</w:t>
      </w:r>
    </w:p>
    <w:p>
      <w:pPr>
        <w:spacing w:line="312" w:lineRule="auto" w:before="0" w:after="120"/>
        <w:ind w:left="624"/>
      </w:pPr>
      <w:r>
        <w:rPr>
          <w:rFonts w:ascii="Cambria" w:hAnsi="Cambria" w:eastAsia="宋体"/>
          <w:b w:val="0"/>
          <w:i w:val="0"/>
          <w:color w:val="4A5A70"/>
          <w:sz w:val="21"/>
        </w:rPr>
        <w:t>Question of boundary: where lie the temporal, spatial, and relational boundaries?</w:t>
      </w:r>
    </w:p>
    <w:p>
      <w:pPr>
        <w:spacing w:line="336" w:lineRule="auto" w:before="0" w:after="40"/>
        <w:ind w:left="420"/>
      </w:pPr>
      <w:r>
        <w:rPr>
          <w:rFonts w:ascii="Cambria" w:hAnsi="Cambria" w:eastAsia="宋体"/>
          <w:b w:val="0"/>
          <w:i w:val="0"/>
          <w:color w:val="222222"/>
          <w:sz w:val="23"/>
        </w:rPr>
        <w:t>· 光谱定位：它落在光谱带的哪一段？越靠上端越抽象、时距越长、频率越低；越靠下端越具体、时距越短、频率越高。</w:t>
      </w:r>
    </w:p>
    <w:p>
      <w:pPr>
        <w:spacing w:line="312" w:lineRule="auto" w:before="0" w:after="120"/>
        <w:ind w:left="624"/>
      </w:pPr>
      <w:r>
        <w:rPr>
          <w:rFonts w:ascii="Cambria" w:hAnsi="Cambria" w:eastAsia="宋体"/>
          <w:b w:val="0"/>
          <w:i w:val="0"/>
          <w:color w:val="4A5A70"/>
          <w:sz w:val="21"/>
        </w:rPr>
        <w:t>Spectral placement: which segment of the band does it occupy? The higher the end, the more abstract, longer in time scale, and lower in frequency; the lower the end, the more concrete, shorter in time scale, and higher in frequency.</w:t>
      </w:r>
    </w:p>
    <w:p>
      <w:pPr>
        <w:spacing w:line="288" w:lineRule="auto" w:before="200" w:after="60"/>
      </w:pPr>
      <w:r>
        <w:rPr>
          <w:rFonts w:ascii="Arial" w:hAnsi="Arial" w:eastAsia="黑体"/>
          <w:b/>
          <w:i w:val="0"/>
          <w:color w:val="1B3A5C"/>
          <w:sz w:val="22"/>
        </w:rPr>
        <w:t>【证据等级】</w:t>
      </w:r>
      <w:r>
        <w:rPr>
          <w:rFonts w:ascii="Arial" w:hAnsi="Arial" w:eastAsia="黑体"/>
          <w:b w:val="0"/>
          <w:i w:val="0"/>
          <w:color w:val="7A8CA3"/>
          <w:sz w:val="18"/>
        </w:rPr>
        <w:t xml:space="preserve">　[Evidence Level]</w:t>
      </w:r>
    </w:p>
    <w:p>
      <w:pPr>
        <w:spacing w:line="360" w:lineRule="auto" w:before="0" w:after="80"/>
        <w:ind w:firstLine="420"/>
      </w:pPr>
      <w:r>
        <w:rPr>
          <w:rFonts w:ascii="Cambria" w:hAnsi="Cambria" w:eastAsia="宋体"/>
          <w:b w:val="0"/>
          <w:i w:val="0"/>
          <w:color w:val="222222"/>
          <w:sz w:val="24"/>
        </w:rPr>
        <w:t>E0（构念已定义）至 E1（已形式化）。</w:t>
      </w:r>
    </w:p>
    <w:p>
      <w:pPr>
        <w:spacing w:line="324" w:lineRule="auto" w:before="0" w:after="160"/>
        <w:ind w:firstLine="420"/>
      </w:pPr>
      <w:r>
        <w:rPr>
          <w:rFonts w:ascii="Cambria" w:hAnsi="Cambria" w:eastAsia="宋体"/>
          <w:b w:val="0"/>
          <w:i w:val="0"/>
          <w:color w:val="4A5A70"/>
          <w:sz w:val="22"/>
        </w:rPr>
        <w:t>E0 (construct defined) to E1 (formalized).</w:t>
      </w:r>
    </w:p>
    <w:p>
      <w:pPr>
        <w:spacing w:line="288" w:lineRule="auto" w:before="200" w:after="60"/>
      </w:pPr>
      <w:r>
        <w:rPr>
          <w:rFonts w:ascii="Arial" w:hAnsi="Arial" w:eastAsia="黑体"/>
          <w:b/>
          <w:i w:val="0"/>
          <w:color w:val="1B3A5C"/>
          <w:sz w:val="22"/>
        </w:rPr>
        <w:t>【常见误区】</w:t>
      </w:r>
      <w:r>
        <w:rPr>
          <w:rFonts w:ascii="Arial" w:hAnsi="Arial" w:eastAsia="黑体"/>
          <w:b w:val="0"/>
          <w:i w:val="0"/>
          <w:color w:val="7A8CA3"/>
          <w:sz w:val="18"/>
        </w:rPr>
        <w:t xml:space="preserve">　[Common Misconception]</w:t>
      </w:r>
    </w:p>
    <w:p>
      <w:pPr>
        <w:spacing w:line="336" w:lineRule="auto" w:before="0" w:after="40"/>
        <w:ind w:left="420"/>
      </w:pPr>
      <w:r>
        <w:rPr>
          <w:rFonts w:ascii="Cambria" w:hAnsi="Cambria" w:eastAsia="宋体"/>
          <w:b w:val="0"/>
          <w:i w:val="0"/>
          <w:color w:val="222222"/>
          <w:sz w:val="23"/>
        </w:rPr>
        <w:t>· 层次混淆——把情境层的即时判断当作元意义层的终极方向。正典 3.4 指出：意义的丧失往往不是「没有意义」，而是意义结构出了问题。</w:t>
      </w:r>
    </w:p>
    <w:p>
      <w:pPr>
        <w:spacing w:line="312" w:lineRule="auto" w:before="0" w:after="120"/>
        <w:ind w:left="624"/>
      </w:pPr>
      <w:r>
        <w:rPr>
          <w:rFonts w:ascii="Cambria" w:hAnsi="Cambria" w:eastAsia="宋体"/>
          <w:b w:val="0"/>
          <w:i w:val="0"/>
          <w:color w:val="4A5A70"/>
          <w:sz w:val="21"/>
        </w:rPr>
        <w:t>Level confusion — treating an immediate situational judgment as an ultimate meta-meaning direction. Canon §3.4 notes that loss of meaning is often not the absence of meaning but a structural failure of meaning.</w:t>
      </w:r>
    </w:p>
    <w:p>
      <w:pPr>
        <w:spacing w:line="288" w:lineRule="auto" w:before="200" w:after="60"/>
      </w:pPr>
      <w:r>
        <w:rPr>
          <w:rFonts w:ascii="Arial" w:hAnsi="Arial" w:eastAsia="黑体"/>
          <w:b/>
          <w:i w:val="0"/>
          <w:color w:val="1B3A5C"/>
          <w:sz w:val="22"/>
        </w:rPr>
        <w:t>【与相邻层的关系】</w:t>
      </w:r>
      <w:r>
        <w:rPr>
          <w:rFonts w:ascii="Arial" w:hAnsi="Arial" w:eastAsia="黑体"/>
          <w:b w:val="0"/>
          <w:i w:val="0"/>
          <w:color w:val="7A8CA3"/>
          <w:sz w:val="18"/>
        </w:rPr>
        <w:t xml:space="preserve">　[Relation to Adjacent Layers]</w:t>
      </w:r>
    </w:p>
    <w:p>
      <w:pPr>
        <w:spacing w:line="360" w:lineRule="auto" w:before="0" w:after="80"/>
        <w:ind w:firstLine="420"/>
      </w:pPr>
      <w:r>
        <w:rPr>
          <w:rFonts w:ascii="Cambria" w:hAnsi="Cambria" w:eastAsia="宋体"/>
          <w:b w:val="0"/>
          <w:i w:val="0"/>
          <w:color w:val="222222"/>
          <w:sz w:val="24"/>
        </w:rPr>
        <w:t>L3 产出候选意义结构，尚未评估其强度；强度评估属 L4。</w:t>
      </w:r>
    </w:p>
    <w:p>
      <w:pPr>
        <w:spacing w:line="324" w:lineRule="auto" w:before="0" w:after="160"/>
        <w:ind w:firstLine="420"/>
      </w:pPr>
      <w:r>
        <w:rPr>
          <w:rFonts w:ascii="Cambria" w:hAnsi="Cambria" w:eastAsia="宋体"/>
          <w:b w:val="0"/>
          <w:i w:val="0"/>
          <w:color w:val="4A5A70"/>
          <w:sz w:val="22"/>
        </w:rPr>
        <w:t>L3 produces candidate meaning structures without assessing their strength; strength assessment belongs to L4.</w:t>
      </w:r>
    </w:p>
    <w:p>
      <w:pPr>
        <w:spacing w:line="300" w:lineRule="auto" w:before="320" w:after="140"/>
      </w:pPr>
      <w:r>
        <w:rPr>
          <w:rFonts w:ascii="Arial" w:hAnsi="Arial" w:eastAsia="黑体"/>
          <w:b/>
          <w:i w:val="0"/>
          <w:color w:val="1B3A5C"/>
          <w:sz w:val="30"/>
        </w:rPr>
        <w:t>第四层　价值评估</w:t>
      </w:r>
      <w:r>
        <w:rPr>
          <w:rFonts w:ascii="Arial" w:hAnsi="Arial" w:eastAsia="黑体"/>
          <w:b w:val="0"/>
          <w:i w:val="0"/>
          <w:color w:val="1B3A5C"/>
          <w:sz w:val="21"/>
        </w:rPr>
        <w:t xml:space="preserve">　Layer 4  Value Assessment</w:t>
      </w:r>
    </w:p>
    <w:p>
      <w:pPr>
        <w:spacing w:line="288" w:lineRule="auto" w:before="200" w:after="60"/>
      </w:pPr>
      <w:r>
        <w:rPr>
          <w:rFonts w:ascii="Arial" w:hAnsi="Arial" w:eastAsia="黑体"/>
          <w:b/>
          <w:i w:val="0"/>
          <w:color w:val="1B3A5C"/>
          <w:sz w:val="22"/>
        </w:rPr>
        <w:t>【本层追问】</w:t>
      </w:r>
      <w:r>
        <w:rPr>
          <w:rFonts w:ascii="Arial" w:hAnsi="Arial" w:eastAsia="黑体"/>
          <w:b w:val="0"/>
          <w:i w:val="0"/>
          <w:color w:val="7A8CA3"/>
          <w:sz w:val="18"/>
        </w:rPr>
        <w:t xml:space="preserve">　[Core Question]</w:t>
      </w:r>
    </w:p>
    <w:p>
      <w:pPr>
        <w:spacing w:line="360" w:lineRule="auto" w:before="0" w:after="80"/>
        <w:ind w:firstLine="420"/>
      </w:pPr>
      <w:r>
        <w:rPr>
          <w:rFonts w:ascii="Cambria" w:hAnsi="Cambria" w:eastAsia="宋体"/>
          <w:b w:val="0"/>
          <w:i w:val="0"/>
          <w:color w:val="222222"/>
          <w:sz w:val="24"/>
        </w:rPr>
        <w:t>这个意义判断有多可靠？凭什么？</w:t>
      </w:r>
    </w:p>
    <w:p>
      <w:pPr>
        <w:spacing w:line="324" w:lineRule="auto" w:before="0" w:after="160"/>
        <w:ind w:firstLine="420"/>
      </w:pPr>
      <w:r>
        <w:rPr>
          <w:rFonts w:ascii="Cambria" w:hAnsi="Cambria" w:eastAsia="宋体"/>
          <w:b w:val="0"/>
          <w:i w:val="0"/>
          <w:color w:val="4A5A70"/>
          <w:sz w:val="22"/>
        </w:rPr>
        <w:t>How reliable is this meaning judgment, and on what grounds?</w:t>
      </w:r>
    </w:p>
    <w:p>
      <w:pPr>
        <w:spacing w:line="288" w:lineRule="auto" w:before="200" w:after="60"/>
      </w:pPr>
      <w:r>
        <w:rPr>
          <w:rFonts w:ascii="Arial" w:hAnsi="Arial" w:eastAsia="黑体"/>
          <w:b/>
          <w:i w:val="0"/>
          <w:color w:val="1B3A5C"/>
          <w:sz w:val="22"/>
        </w:rPr>
        <w:t>【定义】</w:t>
      </w:r>
      <w:r>
        <w:rPr>
          <w:rFonts w:ascii="Arial" w:hAnsi="Arial" w:eastAsia="黑体"/>
          <w:b w:val="0"/>
          <w:i w:val="0"/>
          <w:color w:val="7A8CA3"/>
          <w:sz w:val="18"/>
        </w:rPr>
        <w:t xml:space="preserve">　[Definition]</w:t>
      </w:r>
    </w:p>
    <w:p>
      <w:pPr>
        <w:spacing w:line="360" w:lineRule="auto" w:before="0" w:after="80"/>
        <w:ind w:firstLine="420"/>
      </w:pPr>
      <w:r>
        <w:rPr>
          <w:rFonts w:ascii="Cambria" w:hAnsi="Cambria" w:eastAsia="宋体"/>
          <w:b w:val="0"/>
          <w:i w:val="0"/>
          <w:color w:val="222222"/>
          <w:sz w:val="24"/>
        </w:rPr>
        <w:t>用统一标尺为意义判断标注证据强度与不确定性，并估计意义势能的变化方向。</w:t>
      </w:r>
    </w:p>
    <w:p>
      <w:pPr>
        <w:spacing w:line="324" w:lineRule="auto" w:before="0" w:after="160"/>
        <w:ind w:firstLine="420"/>
      </w:pPr>
      <w:r>
        <w:rPr>
          <w:rFonts w:ascii="Cambria" w:hAnsi="Cambria" w:eastAsia="宋体"/>
          <w:b w:val="0"/>
          <w:i w:val="0"/>
          <w:color w:val="4A5A70"/>
          <w:sz w:val="22"/>
        </w:rPr>
        <w:t>To label meaning judgments with evidence strength and uncertainty on a common scale, and to estimate the direction of change of meaning potential.</w:t>
      </w:r>
    </w:p>
    <w:p>
      <w:pPr>
        <w:spacing w:line="288" w:lineRule="auto" w:before="200" w:after="60"/>
      </w:pPr>
      <w:r>
        <w:rPr>
          <w:rFonts w:ascii="Arial" w:hAnsi="Arial" w:eastAsia="黑体"/>
          <w:b/>
          <w:i w:val="0"/>
          <w:color w:val="1B3A5C"/>
          <w:sz w:val="22"/>
        </w:rPr>
        <w:t>【理论锚点】</w:t>
      </w:r>
      <w:r>
        <w:rPr>
          <w:rFonts w:ascii="Arial" w:hAnsi="Arial" w:eastAsia="黑体"/>
          <w:b w:val="0"/>
          <w:i w:val="0"/>
          <w:color w:val="7A8CA3"/>
          <w:sz w:val="18"/>
        </w:rPr>
        <w:t xml:space="preserve">　[Theoretical Anchor]</w:t>
      </w:r>
    </w:p>
    <w:p>
      <w:pPr>
        <w:spacing w:line="360" w:lineRule="auto" w:before="0" w:after="80"/>
        <w:ind w:firstLine="420"/>
      </w:pPr>
      <w:r>
        <w:rPr>
          <w:rFonts w:ascii="Cambria" w:hAnsi="Cambria" w:eastAsia="宋体"/>
          <w:b w:val="0"/>
          <w:i w:val="0"/>
          <w:color w:val="222222"/>
          <w:sz w:val="24"/>
        </w:rPr>
        <w:t>正典第6章 E0–E6 证据等级；第3章 3.3 意义势能（PE）动态方程。</w:t>
      </w:r>
    </w:p>
    <w:p>
      <w:pPr>
        <w:spacing w:line="324" w:lineRule="auto" w:before="0" w:after="160"/>
        <w:ind w:firstLine="420"/>
      </w:pPr>
      <w:r>
        <w:rPr>
          <w:rFonts w:ascii="Cambria" w:hAnsi="Cambria" w:eastAsia="宋体"/>
          <w:b w:val="0"/>
          <w:i w:val="0"/>
          <w:color w:val="4A5A70"/>
          <w:sz w:val="22"/>
        </w:rPr>
        <w:t>Canon Chapter 6, the E0–E6 evidence levels; §3.3, the dynamic equation of meaning potential (PE).</w:t>
      </w:r>
    </w:p>
    <w:p>
      <w:pPr>
        <w:spacing w:line="336" w:lineRule="auto" w:before="80" w:after="80"/>
        <w:jc w:val="center"/>
      </w:pPr>
      <w:r>
        <w:rPr>
          <w:rFonts w:ascii="Cambria" w:hAnsi="Cambria" w:eastAsia="宋体"/>
          <w:b/>
          <w:i w:val="0"/>
          <w:color w:val="1B3A5C"/>
          <w:sz w:val="24"/>
        </w:rPr>
        <w:t>PE_t = α_t A_t − β_t C_t − γ_t G_t − δ_t M_t</w:t>
      </w:r>
    </w:p>
    <w:p>
      <w:pPr>
        <w:spacing w:line="312" w:lineRule="auto" w:before="80" w:after="60"/>
      </w:pPr>
      <w:r>
        <w:rPr>
          <w:rFonts w:ascii="Cambria" w:hAnsi="Cambria" w:eastAsia="宋体"/>
          <w:b w:val="0"/>
          <w:i w:val="0"/>
          <w:color w:val="4A5A70"/>
          <w:sz w:val="19"/>
        </w:rPr>
        <w:t>A＝技术／行动能力，C＝认知复杂度，G＝治理能力，M＝意义协调度；α、β、γ、δ 为时变权重，由数据估计而非作者指定。权重更新规则见正典 3.3。</w:t>
      </w:r>
    </w:p>
    <w:p>
      <w:pPr>
        <w:spacing w:line="300" w:lineRule="auto" w:before="0" w:after="160"/>
      </w:pPr>
      <w:r>
        <w:rPr>
          <w:rFonts w:ascii="Cambria" w:hAnsi="Cambria" w:eastAsia="宋体"/>
          <w:b w:val="0"/>
          <w:i w:val="0"/>
          <w:color w:val="7A8CA3"/>
          <w:sz w:val="18"/>
        </w:rPr>
        <w:t>A = technical/action capability, C = cognitive complexity, G = governance capability, M = meaning coordination; α, β, γ, δ are time-varying weights estimated from data rather than assigned by the author. See Canon §3.3 for the weight update rule.</w:t>
      </w:r>
    </w:p>
    <w:p>
      <w:pPr>
        <w:spacing w:line="288" w:lineRule="auto" w:before="200" w:after="60"/>
      </w:pPr>
      <w:r>
        <w:rPr>
          <w:rFonts w:ascii="Arial" w:hAnsi="Arial" w:eastAsia="黑体"/>
          <w:b/>
          <w:i w:val="0"/>
          <w:color w:val="1B3A5C"/>
          <w:sz w:val="22"/>
        </w:rPr>
        <w:t>【操作】</w:t>
      </w:r>
      <w:r>
        <w:rPr>
          <w:rFonts w:ascii="Arial" w:hAnsi="Arial" w:eastAsia="黑体"/>
          <w:b w:val="0"/>
          <w:i w:val="0"/>
          <w:color w:val="7A8CA3"/>
          <w:sz w:val="18"/>
        </w:rPr>
        <w:t xml:space="preserve">　[Practice]</w:t>
      </w:r>
    </w:p>
    <w:p>
      <w:pPr>
        <w:spacing w:line="336" w:lineRule="auto" w:before="0" w:after="40"/>
        <w:ind w:left="420"/>
      </w:pPr>
      <w:r>
        <w:rPr>
          <w:rFonts w:ascii="Cambria" w:hAnsi="Cambria" w:eastAsia="宋体"/>
          <w:b w:val="0"/>
          <w:i w:val="0"/>
          <w:color w:val="222222"/>
          <w:sz w:val="23"/>
        </w:rPr>
        <w:t>· 为每个判断标注证据等级 E0–E6。</w:t>
      </w:r>
    </w:p>
    <w:p>
      <w:pPr>
        <w:spacing w:line="312" w:lineRule="auto" w:before="0" w:after="120"/>
        <w:ind w:left="624"/>
      </w:pPr>
      <w:r>
        <w:rPr>
          <w:rFonts w:ascii="Cambria" w:hAnsi="Cambria" w:eastAsia="宋体"/>
          <w:b w:val="0"/>
          <w:i w:val="0"/>
          <w:color w:val="4A5A70"/>
          <w:sz w:val="21"/>
        </w:rPr>
        <w:t>Label every judgment with an evidence level from E0 to E6.</w:t>
      </w:r>
    </w:p>
    <w:p>
      <w:pPr>
        <w:spacing w:line="336" w:lineRule="auto" w:before="0" w:after="40"/>
        <w:ind w:left="420"/>
      </w:pPr>
      <w:r>
        <w:rPr>
          <w:rFonts w:ascii="Cambria" w:hAnsi="Cambria" w:eastAsia="宋体"/>
          <w:b w:val="0"/>
          <w:i w:val="0"/>
          <w:color w:val="222222"/>
          <w:sz w:val="23"/>
        </w:rPr>
        <w:t>· 写出它的证伪条件：什么观察会让它作废？写不出证伪条件的判断，应退回 L3 重新结构化。</w:t>
      </w:r>
    </w:p>
    <w:p>
      <w:pPr>
        <w:spacing w:line="312" w:lineRule="auto" w:before="0" w:after="120"/>
        <w:ind w:left="624"/>
      </w:pPr>
      <w:r>
        <w:rPr>
          <w:rFonts w:ascii="Cambria" w:hAnsi="Cambria" w:eastAsia="宋体"/>
          <w:b w:val="0"/>
          <w:i w:val="0"/>
          <w:color w:val="4A5A70"/>
          <w:sz w:val="21"/>
        </w:rPr>
        <w:t>Write down its falsification condition: what observation would void it? A judgment with no falsification condition should be returned to L3 for re-structuring.</w:t>
      </w:r>
    </w:p>
    <w:p>
      <w:pPr>
        <w:spacing w:line="336" w:lineRule="auto" w:before="0" w:after="40"/>
        <w:ind w:left="420"/>
      </w:pPr>
      <w:r>
        <w:rPr>
          <w:rFonts w:ascii="Cambria" w:hAnsi="Cambria" w:eastAsia="宋体"/>
          <w:b w:val="0"/>
          <w:i w:val="0"/>
          <w:color w:val="222222"/>
          <w:sz w:val="23"/>
        </w:rPr>
        <w:t>· 估计 A／C／G／M 四个变量的变化方向，判断 PE 是升还是降。</w:t>
      </w:r>
    </w:p>
    <w:p>
      <w:pPr>
        <w:spacing w:line="312" w:lineRule="auto" w:before="0" w:after="120"/>
        <w:ind w:left="624"/>
      </w:pPr>
      <w:r>
        <w:rPr>
          <w:rFonts w:ascii="Cambria" w:hAnsi="Cambria" w:eastAsia="宋体"/>
          <w:b w:val="0"/>
          <w:i w:val="0"/>
          <w:color w:val="4A5A70"/>
          <w:sz w:val="21"/>
        </w:rPr>
        <w:t>Estimate the direction of change of A / C / G / M to determine whether PE rises or falls.</w:t>
      </w:r>
    </w:p>
    <w:p>
      <w:pPr>
        <w:spacing w:line="336" w:lineRule="auto" w:before="0" w:after="40"/>
        <w:ind w:left="420"/>
      </w:pPr>
      <w:r>
        <w:rPr>
          <w:rFonts w:ascii="Cambria" w:hAnsi="Cambria" w:eastAsia="宋体"/>
          <w:b w:val="0"/>
          <w:i w:val="0"/>
          <w:color w:val="222222"/>
          <w:sz w:val="23"/>
        </w:rPr>
        <w:t>· 明确适用尺度——个人尺度的评估不能直接套用到组织尺度（正典公理三：多尺度意义不可通约）。</w:t>
      </w:r>
    </w:p>
    <w:p>
      <w:pPr>
        <w:spacing w:line="312" w:lineRule="auto" w:before="0" w:after="120"/>
        <w:ind w:left="624"/>
      </w:pPr>
      <w:r>
        <w:rPr>
          <w:rFonts w:ascii="Cambria" w:hAnsi="Cambria" w:eastAsia="宋体"/>
          <w:b w:val="0"/>
          <w:i w:val="0"/>
          <w:color w:val="4A5A70"/>
          <w:sz w:val="21"/>
        </w:rPr>
        <w:t>State the applicable scale — an assessment at the individual scale cannot be directly applied at the organizational scale (Canon Axiom Three: multi-scale meanings are incommensurable).</w:t>
      </w:r>
    </w:p>
    <w:p>
      <w:pPr>
        <w:spacing w:line="288" w:lineRule="auto" w:before="200" w:after="60"/>
      </w:pPr>
      <w:r>
        <w:rPr>
          <w:rFonts w:ascii="Arial" w:hAnsi="Arial" w:eastAsia="黑体"/>
          <w:b/>
          <w:i w:val="0"/>
          <w:color w:val="1B3A5C"/>
          <w:sz w:val="22"/>
        </w:rPr>
        <w:t>【证据等级】</w:t>
      </w:r>
      <w:r>
        <w:rPr>
          <w:rFonts w:ascii="Arial" w:hAnsi="Arial" w:eastAsia="黑体"/>
          <w:b w:val="0"/>
          <w:i w:val="0"/>
          <w:color w:val="7A8CA3"/>
          <w:sz w:val="18"/>
        </w:rPr>
        <w:t xml:space="preserve">　[Evidence Level]</w:t>
      </w:r>
    </w:p>
    <w:p>
      <w:pPr>
        <w:spacing w:line="360" w:lineRule="auto" w:before="0" w:after="80"/>
        <w:ind w:firstLine="420"/>
      </w:pPr>
      <w:r>
        <w:rPr>
          <w:rFonts w:ascii="Cambria" w:hAnsi="Cambria" w:eastAsia="宋体"/>
          <w:b w:val="0"/>
          <w:i w:val="0"/>
          <w:color w:val="222222"/>
          <w:sz w:val="24"/>
        </w:rPr>
        <w:t>测量工具 E2（量表信效度验证中）；PE 动态模型 E1（H4 势能驱动行动假说）。</w:t>
      </w:r>
    </w:p>
    <w:p>
      <w:pPr>
        <w:spacing w:line="324" w:lineRule="auto" w:before="0" w:after="160"/>
        <w:ind w:firstLine="420"/>
      </w:pPr>
      <w:r>
        <w:rPr>
          <w:rFonts w:ascii="Cambria" w:hAnsi="Cambria" w:eastAsia="宋体"/>
          <w:b w:val="0"/>
          <w:i w:val="0"/>
          <w:color w:val="4A5A70"/>
          <w:sz w:val="22"/>
        </w:rPr>
        <w:t>Measurement instruments E2 (scale reliability and validity under validation); the dynamic PE model E1 (hypothesis H4, potential drives action).</w:t>
      </w:r>
    </w:p>
    <w:p>
      <w:pPr>
        <w:spacing w:line="288" w:lineRule="auto" w:before="200" w:after="60"/>
      </w:pPr>
      <w:r>
        <w:rPr>
          <w:rFonts w:ascii="Arial" w:hAnsi="Arial" w:eastAsia="黑体"/>
          <w:b/>
          <w:i w:val="0"/>
          <w:color w:val="1B3A5C"/>
          <w:sz w:val="22"/>
        </w:rPr>
        <w:t>【常见误区】</w:t>
      </w:r>
      <w:r>
        <w:rPr>
          <w:rFonts w:ascii="Arial" w:hAnsi="Arial" w:eastAsia="黑体"/>
          <w:b w:val="0"/>
          <w:i w:val="0"/>
          <w:color w:val="7A8CA3"/>
          <w:sz w:val="18"/>
        </w:rPr>
        <w:t xml:space="preserve">　[Common Misconception]</w:t>
      </w:r>
    </w:p>
    <w:p>
      <w:pPr>
        <w:spacing w:line="336" w:lineRule="auto" w:before="0" w:after="40"/>
        <w:ind w:left="420"/>
      </w:pPr>
      <w:r>
        <w:rPr>
          <w:rFonts w:ascii="Cambria" w:hAnsi="Cambria" w:eastAsia="宋体"/>
          <w:b w:val="0"/>
          <w:i w:val="0"/>
          <w:color w:val="222222"/>
          <w:sz w:val="23"/>
        </w:rPr>
        <w:t>· 把「我相信」当作证据等级。</w:t>
      </w:r>
    </w:p>
    <w:p>
      <w:pPr>
        <w:spacing w:line="312" w:lineRule="auto" w:before="0" w:after="120"/>
        <w:ind w:left="624"/>
      </w:pPr>
      <w:r>
        <w:rPr>
          <w:rFonts w:ascii="Cambria" w:hAnsi="Cambria" w:eastAsia="宋体"/>
          <w:b w:val="0"/>
          <w:i w:val="0"/>
          <w:color w:val="4A5A70"/>
          <w:sz w:val="21"/>
        </w:rPr>
        <w:t>Treating "I believe it" as an evidence level.</w:t>
      </w:r>
    </w:p>
    <w:p>
      <w:pPr>
        <w:spacing w:line="336" w:lineRule="auto" w:before="0" w:after="40"/>
        <w:ind w:left="420"/>
      </w:pPr>
      <w:r>
        <w:rPr>
          <w:rFonts w:ascii="Cambria" w:hAnsi="Cambria" w:eastAsia="宋体"/>
          <w:b w:val="0"/>
          <w:i w:val="0"/>
          <w:color w:val="222222"/>
          <w:sz w:val="23"/>
        </w:rPr>
        <w:t>· 违反公理三，把多尺度意义简单加权求和——正典明确：协调不是加权求和。</w:t>
      </w:r>
    </w:p>
    <w:p>
      <w:pPr>
        <w:spacing w:line="312" w:lineRule="auto" w:before="0" w:after="120"/>
        <w:ind w:left="624"/>
      </w:pPr>
      <w:r>
        <w:rPr>
          <w:rFonts w:ascii="Cambria" w:hAnsi="Cambria" w:eastAsia="宋体"/>
          <w:b w:val="0"/>
          <w:i w:val="0"/>
          <w:color w:val="4A5A70"/>
          <w:sz w:val="21"/>
        </w:rPr>
        <w:t>Violating Axiom Three by simply weighting and summing meanings across scales — the canon states explicitly that coordination is not weighted summation.</w:t>
      </w:r>
    </w:p>
    <w:p>
      <w:pPr>
        <w:spacing w:line="288" w:lineRule="auto" w:before="200" w:after="60"/>
      </w:pPr>
      <w:r>
        <w:rPr>
          <w:rFonts w:ascii="Arial" w:hAnsi="Arial" w:eastAsia="黑体"/>
          <w:b/>
          <w:i w:val="0"/>
          <w:color w:val="1B3A5C"/>
          <w:sz w:val="22"/>
        </w:rPr>
        <w:t>【与相邻层的关系】</w:t>
      </w:r>
      <w:r>
        <w:rPr>
          <w:rFonts w:ascii="Arial" w:hAnsi="Arial" w:eastAsia="黑体"/>
          <w:b w:val="0"/>
          <w:i w:val="0"/>
          <w:color w:val="7A8CA3"/>
          <w:sz w:val="18"/>
        </w:rPr>
        <w:t xml:space="preserve">　[Relation to Adjacent Layers]</w:t>
      </w:r>
    </w:p>
    <w:p>
      <w:pPr>
        <w:spacing w:line="360" w:lineRule="auto" w:before="0" w:after="80"/>
        <w:ind w:firstLine="420"/>
      </w:pPr>
      <w:r>
        <w:rPr>
          <w:rFonts w:ascii="Cambria" w:hAnsi="Cambria" w:eastAsia="宋体"/>
          <w:b w:val="0"/>
          <w:i w:val="0"/>
          <w:color w:val="222222"/>
          <w:sz w:val="24"/>
        </w:rPr>
        <w:t>L4 给出强度，但强度高不等于方向对；方向由 L5 决定。</w:t>
      </w:r>
    </w:p>
    <w:p>
      <w:pPr>
        <w:spacing w:line="324" w:lineRule="auto" w:before="0" w:after="160"/>
        <w:ind w:firstLine="420"/>
      </w:pPr>
      <w:r>
        <w:rPr>
          <w:rFonts w:ascii="Cambria" w:hAnsi="Cambria" w:eastAsia="宋体"/>
          <w:b w:val="0"/>
          <w:i w:val="0"/>
          <w:color w:val="4A5A70"/>
          <w:sz w:val="22"/>
        </w:rPr>
        <w:t>L4 yields strength, but high strength does not mean the direction is right; direction is settled at L5.</w:t>
      </w:r>
    </w:p>
    <w:p>
      <w:pPr>
        <w:spacing w:line="300" w:lineRule="auto" w:before="320" w:after="140"/>
      </w:pPr>
      <w:r>
        <w:rPr>
          <w:rFonts w:ascii="Arial" w:hAnsi="Arial" w:eastAsia="黑体"/>
          <w:b/>
          <w:i w:val="0"/>
          <w:color w:val="1B3A5C"/>
          <w:sz w:val="30"/>
        </w:rPr>
        <w:t>第五层　方向选择</w:t>
      </w:r>
      <w:r>
        <w:rPr>
          <w:rFonts w:ascii="Arial" w:hAnsi="Arial" w:eastAsia="黑体"/>
          <w:b w:val="0"/>
          <w:i w:val="0"/>
          <w:color w:val="1B3A5C"/>
          <w:sz w:val="21"/>
        </w:rPr>
        <w:t xml:space="preserve">　Layer 5  Direction Selection</w:t>
      </w:r>
    </w:p>
    <w:p>
      <w:pPr>
        <w:spacing w:line="288" w:lineRule="auto" w:before="200" w:after="60"/>
      </w:pPr>
      <w:r>
        <w:rPr>
          <w:rFonts w:ascii="Arial" w:hAnsi="Arial" w:eastAsia="黑体"/>
          <w:b/>
          <w:i w:val="0"/>
          <w:color w:val="1B3A5C"/>
          <w:sz w:val="22"/>
        </w:rPr>
        <w:t>【本层追问】</w:t>
      </w:r>
      <w:r>
        <w:rPr>
          <w:rFonts w:ascii="Arial" w:hAnsi="Arial" w:eastAsia="黑体"/>
          <w:b w:val="0"/>
          <w:i w:val="0"/>
          <w:color w:val="7A8CA3"/>
          <w:sz w:val="18"/>
        </w:rPr>
        <w:t xml:space="preserve">　[Core Question]</w:t>
      </w:r>
    </w:p>
    <w:p>
      <w:pPr>
        <w:spacing w:line="360" w:lineRule="auto" w:before="0" w:after="80"/>
        <w:ind w:firstLine="420"/>
      </w:pPr>
      <w:r>
        <w:rPr>
          <w:rFonts w:ascii="Cambria" w:hAnsi="Cambria" w:eastAsia="宋体"/>
          <w:b w:val="0"/>
          <w:i w:val="0"/>
          <w:color w:val="222222"/>
          <w:sz w:val="24"/>
        </w:rPr>
        <w:t>在多个都「有价值」的方向中，选哪一个？</w:t>
      </w:r>
    </w:p>
    <w:p>
      <w:pPr>
        <w:spacing w:line="324" w:lineRule="auto" w:before="0" w:after="160"/>
        <w:ind w:firstLine="420"/>
      </w:pPr>
      <w:r>
        <w:rPr>
          <w:rFonts w:ascii="Cambria" w:hAnsi="Cambria" w:eastAsia="宋体"/>
          <w:b w:val="0"/>
          <w:i w:val="0"/>
          <w:color w:val="4A5A70"/>
          <w:sz w:val="22"/>
        </w:rPr>
        <w:t>Among several directions that all have value, which one to choose?</w:t>
      </w:r>
    </w:p>
    <w:p>
      <w:pPr>
        <w:spacing w:line="288" w:lineRule="auto" w:before="200" w:after="60"/>
      </w:pPr>
      <w:r>
        <w:rPr>
          <w:rFonts w:ascii="Arial" w:hAnsi="Arial" w:eastAsia="黑体"/>
          <w:b/>
          <w:i w:val="0"/>
          <w:color w:val="1B3A5C"/>
          <w:sz w:val="22"/>
        </w:rPr>
        <w:t>【定义】</w:t>
      </w:r>
      <w:r>
        <w:rPr>
          <w:rFonts w:ascii="Arial" w:hAnsi="Arial" w:eastAsia="黑体"/>
          <w:b w:val="0"/>
          <w:i w:val="0"/>
          <w:color w:val="7A8CA3"/>
          <w:sz w:val="18"/>
        </w:rPr>
        <w:t xml:space="preserve">　[Definition]</w:t>
      </w:r>
    </w:p>
    <w:p>
      <w:pPr>
        <w:spacing w:line="360" w:lineRule="auto" w:before="0" w:after="80"/>
        <w:ind w:firstLine="420"/>
      </w:pPr>
      <w:r>
        <w:rPr>
          <w:rFonts w:ascii="Cambria" w:hAnsi="Cambria" w:eastAsia="宋体"/>
          <w:b w:val="0"/>
          <w:i w:val="0"/>
          <w:color w:val="222222"/>
          <w:sz w:val="24"/>
        </w:rPr>
        <w:t>在五尺度框架下选定一个方向并显式承担其代价，同时输出该选择的修正触发条件。</w:t>
      </w:r>
    </w:p>
    <w:p>
      <w:pPr>
        <w:spacing w:line="324" w:lineRule="auto" w:before="0" w:after="160"/>
        <w:ind w:firstLine="420"/>
      </w:pPr>
      <w:r>
        <w:rPr>
          <w:rFonts w:ascii="Cambria" w:hAnsi="Cambria" w:eastAsia="宋体"/>
          <w:b w:val="0"/>
          <w:i w:val="0"/>
          <w:color w:val="4A5A70"/>
          <w:sz w:val="22"/>
        </w:rPr>
        <w:t>To select one direction within the five-scale framework while explicitly bearing its cost, and to output the correction triggers for that choice.</w:t>
      </w:r>
    </w:p>
    <w:p>
      <w:pPr>
        <w:spacing w:line="288" w:lineRule="auto" w:before="200" w:after="60"/>
      </w:pPr>
      <w:r>
        <w:rPr>
          <w:rFonts w:ascii="Arial" w:hAnsi="Arial" w:eastAsia="黑体"/>
          <w:b/>
          <w:i w:val="0"/>
          <w:color w:val="1B3A5C"/>
          <w:sz w:val="22"/>
        </w:rPr>
        <w:t>【理论锚点】</w:t>
      </w:r>
      <w:r>
        <w:rPr>
          <w:rFonts w:ascii="Arial" w:hAnsi="Arial" w:eastAsia="黑体"/>
          <w:b w:val="0"/>
          <w:i w:val="0"/>
          <w:color w:val="7A8CA3"/>
          <w:sz w:val="18"/>
        </w:rPr>
        <w:t xml:space="preserve">　[Theoretical Anchor]</w:t>
      </w:r>
    </w:p>
    <w:p>
      <w:pPr>
        <w:spacing w:line="360" w:lineRule="auto" w:before="0" w:after="80"/>
        <w:ind w:firstLine="420"/>
      </w:pPr>
      <w:r>
        <w:rPr>
          <w:rFonts w:ascii="Cambria" w:hAnsi="Cambria" w:eastAsia="宋体"/>
          <w:b w:val="0"/>
          <w:i w:val="0"/>
          <w:color w:val="222222"/>
          <w:sz w:val="24"/>
        </w:rPr>
        <w:t>正典第4章五尺度导航（个人／组织／城市／国家／人类）；DC 方向一致性指标；三级修正机制。</w:t>
      </w:r>
    </w:p>
    <w:p>
      <w:pPr>
        <w:spacing w:line="324" w:lineRule="auto" w:before="0" w:after="160"/>
        <w:ind w:firstLine="420"/>
      </w:pPr>
      <w:r>
        <w:rPr>
          <w:rFonts w:ascii="Cambria" w:hAnsi="Cambria" w:eastAsia="宋体"/>
          <w:b w:val="0"/>
          <w:i w:val="0"/>
          <w:color w:val="4A5A70"/>
          <w:sz w:val="22"/>
        </w:rPr>
        <w:t>Canon Chapter 4, five-scale navigation (individual / organizational / urban / national / humanity); the DC direction-consistency indicator; the three-level correction mechanism.</w:t>
      </w:r>
    </w:p>
    <w:p>
      <w:pPr>
        <w:spacing w:line="288" w:lineRule="auto" w:before="200" w:after="60"/>
      </w:pPr>
      <w:r>
        <w:rPr>
          <w:rFonts w:ascii="Arial" w:hAnsi="Arial" w:eastAsia="黑体"/>
          <w:b/>
          <w:i w:val="0"/>
          <w:color w:val="1B3A5C"/>
          <w:sz w:val="22"/>
        </w:rPr>
        <w:t>【操作】</w:t>
      </w:r>
      <w:r>
        <w:rPr>
          <w:rFonts w:ascii="Arial" w:hAnsi="Arial" w:eastAsia="黑体"/>
          <w:b w:val="0"/>
          <w:i w:val="0"/>
          <w:color w:val="7A8CA3"/>
          <w:sz w:val="18"/>
        </w:rPr>
        <w:t xml:space="preserve">　[Practice]</w:t>
      </w:r>
    </w:p>
    <w:p>
      <w:pPr>
        <w:spacing w:line="336" w:lineRule="auto" w:before="0" w:after="40"/>
        <w:ind w:left="420"/>
      </w:pPr>
      <w:r>
        <w:rPr>
          <w:rFonts w:ascii="Cambria" w:hAnsi="Cambria" w:eastAsia="宋体"/>
          <w:b w:val="0"/>
          <w:i w:val="0"/>
          <w:color w:val="222222"/>
          <w:sz w:val="23"/>
        </w:rPr>
        <w:t>· 五尺度检查：该方向在个人、组织、城市、国家、人类五个尺度上，哪些一致、哪些冲突？</w:t>
      </w:r>
    </w:p>
    <w:p>
      <w:pPr>
        <w:spacing w:line="312" w:lineRule="auto" w:before="0" w:after="120"/>
        <w:ind w:left="624"/>
      </w:pPr>
      <w:r>
        <w:rPr>
          <w:rFonts w:ascii="Cambria" w:hAnsi="Cambria" w:eastAsia="宋体"/>
          <w:b w:val="0"/>
          <w:i w:val="0"/>
          <w:color w:val="4A5A70"/>
          <w:sz w:val="21"/>
        </w:rPr>
        <w:t>Five-scale check: at which of the individual, organizational, urban, national, and human scales is this direction consistent, and at which does it conflict?</w:t>
      </w:r>
    </w:p>
    <w:p>
      <w:pPr>
        <w:spacing w:line="336" w:lineRule="auto" w:before="0" w:after="40"/>
        <w:ind w:left="420"/>
      </w:pPr>
      <w:r>
        <w:rPr>
          <w:rFonts w:ascii="Cambria" w:hAnsi="Cambria" w:eastAsia="宋体"/>
          <w:b w:val="0"/>
          <w:i w:val="0"/>
          <w:color w:val="222222"/>
          <w:sz w:val="23"/>
        </w:rPr>
        <w:t>· 冲突不可加权求和，须回到元意义层递归校准（正典 4.3）。</w:t>
      </w:r>
    </w:p>
    <w:p>
      <w:pPr>
        <w:spacing w:line="312" w:lineRule="auto" w:before="0" w:after="120"/>
        <w:ind w:left="624"/>
      </w:pPr>
      <w:r>
        <w:rPr>
          <w:rFonts w:ascii="Cambria" w:hAnsi="Cambria" w:eastAsia="宋体"/>
          <w:b w:val="0"/>
          <w:i w:val="0"/>
          <w:color w:val="4A5A70"/>
          <w:sz w:val="21"/>
        </w:rPr>
        <w:t>Conflicts cannot be resolved by weighted summation; they must return to the meta-meaning level for recursive calibration (Canon §4.3).</w:t>
      </w:r>
    </w:p>
    <w:p>
      <w:pPr>
        <w:spacing w:line="336" w:lineRule="auto" w:before="0" w:after="40"/>
        <w:ind w:left="420"/>
      </w:pPr>
      <w:r>
        <w:rPr>
          <w:rFonts w:ascii="Cambria" w:hAnsi="Cambria" w:eastAsia="宋体"/>
          <w:b w:val="0"/>
          <w:i w:val="0"/>
          <w:color w:val="222222"/>
          <w:sz w:val="23"/>
        </w:rPr>
        <w:t>· 输出「方向声明＋预先声明的偏离阈值」：一级修正 &lt;10%，二级修正 10–30%，三级修正 &gt;30%。</w:t>
      </w:r>
    </w:p>
    <w:p>
      <w:pPr>
        <w:spacing w:line="312" w:lineRule="auto" w:before="0" w:after="120"/>
        <w:ind w:left="624"/>
      </w:pPr>
      <w:r>
        <w:rPr>
          <w:rFonts w:ascii="Cambria" w:hAnsi="Cambria" w:eastAsia="宋体"/>
          <w:b w:val="0"/>
          <w:i w:val="0"/>
          <w:color w:val="4A5A70"/>
          <w:sz w:val="21"/>
        </w:rPr>
        <w:t>Output a direction statement plus pre-declared deviation thresholds: level-one correction &lt;10%, level-two 10–30%, level-three &gt;30%.</w:t>
      </w:r>
    </w:p>
    <w:p>
      <w:pPr>
        <w:spacing w:line="336" w:lineRule="auto" w:before="0" w:after="40"/>
        <w:ind w:left="420"/>
      </w:pPr>
      <w:r>
        <w:rPr>
          <w:rFonts w:ascii="Cambria" w:hAnsi="Cambria" w:eastAsia="宋体"/>
          <w:b w:val="0"/>
          <w:i w:val="0"/>
          <w:color w:val="222222"/>
          <w:sz w:val="23"/>
        </w:rPr>
        <w:t>· 设定自动失效日期，防止方向因惯性而长期未经检验。</w:t>
      </w:r>
    </w:p>
    <w:p>
      <w:pPr>
        <w:spacing w:line="312" w:lineRule="auto" w:before="0" w:after="120"/>
        <w:ind w:left="624"/>
      </w:pPr>
      <w:r>
        <w:rPr>
          <w:rFonts w:ascii="Cambria" w:hAnsi="Cambria" w:eastAsia="宋体"/>
          <w:b w:val="0"/>
          <w:i w:val="0"/>
          <w:color w:val="4A5A70"/>
          <w:sz w:val="21"/>
        </w:rPr>
        <w:t>Set an automatic expiry date so that a direction is not left untested for long out of inertia.</w:t>
      </w:r>
    </w:p>
    <w:p>
      <w:pPr>
        <w:spacing w:line="288" w:lineRule="auto" w:before="200" w:after="60"/>
      </w:pPr>
      <w:r>
        <w:rPr>
          <w:rFonts w:ascii="Arial" w:hAnsi="Arial" w:eastAsia="黑体"/>
          <w:b/>
          <w:i w:val="0"/>
          <w:color w:val="1B3A5C"/>
          <w:sz w:val="22"/>
        </w:rPr>
        <w:t>【证据等级】</w:t>
      </w:r>
      <w:r>
        <w:rPr>
          <w:rFonts w:ascii="Arial" w:hAnsi="Arial" w:eastAsia="黑体"/>
          <w:b w:val="0"/>
          <w:i w:val="0"/>
          <w:color w:val="7A8CA3"/>
          <w:sz w:val="18"/>
        </w:rPr>
        <w:t xml:space="preserve">　[Evidence Level]</w:t>
      </w:r>
    </w:p>
    <w:p>
      <w:pPr>
        <w:spacing w:line="360" w:lineRule="auto" w:before="0" w:after="80"/>
        <w:ind w:firstLine="420"/>
      </w:pPr>
      <w:r>
        <w:rPr>
          <w:rFonts w:ascii="Cambria" w:hAnsi="Cambria" w:eastAsia="宋体"/>
          <w:b w:val="0"/>
          <w:i w:val="0"/>
          <w:color w:val="222222"/>
          <w:sz w:val="24"/>
        </w:rPr>
        <w:t>E1（H7 跨尺度一致性-生存假说；H8 尺度背离-危机假说）。</w:t>
      </w:r>
    </w:p>
    <w:p>
      <w:pPr>
        <w:spacing w:line="324" w:lineRule="auto" w:before="0" w:after="160"/>
        <w:ind w:firstLine="420"/>
      </w:pPr>
      <w:r>
        <w:rPr>
          <w:rFonts w:ascii="Cambria" w:hAnsi="Cambria" w:eastAsia="宋体"/>
          <w:b w:val="0"/>
          <w:i w:val="0"/>
          <w:color w:val="4A5A70"/>
          <w:sz w:val="22"/>
        </w:rPr>
        <w:t>E1 (hypothesis H7, cross-scale consistency and survival; hypothesis H8, scale divergence and crisis).</w:t>
      </w:r>
    </w:p>
    <w:p>
      <w:pPr>
        <w:spacing w:line="288" w:lineRule="auto" w:before="200" w:after="60"/>
      </w:pPr>
      <w:r>
        <w:rPr>
          <w:rFonts w:ascii="Arial" w:hAnsi="Arial" w:eastAsia="黑体"/>
          <w:b/>
          <w:i w:val="0"/>
          <w:color w:val="1B3A5C"/>
          <w:sz w:val="22"/>
        </w:rPr>
        <w:t>【常见误区】</w:t>
      </w:r>
      <w:r>
        <w:rPr>
          <w:rFonts w:ascii="Arial" w:hAnsi="Arial" w:eastAsia="黑体"/>
          <w:b w:val="0"/>
          <w:i w:val="0"/>
          <w:color w:val="7A8CA3"/>
          <w:sz w:val="18"/>
        </w:rPr>
        <w:t xml:space="preserve">　[Common Misconception]</w:t>
      </w:r>
    </w:p>
    <w:p>
      <w:pPr>
        <w:spacing w:line="336" w:lineRule="auto" w:before="0" w:after="40"/>
        <w:ind w:left="420"/>
      </w:pPr>
      <w:r>
        <w:rPr>
          <w:rFonts w:ascii="Cambria" w:hAnsi="Cambria" w:eastAsia="宋体"/>
          <w:b w:val="0"/>
          <w:i w:val="0"/>
          <w:color w:val="222222"/>
          <w:sz w:val="23"/>
        </w:rPr>
        <w:t>· 把「共识」当「方向」。共识是分布，方向是承诺。</w:t>
      </w:r>
    </w:p>
    <w:p>
      <w:pPr>
        <w:spacing w:line="312" w:lineRule="auto" w:before="0" w:after="120"/>
        <w:ind w:left="624"/>
      </w:pPr>
      <w:r>
        <w:rPr>
          <w:rFonts w:ascii="Cambria" w:hAnsi="Cambria" w:eastAsia="宋体"/>
          <w:b w:val="0"/>
          <w:i w:val="0"/>
          <w:color w:val="4A5A70"/>
          <w:sz w:val="21"/>
        </w:rPr>
        <w:t>Mistaking consensus for direction. Consensus is a distribution; direction is a commitment.</w:t>
      </w:r>
    </w:p>
    <w:p>
      <w:pPr>
        <w:spacing w:line="336" w:lineRule="auto" w:before="0" w:after="40"/>
        <w:ind w:left="420"/>
      </w:pPr>
      <w:r>
        <w:rPr>
          <w:rFonts w:ascii="Cambria" w:hAnsi="Cambria" w:eastAsia="宋体"/>
          <w:b w:val="0"/>
          <w:i w:val="0"/>
          <w:color w:val="222222"/>
          <w:sz w:val="23"/>
        </w:rPr>
        <w:t>· 把方向选择当成一次性决定——它是持续校准的过程。</w:t>
      </w:r>
    </w:p>
    <w:p>
      <w:pPr>
        <w:spacing w:line="312" w:lineRule="auto" w:before="0" w:after="120"/>
        <w:ind w:left="624"/>
      </w:pPr>
      <w:r>
        <w:rPr>
          <w:rFonts w:ascii="Cambria" w:hAnsi="Cambria" w:eastAsia="宋体"/>
          <w:b w:val="0"/>
          <w:i w:val="0"/>
          <w:color w:val="4A5A70"/>
          <w:sz w:val="21"/>
        </w:rPr>
        <w:t>Treating direction selection as a one-off decision — it is an ongoing calibration.</w:t>
      </w:r>
    </w:p>
    <w:p>
      <w:pPr>
        <w:spacing w:line="288" w:lineRule="auto" w:before="200" w:after="60"/>
      </w:pPr>
      <w:r>
        <w:rPr>
          <w:rFonts w:ascii="Arial" w:hAnsi="Arial" w:eastAsia="黑体"/>
          <w:b/>
          <w:i w:val="0"/>
          <w:color w:val="1B3A5C"/>
          <w:sz w:val="22"/>
        </w:rPr>
        <w:t>【与相邻层的关系】</w:t>
      </w:r>
      <w:r>
        <w:rPr>
          <w:rFonts w:ascii="Arial" w:hAnsi="Arial" w:eastAsia="黑体"/>
          <w:b w:val="0"/>
          <w:i w:val="0"/>
          <w:color w:val="7A8CA3"/>
          <w:sz w:val="18"/>
        </w:rPr>
        <w:t xml:space="preserve">　[Relation to Adjacent Layers]</w:t>
      </w:r>
    </w:p>
    <w:p>
      <w:pPr>
        <w:spacing w:line="360" w:lineRule="auto" w:before="0" w:after="80"/>
        <w:ind w:firstLine="420"/>
      </w:pPr>
      <w:r>
        <w:rPr>
          <w:rFonts w:ascii="Cambria" w:hAnsi="Cambria" w:eastAsia="宋体"/>
          <w:b w:val="0"/>
          <w:i w:val="0"/>
          <w:color w:val="222222"/>
          <w:sz w:val="24"/>
        </w:rPr>
        <w:t>L5 的输出必然产生新的不确定性，交给 L6 审视。</w:t>
      </w:r>
    </w:p>
    <w:p>
      <w:pPr>
        <w:spacing w:line="324" w:lineRule="auto" w:before="0" w:after="160"/>
        <w:ind w:firstLine="420"/>
      </w:pPr>
      <w:r>
        <w:rPr>
          <w:rFonts w:ascii="Cambria" w:hAnsi="Cambria" w:eastAsia="宋体"/>
          <w:b w:val="0"/>
          <w:i w:val="0"/>
          <w:color w:val="4A5A70"/>
          <w:sz w:val="22"/>
        </w:rPr>
        <w:t>The output of L5 necessarily produces new uncertainty, which is handed to L6 for review.</w:t>
      </w:r>
    </w:p>
    <w:p>
      <w:pPr>
        <w:spacing w:line="300" w:lineRule="auto" w:before="320" w:after="140"/>
      </w:pPr>
      <w:r>
        <w:rPr>
          <w:rFonts w:ascii="Arial" w:hAnsi="Arial" w:eastAsia="黑体"/>
          <w:b/>
          <w:i w:val="0"/>
          <w:color w:val="1B3A5C"/>
          <w:sz w:val="30"/>
        </w:rPr>
        <w:t>第六层　反思与审视递归</w:t>
      </w:r>
      <w:r>
        <w:rPr>
          <w:rFonts w:ascii="Arial" w:hAnsi="Arial" w:eastAsia="黑体"/>
          <w:b w:val="0"/>
          <w:i w:val="0"/>
          <w:color w:val="1B3A5C"/>
          <w:sz w:val="21"/>
        </w:rPr>
        <w:t xml:space="preserve">　Layer 6  Recursive Reflection and Review</w:t>
      </w:r>
    </w:p>
    <w:p>
      <w:pPr>
        <w:spacing w:line="288" w:lineRule="auto" w:before="200" w:after="60"/>
      </w:pPr>
      <w:r>
        <w:rPr>
          <w:rFonts w:ascii="Arial" w:hAnsi="Arial" w:eastAsia="黑体"/>
          <w:b/>
          <w:i w:val="0"/>
          <w:color w:val="1B3A5C"/>
          <w:sz w:val="22"/>
        </w:rPr>
        <w:t>【本层追问】</w:t>
      </w:r>
      <w:r>
        <w:rPr>
          <w:rFonts w:ascii="Arial" w:hAnsi="Arial" w:eastAsia="黑体"/>
          <w:b w:val="0"/>
          <w:i w:val="0"/>
          <w:color w:val="7A8CA3"/>
          <w:sz w:val="18"/>
        </w:rPr>
        <w:t xml:space="preserve">　[Core Question]</w:t>
      </w:r>
    </w:p>
    <w:p>
      <w:pPr>
        <w:spacing w:line="360" w:lineRule="auto" w:before="0" w:after="80"/>
        <w:ind w:firstLine="420"/>
      </w:pPr>
      <w:r>
        <w:rPr>
          <w:rFonts w:ascii="Cambria" w:hAnsi="Cambria" w:eastAsia="宋体"/>
          <w:b w:val="0"/>
          <w:i w:val="0"/>
          <w:color w:val="222222"/>
          <w:sz w:val="24"/>
        </w:rPr>
        <w:t>谁来审视审视者？</w:t>
      </w:r>
    </w:p>
    <w:p>
      <w:pPr>
        <w:spacing w:line="324" w:lineRule="auto" w:before="0" w:after="160"/>
        <w:ind w:firstLine="420"/>
      </w:pPr>
      <w:r>
        <w:rPr>
          <w:rFonts w:ascii="Cambria" w:hAnsi="Cambria" w:eastAsia="宋体"/>
          <w:b w:val="0"/>
          <w:i w:val="0"/>
          <w:color w:val="4A5A70"/>
          <w:sz w:val="22"/>
        </w:rPr>
        <w:t>Who reviews the reviewer?</w:t>
      </w:r>
    </w:p>
    <w:p>
      <w:pPr>
        <w:spacing w:line="288" w:lineRule="auto" w:before="200" w:after="60"/>
      </w:pPr>
      <w:r>
        <w:rPr>
          <w:rFonts w:ascii="Arial" w:hAnsi="Arial" w:eastAsia="黑体"/>
          <w:b/>
          <w:i w:val="0"/>
          <w:color w:val="1B3A5C"/>
          <w:sz w:val="22"/>
        </w:rPr>
        <w:t>【定义】</w:t>
      </w:r>
      <w:r>
        <w:rPr>
          <w:rFonts w:ascii="Arial" w:hAnsi="Arial" w:eastAsia="黑体"/>
          <w:b w:val="0"/>
          <w:i w:val="0"/>
          <w:color w:val="7A8CA3"/>
          <w:sz w:val="18"/>
        </w:rPr>
        <w:t xml:space="preserve">　[Definition]</w:t>
      </w:r>
    </w:p>
    <w:p>
      <w:pPr>
        <w:spacing w:line="360" w:lineRule="auto" w:before="0" w:after="80"/>
        <w:ind w:firstLine="420"/>
      </w:pPr>
      <w:r>
        <w:rPr>
          <w:rFonts w:ascii="Cambria" w:hAnsi="Cambria" w:eastAsia="宋体"/>
          <w:b w:val="0"/>
          <w:i w:val="0"/>
          <w:color w:val="222222"/>
          <w:sz w:val="24"/>
        </w:rPr>
        <w:t>系统对自身的意义判断过程进行再判断，包括对判断框架本身的审查、周期性归零与重构。这是六层栈的闭合环节，也是「元」字的落点。</w:t>
      </w:r>
    </w:p>
    <w:p>
      <w:pPr>
        <w:spacing w:line="324" w:lineRule="auto" w:before="0" w:after="160"/>
        <w:ind w:firstLine="420"/>
      </w:pPr>
      <w:r>
        <w:rPr>
          <w:rFonts w:ascii="Cambria" w:hAnsi="Cambria" w:eastAsia="宋体"/>
          <w:b w:val="0"/>
          <w:i w:val="0"/>
          <w:color w:val="4A5A70"/>
          <w:sz w:val="22"/>
        </w:rPr>
        <w:t>The system re-judges its own meaning-judgment process, including review of the judging framework itself, and periodic zeroing and reconstruction. This is the closing link of the six-layer stack and where the word "meta" lands.</w:t>
      </w:r>
    </w:p>
    <w:p>
      <w:pPr>
        <w:spacing w:line="288" w:lineRule="auto" w:before="200" w:after="60"/>
      </w:pPr>
      <w:r>
        <w:rPr>
          <w:rFonts w:ascii="Arial" w:hAnsi="Arial" w:eastAsia="黑体"/>
          <w:b/>
          <w:i w:val="0"/>
          <w:color w:val="1B3A5C"/>
          <w:sz w:val="22"/>
        </w:rPr>
        <w:t>【理论锚点】</w:t>
      </w:r>
      <w:r>
        <w:rPr>
          <w:rFonts w:ascii="Arial" w:hAnsi="Arial" w:eastAsia="黑体"/>
          <w:b w:val="0"/>
          <w:i w:val="0"/>
          <w:color w:val="7A8CA3"/>
          <w:sz w:val="18"/>
        </w:rPr>
        <w:t xml:space="preserve">　[Theoretical Anchor]</w:t>
      </w:r>
    </w:p>
    <w:p>
      <w:pPr>
        <w:spacing w:line="360" w:lineRule="auto" w:before="0" w:after="80"/>
        <w:ind w:firstLine="420"/>
      </w:pPr>
      <w:r>
        <w:rPr>
          <w:rFonts w:ascii="Cambria" w:hAnsi="Cambria" w:eastAsia="宋体"/>
          <w:b w:val="0"/>
          <w:i w:val="0"/>
          <w:color w:val="222222"/>
          <w:sz w:val="24"/>
        </w:rPr>
        <w:t>正典三特性：MCA 元认知觉察、SA 螺旋上升、AZ 主动归零；F1–F4 四流程的元认知部署；理论失败矩阵；H12 归零防僵化、H13 元认知-判断质量、H14 无归零-僵化。</w:t>
      </w:r>
    </w:p>
    <w:p>
      <w:pPr>
        <w:spacing w:line="324" w:lineRule="auto" w:before="0" w:after="160"/>
        <w:ind w:firstLine="420"/>
      </w:pPr>
      <w:r>
        <w:rPr>
          <w:rFonts w:ascii="Cambria" w:hAnsi="Cambria" w:eastAsia="宋体"/>
          <w:b w:val="0"/>
          <w:i w:val="0"/>
          <w:color w:val="4A5A70"/>
          <w:sz w:val="22"/>
        </w:rPr>
        <w:t>Canon three properties: MCA (metacognitive awareness), SA (spiral ascent), AZ (active zeroing); the metacognitive deployment of processes F1–F4; the Theory Failure Matrix; H12 (zeroing prevents ossification), H13 (metacognition improves judgment quality), H14 (no zeroing leads to ossification).</w:t>
      </w:r>
    </w:p>
    <w:p>
      <w:pPr>
        <w:spacing w:line="288" w:lineRule="auto" w:before="200" w:after="60"/>
      </w:pPr>
      <w:r>
        <w:rPr>
          <w:rFonts w:ascii="Arial" w:hAnsi="Arial" w:eastAsia="黑体"/>
          <w:b/>
          <w:i w:val="0"/>
          <w:color w:val="1B3A5C"/>
          <w:sz w:val="22"/>
        </w:rPr>
        <w:t>【操作】</w:t>
      </w:r>
      <w:r>
        <w:rPr>
          <w:rFonts w:ascii="Arial" w:hAnsi="Arial" w:eastAsia="黑体"/>
          <w:b w:val="0"/>
          <w:i w:val="0"/>
          <w:color w:val="7A8CA3"/>
          <w:sz w:val="18"/>
        </w:rPr>
        <w:t xml:space="preserve">　[Practice]</w:t>
      </w:r>
    </w:p>
    <w:p>
      <w:pPr>
        <w:spacing w:line="336" w:lineRule="auto" w:before="0" w:after="40"/>
        <w:ind w:left="420"/>
      </w:pPr>
      <w:r>
        <w:rPr>
          <w:rFonts w:ascii="Cambria" w:hAnsi="Cambria" w:eastAsia="宋体"/>
          <w:b w:val="0"/>
          <w:i w:val="0"/>
          <w:color w:val="222222"/>
          <w:sz w:val="23"/>
        </w:rPr>
        <w:t>· 元认知觉察：在 M1／M2／M3 与 F1–F4 的每个环节加入「我为何这样判断」的显式陈述。</w:t>
      </w:r>
    </w:p>
    <w:p>
      <w:pPr>
        <w:spacing w:line="312" w:lineRule="auto" w:before="0" w:after="120"/>
        <w:ind w:left="624"/>
      </w:pPr>
      <w:r>
        <w:rPr>
          <w:rFonts w:ascii="Cambria" w:hAnsi="Cambria" w:eastAsia="宋体"/>
          <w:b w:val="0"/>
          <w:i w:val="0"/>
          <w:color w:val="4A5A70"/>
          <w:sz w:val="21"/>
        </w:rPr>
        <w:t>Metacognitive awareness: add an explicit statement of "why I judge this way" at every step of M1 / M2 / M3 and F1–F4.</w:t>
      </w:r>
    </w:p>
    <w:p>
      <w:pPr>
        <w:spacing w:line="336" w:lineRule="auto" w:before="0" w:after="40"/>
        <w:ind w:left="420"/>
      </w:pPr>
      <w:r>
        <w:rPr>
          <w:rFonts w:ascii="Cambria" w:hAnsi="Cambria" w:eastAsia="宋体"/>
          <w:b w:val="0"/>
          <w:i w:val="0"/>
          <w:color w:val="222222"/>
          <w:sz w:val="23"/>
        </w:rPr>
        <w:t>· 螺旋回环：比较本轮与上轮的意义深度增量 SD，而不是比较绝对水平。</w:t>
      </w:r>
    </w:p>
    <w:p>
      <w:pPr>
        <w:spacing w:line="312" w:lineRule="auto" w:before="0" w:after="120"/>
        <w:ind w:left="624"/>
      </w:pPr>
      <w:r>
        <w:rPr>
          <w:rFonts w:ascii="Cambria" w:hAnsi="Cambria" w:eastAsia="宋体"/>
          <w:b w:val="0"/>
          <w:i w:val="0"/>
          <w:color w:val="4A5A70"/>
          <w:sz w:val="21"/>
        </w:rPr>
        <w:t>Spiral looping: compare the meaning-depth increment SD against the previous cycle rather than comparing absolute levels.</w:t>
      </w:r>
    </w:p>
    <w:p>
      <w:pPr>
        <w:spacing w:line="336" w:lineRule="auto" w:before="0" w:after="40"/>
        <w:ind w:left="420"/>
      </w:pPr>
      <w:r>
        <w:rPr>
          <w:rFonts w:ascii="Cambria" w:hAnsi="Cambria" w:eastAsia="宋体"/>
          <w:b w:val="0"/>
          <w:i w:val="0"/>
          <w:color w:val="222222"/>
          <w:sz w:val="23"/>
        </w:rPr>
        <w:t>· 主动归零：设置周期性重置（个人年度、组织按需）；归零前先过「归零安全检查清单」（正典工具 A.10）。</w:t>
      </w:r>
    </w:p>
    <w:p>
      <w:pPr>
        <w:spacing w:line="312" w:lineRule="auto" w:before="0" w:after="120"/>
        <w:ind w:left="624"/>
      </w:pPr>
      <w:r>
        <w:rPr>
          <w:rFonts w:ascii="Cambria" w:hAnsi="Cambria" w:eastAsia="宋体"/>
          <w:b w:val="0"/>
          <w:i w:val="0"/>
          <w:color w:val="4A5A70"/>
          <w:sz w:val="21"/>
        </w:rPr>
        <w:t>Active zeroing: set a periodic reset (annually for individuals, on demand for organizations); before zeroing, pass the Zeroing Safety Checklist (Canon Tool A.10).</w:t>
      </w:r>
    </w:p>
    <w:p>
      <w:pPr>
        <w:spacing w:line="336" w:lineRule="auto" w:before="0" w:after="40"/>
        <w:ind w:left="420"/>
      </w:pPr>
      <w:r>
        <w:rPr>
          <w:rFonts w:ascii="Cambria" w:hAnsi="Cambria" w:eastAsia="宋体"/>
          <w:b w:val="0"/>
          <w:i w:val="0"/>
          <w:color w:val="222222"/>
          <w:sz w:val="23"/>
        </w:rPr>
        <w:t>· 失败矩阵自查：本层所依赖的假设若被证伪，应触发哪一级修正？</w:t>
      </w:r>
    </w:p>
    <w:p>
      <w:pPr>
        <w:spacing w:line="312" w:lineRule="auto" w:before="0" w:after="120"/>
        <w:ind w:left="624"/>
      </w:pPr>
      <w:r>
        <w:rPr>
          <w:rFonts w:ascii="Cambria" w:hAnsi="Cambria" w:eastAsia="宋体"/>
          <w:b w:val="0"/>
          <w:i w:val="0"/>
          <w:color w:val="4A5A70"/>
          <w:sz w:val="21"/>
        </w:rPr>
        <w:t>Failure-matrix self-check: if an assumption this layer depends on is falsified, which level of correction should it trigger?</w:t>
      </w:r>
    </w:p>
    <w:p>
      <w:pPr>
        <w:spacing w:line="336" w:lineRule="auto" w:before="0" w:after="40"/>
        <w:ind w:left="420"/>
      </w:pPr>
      <w:r>
        <w:rPr>
          <w:rFonts w:ascii="Cambria" w:hAnsi="Cambria" w:eastAsia="宋体"/>
          <w:b w:val="0"/>
          <w:i w:val="0"/>
          <w:color w:val="222222"/>
          <w:sz w:val="23"/>
        </w:rPr>
        <w:t>· 递归闭合：把 L6 的产出（更新后的元意义理解）回写为 L1 的输入标准。</w:t>
      </w:r>
    </w:p>
    <w:p>
      <w:pPr>
        <w:spacing w:line="312" w:lineRule="auto" w:before="0" w:after="120"/>
        <w:ind w:left="624"/>
      </w:pPr>
      <w:r>
        <w:rPr>
          <w:rFonts w:ascii="Cambria" w:hAnsi="Cambria" w:eastAsia="宋体"/>
          <w:b w:val="0"/>
          <w:i w:val="0"/>
          <w:color w:val="4A5A70"/>
          <w:sz w:val="21"/>
        </w:rPr>
        <w:t>Recursive closure: write the output of L6 — the updated meta-meaning understanding — back as the input criteria of L1.</w:t>
      </w:r>
    </w:p>
    <w:p>
      <w:pPr>
        <w:spacing w:line="288" w:lineRule="auto" w:before="200" w:after="60"/>
      </w:pPr>
      <w:r>
        <w:rPr>
          <w:rFonts w:ascii="Arial" w:hAnsi="Arial" w:eastAsia="黑体"/>
          <w:b/>
          <w:i w:val="0"/>
          <w:color w:val="1B3A5C"/>
          <w:sz w:val="22"/>
        </w:rPr>
        <w:t>【证据等级】</w:t>
      </w:r>
      <w:r>
        <w:rPr>
          <w:rFonts w:ascii="Arial" w:hAnsi="Arial" w:eastAsia="黑体"/>
          <w:b w:val="0"/>
          <w:i w:val="0"/>
          <w:color w:val="7A8CA3"/>
          <w:sz w:val="18"/>
        </w:rPr>
        <w:t xml:space="preserve">　[Evidence Level]</w:t>
      </w:r>
    </w:p>
    <w:p>
      <w:pPr>
        <w:spacing w:line="360" w:lineRule="auto" w:before="0" w:after="80"/>
        <w:ind w:firstLine="420"/>
      </w:pPr>
      <w:r>
        <w:rPr>
          <w:rFonts w:ascii="Cambria" w:hAnsi="Cambria" w:eastAsia="宋体"/>
          <w:b w:val="0"/>
          <w:i w:val="0"/>
          <w:color w:val="222222"/>
          <w:sz w:val="24"/>
        </w:rPr>
        <w:t>E2（案例支持：主动归零防僵化、元认知训练提升判断质量；随机对照实验进行中）。</w:t>
      </w:r>
    </w:p>
    <w:p>
      <w:pPr>
        <w:spacing w:line="324" w:lineRule="auto" w:before="0" w:after="160"/>
        <w:ind w:firstLine="420"/>
      </w:pPr>
      <w:r>
        <w:rPr>
          <w:rFonts w:ascii="Cambria" w:hAnsi="Cambria" w:eastAsia="宋体"/>
          <w:b w:val="0"/>
          <w:i w:val="0"/>
          <w:color w:val="4A5A70"/>
          <w:sz w:val="22"/>
        </w:rPr>
        <w:t>E2 (case-supported: zeroing prevents ossification, metacognitive training improves judgment quality; randomized controlled trials in progress).</w:t>
      </w:r>
    </w:p>
    <w:p>
      <w:pPr>
        <w:spacing w:line="288" w:lineRule="auto" w:before="200" w:after="60"/>
      </w:pPr>
      <w:r>
        <w:rPr>
          <w:rFonts w:ascii="Arial" w:hAnsi="Arial" w:eastAsia="黑体"/>
          <w:b/>
          <w:i w:val="0"/>
          <w:color w:val="1B3A5C"/>
          <w:sz w:val="22"/>
        </w:rPr>
        <w:t>【常见误区】</w:t>
      </w:r>
      <w:r>
        <w:rPr>
          <w:rFonts w:ascii="Arial" w:hAnsi="Arial" w:eastAsia="黑体"/>
          <w:b w:val="0"/>
          <w:i w:val="0"/>
          <w:color w:val="7A8CA3"/>
          <w:sz w:val="18"/>
        </w:rPr>
        <w:t xml:space="preserve">　[Common Misconception]</w:t>
      </w:r>
    </w:p>
    <w:p>
      <w:pPr>
        <w:spacing w:line="336" w:lineRule="auto" w:before="0" w:after="40"/>
        <w:ind w:left="420"/>
      </w:pPr>
      <w:r>
        <w:rPr>
          <w:rFonts w:ascii="Cambria" w:hAnsi="Cambria" w:eastAsia="宋体"/>
          <w:b w:val="0"/>
          <w:i w:val="0"/>
          <w:color w:val="222222"/>
          <w:sz w:val="23"/>
        </w:rPr>
        <w:t>· 过度元认知导致决策瘫痪——这是正典明确列出的边界之一。</w:t>
      </w:r>
    </w:p>
    <w:p>
      <w:pPr>
        <w:spacing w:line="312" w:lineRule="auto" w:before="0" w:after="120"/>
        <w:ind w:left="624"/>
      </w:pPr>
      <w:r>
        <w:rPr>
          <w:rFonts w:ascii="Cambria" w:hAnsi="Cambria" w:eastAsia="宋体"/>
          <w:b w:val="0"/>
          <w:i w:val="0"/>
          <w:color w:val="4A5A70"/>
          <w:sz w:val="21"/>
        </w:rPr>
        <w:t>Excessive metacognition causing decision paralysis — one of the boundaries explicitly listed in the canon.</w:t>
      </w:r>
    </w:p>
    <w:p>
      <w:pPr>
        <w:spacing w:line="336" w:lineRule="auto" w:before="0" w:after="40"/>
        <w:ind w:left="420"/>
      </w:pPr>
      <w:r>
        <w:rPr>
          <w:rFonts w:ascii="Cambria" w:hAnsi="Cambria" w:eastAsia="宋体"/>
          <w:b w:val="0"/>
          <w:i w:val="0"/>
          <w:color w:val="222222"/>
          <w:sz w:val="23"/>
        </w:rPr>
        <w:t>· 把归零当成「推倒重来」。归零是有控制的重置，不是放弃；正典以 H12／H14 区分「主动归零」与「无归零僵化」。</w:t>
      </w:r>
    </w:p>
    <w:p>
      <w:pPr>
        <w:spacing w:line="312" w:lineRule="auto" w:before="0" w:after="120"/>
        <w:ind w:left="624"/>
      </w:pPr>
      <w:r>
        <w:rPr>
          <w:rFonts w:ascii="Cambria" w:hAnsi="Cambria" w:eastAsia="宋体"/>
          <w:b w:val="0"/>
          <w:i w:val="0"/>
          <w:color w:val="4A5A70"/>
          <w:sz w:val="21"/>
        </w:rPr>
        <w:t>Treating zeroing as starting over from scratch. Zeroing is a controlled reset, not abandonment; the canon distinguishes active zeroing from zeroing-free ossification via H12 / H14.</w:t>
      </w:r>
    </w:p>
    <w:p>
      <w:pPr>
        <w:spacing w:line="288" w:lineRule="auto" w:before="200" w:after="60"/>
      </w:pPr>
      <w:r>
        <w:rPr>
          <w:rFonts w:ascii="Arial" w:hAnsi="Arial" w:eastAsia="黑体"/>
          <w:b/>
          <w:i w:val="0"/>
          <w:color w:val="1B3A5C"/>
          <w:sz w:val="22"/>
        </w:rPr>
        <w:t>【与相邻层的关系】</w:t>
      </w:r>
      <w:r>
        <w:rPr>
          <w:rFonts w:ascii="Arial" w:hAnsi="Arial" w:eastAsia="黑体"/>
          <w:b w:val="0"/>
          <w:i w:val="0"/>
          <w:color w:val="7A8CA3"/>
          <w:sz w:val="18"/>
        </w:rPr>
        <w:t xml:space="preserve">　[Relation to Adjacent Layers]</w:t>
      </w:r>
    </w:p>
    <w:p>
      <w:pPr>
        <w:spacing w:line="360" w:lineRule="auto" w:before="0" w:after="80"/>
        <w:ind w:firstLine="420"/>
      </w:pPr>
      <w:r>
        <w:rPr>
          <w:rFonts w:ascii="Cambria" w:hAnsi="Cambria" w:eastAsia="宋体"/>
          <w:b w:val="0"/>
          <w:i w:val="0"/>
          <w:color w:val="222222"/>
          <w:sz w:val="24"/>
        </w:rPr>
        <w:t>L6 是唯一会改写前五层前提的一层。</w:t>
      </w:r>
    </w:p>
    <w:p>
      <w:pPr>
        <w:spacing w:line="324" w:lineRule="auto" w:before="0" w:after="160"/>
        <w:ind w:firstLine="420"/>
      </w:pPr>
      <w:r>
        <w:rPr>
          <w:rFonts w:ascii="Cambria" w:hAnsi="Cambria" w:eastAsia="宋体"/>
          <w:b w:val="0"/>
          <w:i w:val="0"/>
          <w:color w:val="4A5A70"/>
          <w:sz w:val="22"/>
        </w:rPr>
        <w:t>L6 is the only layer that rewrites the premises of the five layers below it.</w:t>
      </w:r>
    </w:p>
    <w:p>
      <w:pPr>
        <w:spacing w:line="300" w:lineRule="auto" w:before="320" w:after="140"/>
      </w:pPr>
      <w:r>
        <w:rPr>
          <w:rFonts w:ascii="Arial" w:hAnsi="Arial" w:eastAsia="黑体"/>
          <w:b/>
          <w:i w:val="0"/>
          <w:color w:val="1B3A5C"/>
          <w:sz w:val="34"/>
        </w:rPr>
        <w:t>六层如何协同：三条闭环</w:t>
      </w:r>
      <w:r>
        <w:rPr>
          <w:rFonts w:ascii="Arial" w:hAnsi="Arial" w:eastAsia="黑体"/>
          <w:b w:val="0"/>
          <w:i w:val="0"/>
          <w:color w:val="1B3A5C"/>
          <w:sz w:val="24"/>
        </w:rPr>
        <w:t xml:space="preserve">　How the Six Layers Work Together: Three Loops</w:t>
      </w:r>
    </w:p>
    <w:p>
      <w:pPr>
        <w:spacing w:line="360" w:lineRule="auto" w:before="0" w:after="80"/>
        <w:ind w:firstLine="420"/>
      </w:pPr>
      <w:r>
        <w:rPr>
          <w:rFonts w:ascii="Cambria" w:hAnsi="Cambria" w:eastAsia="宋体"/>
          <w:b w:val="0"/>
          <w:i w:val="0"/>
          <w:color w:val="222222"/>
          <w:sz w:val="24"/>
        </w:rPr>
        <w:t>六层不是六道串行工序，而是三条闭环叠加。闭环的意义在于：任何一环失败，都应回到闭环内的上游，而不是把问题推给下一层。</w:t>
      </w:r>
    </w:p>
    <w:p>
      <w:pPr>
        <w:spacing w:line="324" w:lineRule="auto" w:before="0" w:after="160"/>
        <w:ind w:firstLine="420"/>
      </w:pPr>
      <w:r>
        <w:rPr>
          <w:rFonts w:ascii="Cambria" w:hAnsi="Cambria" w:eastAsia="宋体"/>
          <w:b w:val="0"/>
          <w:i w:val="0"/>
          <w:color w:val="4A5A70"/>
          <w:sz w:val="22"/>
        </w:rPr>
        <w:t>The six layers are not six serial steps but the superposition of three loops. The point of a loop is that if any link fails, work returns to an upstream point inside the same loop rather than pushing the problem downstream.</w:t>
      </w:r>
    </w:p>
    <w:p>
      <w:pPr>
        <w:spacing w:line="288" w:lineRule="auto" w:before="240" w:after="80"/>
      </w:pPr>
      <w:r>
        <w:rPr>
          <w:rFonts w:ascii="Arial" w:hAnsi="Arial" w:eastAsia="黑体"/>
          <w:b/>
          <w:i w:val="0"/>
          <w:color w:val="1B3A5C"/>
          <w:sz w:val="22"/>
        </w:rPr>
        <w:t>表 3　三条闭环</w:t>
      </w:r>
      <w:r>
        <w:rPr>
          <w:rFonts w:ascii="Arial" w:hAnsi="Arial" w:eastAsia="黑体"/>
          <w:b w:val="0"/>
          <w:i w:val="0"/>
          <w:color w:val="7A8CA3"/>
          <w:sz w:val="17"/>
        </w:rPr>
        <w:t xml:space="preserve">  |  Table 3  The Three Loops</w:t>
      </w:r>
    </w:p>
    <w:tbl>
      <w:tblPr>
        <w:tblStyle w:val="TableGrid"/>
        <w:tblW w:type="auto" w:w="0"/>
        <w:jc w:val="center"/>
        <w:tblLayout w:type="fixed"/>
        <w:tblLook w:firstColumn="1" w:firstRow="1" w:lastColumn="0" w:lastRow="0" w:noHBand="0" w:noVBand="1" w:val="04A0"/>
        <w:tblLayout w:type="fixed"/>
      </w:tblPr>
      <w:tblGrid>
        <w:gridCol w:w="1247"/>
        <w:gridCol w:w="2041"/>
        <w:gridCol w:w="3061"/>
        <w:gridCol w:w="1928"/>
      </w:tblGrid>
      <w:tr>
        <w:tc>
          <w:tcPr>
            <w:tcW w:type="dxa" w:w="1247"/>
            <w:shd w:val="clear" w:fill="1B3A5C"/>
          </w:tcPr>
          <w:p>
            <w:pPr>
              <w:spacing w:line="276" w:lineRule="auto" w:after="20" w:before="20"/>
            </w:pPr>
            <w:r>
              <w:rPr>
                <w:rFonts w:ascii="Arial" w:hAnsi="Arial" w:eastAsia="黑体"/>
                <w:b/>
                <w:i w:val="0"/>
                <w:color w:val="FFFFFF"/>
                <w:sz w:val="19"/>
              </w:rPr>
              <w:t>闭环</w:t>
            </w:r>
          </w:p>
        </w:tc>
        <w:tc>
          <w:tcPr>
            <w:tcW w:type="dxa" w:w="2041"/>
            <w:shd w:val="clear" w:fill="1B3A5C"/>
          </w:tcPr>
          <w:p>
            <w:pPr>
              <w:spacing w:line="276" w:lineRule="auto" w:after="20" w:before="20"/>
            </w:pPr>
            <w:r>
              <w:rPr>
                <w:rFonts w:ascii="Arial" w:hAnsi="Arial" w:eastAsia="黑体"/>
                <w:b/>
                <w:i w:val="0"/>
                <w:color w:val="FFFFFF"/>
                <w:sz w:val="19"/>
              </w:rPr>
              <w:t>路径</w:t>
            </w:r>
          </w:p>
        </w:tc>
        <w:tc>
          <w:tcPr>
            <w:tcW w:type="dxa" w:w="3061"/>
            <w:shd w:val="clear" w:fill="1B3A5C"/>
          </w:tcPr>
          <w:p>
            <w:pPr>
              <w:spacing w:line="276" w:lineRule="auto" w:after="20" w:before="20"/>
            </w:pPr>
            <w:r>
              <w:rPr>
                <w:rFonts w:ascii="Arial" w:hAnsi="Arial" w:eastAsia="黑体"/>
                <w:b/>
                <w:i w:val="0"/>
                <w:color w:val="FFFFFF"/>
                <w:sz w:val="19"/>
              </w:rPr>
              <w:t>触发条件</w:t>
            </w:r>
          </w:p>
        </w:tc>
        <w:tc>
          <w:tcPr>
            <w:tcW w:type="dxa" w:w="1928"/>
            <w:shd w:val="clear" w:fill="1B3A5C"/>
          </w:tcPr>
          <w:p>
            <w:pPr>
              <w:spacing w:line="276" w:lineRule="auto" w:after="20" w:before="20"/>
            </w:pPr>
            <w:r>
              <w:rPr>
                <w:rFonts w:ascii="Arial" w:hAnsi="Arial" w:eastAsia="黑体"/>
                <w:b/>
                <w:i w:val="0"/>
                <w:color w:val="FFFFFF"/>
                <w:sz w:val="19"/>
              </w:rPr>
              <w:t>回到哪一层</w:t>
            </w:r>
          </w:p>
        </w:tc>
      </w:tr>
      <w:tr>
        <w:tc>
          <w:tcPr>
            <w:tcW w:type="dxa" w:w="1247"/>
          </w:tcPr>
          <w:p>
            <w:pPr>
              <w:spacing w:line="288" w:lineRule="auto" w:after="20" w:before="20"/>
            </w:pPr>
            <w:r>
              <w:rPr>
                <w:rFonts w:ascii="Cambria" w:hAnsi="Cambria" w:eastAsia="宋体"/>
                <w:b w:val="0"/>
                <w:i w:val="0"/>
                <w:color w:val="222222"/>
                <w:sz w:val="18"/>
              </w:rPr>
              <w:t>认知闭环</w:t>
            </w:r>
          </w:p>
        </w:tc>
        <w:tc>
          <w:tcPr>
            <w:tcW w:type="dxa" w:w="2041"/>
          </w:tcPr>
          <w:p>
            <w:pPr>
              <w:spacing w:line="288" w:lineRule="auto" w:after="20" w:before="20"/>
            </w:pPr>
            <w:r>
              <w:rPr>
                <w:rFonts w:ascii="Cambria" w:hAnsi="Cambria" w:eastAsia="宋体"/>
                <w:b w:val="0"/>
                <w:i w:val="0"/>
                <w:color w:val="222222"/>
                <w:sz w:val="18"/>
              </w:rPr>
              <w:t>L1 → L2 → L1</w:t>
            </w:r>
          </w:p>
        </w:tc>
        <w:tc>
          <w:tcPr>
            <w:tcW w:type="dxa" w:w="3061"/>
          </w:tcPr>
          <w:p>
            <w:pPr>
              <w:spacing w:line="288" w:lineRule="auto" w:after="20" w:before="20"/>
            </w:pPr>
            <w:r>
              <w:rPr>
                <w:rFonts w:ascii="Cambria" w:hAnsi="Cambria" w:eastAsia="宋体"/>
                <w:b w:val="0"/>
                <w:i w:val="0"/>
                <w:color w:val="222222"/>
                <w:sz w:val="18"/>
              </w:rPr>
              <w:t>减负后的材料无法被交互化呈现</w:t>
            </w:r>
          </w:p>
        </w:tc>
        <w:tc>
          <w:tcPr>
            <w:tcW w:type="dxa" w:w="1928"/>
          </w:tcPr>
          <w:p>
            <w:pPr>
              <w:spacing w:line="288" w:lineRule="auto" w:after="20" w:before="20"/>
            </w:pPr>
            <w:r>
              <w:rPr>
                <w:rFonts w:ascii="Cambria" w:hAnsi="Cambria" w:eastAsia="宋体"/>
                <w:b w:val="0"/>
                <w:i w:val="0"/>
                <w:color w:val="222222"/>
                <w:sz w:val="18"/>
              </w:rPr>
              <w:t>L1（判断是否降维过度）</w:t>
            </w:r>
          </w:p>
        </w:tc>
      </w:tr>
      <w:tr>
        <w:tc>
          <w:tcPr>
            <w:tcW w:type="dxa" w:w="1247"/>
            <w:shd w:val="clear" w:fill="EEF2F7"/>
          </w:tcPr>
          <w:p>
            <w:pPr>
              <w:spacing w:line="288" w:lineRule="auto" w:after="20" w:before="20"/>
            </w:pPr>
            <w:r>
              <w:rPr>
                <w:rFonts w:ascii="Cambria" w:hAnsi="Cambria" w:eastAsia="宋体"/>
                <w:b w:val="0"/>
                <w:i w:val="0"/>
                <w:color w:val="222222"/>
                <w:sz w:val="18"/>
              </w:rPr>
              <w:t>意义闭环</w:t>
            </w:r>
          </w:p>
        </w:tc>
        <w:tc>
          <w:tcPr>
            <w:tcW w:type="dxa" w:w="2041"/>
            <w:shd w:val="clear" w:fill="EEF2F7"/>
          </w:tcPr>
          <w:p>
            <w:pPr>
              <w:spacing w:line="288" w:lineRule="auto" w:after="20" w:before="20"/>
            </w:pPr>
            <w:r>
              <w:rPr>
                <w:rFonts w:ascii="Cambria" w:hAnsi="Cambria" w:eastAsia="宋体"/>
                <w:b w:val="0"/>
                <w:i w:val="0"/>
                <w:color w:val="222222"/>
                <w:sz w:val="18"/>
              </w:rPr>
              <w:t>L3 → L4 → L5 → L3</w:t>
            </w:r>
          </w:p>
        </w:tc>
        <w:tc>
          <w:tcPr>
            <w:tcW w:type="dxa" w:w="3061"/>
            <w:shd w:val="clear" w:fill="EEF2F7"/>
          </w:tcPr>
          <w:p>
            <w:pPr>
              <w:spacing w:line="288" w:lineRule="auto" w:after="20" w:before="20"/>
            </w:pPr>
            <w:r>
              <w:rPr>
                <w:rFonts w:ascii="Cambria" w:hAnsi="Cambria" w:eastAsia="宋体"/>
                <w:b w:val="0"/>
                <w:i w:val="0"/>
                <w:color w:val="222222"/>
                <w:sz w:val="18"/>
              </w:rPr>
              <w:t>生成的意义结构无法通过证据评估</w:t>
            </w:r>
          </w:p>
        </w:tc>
        <w:tc>
          <w:tcPr>
            <w:tcW w:type="dxa" w:w="1928"/>
            <w:shd w:val="clear" w:fill="EEF2F7"/>
          </w:tcPr>
          <w:p>
            <w:pPr>
              <w:spacing w:line="288" w:lineRule="auto" w:after="20" w:before="20"/>
            </w:pPr>
            <w:r>
              <w:rPr>
                <w:rFonts w:ascii="Cambria" w:hAnsi="Cambria" w:eastAsia="宋体"/>
                <w:b w:val="0"/>
                <w:i w:val="0"/>
                <w:color w:val="222222"/>
                <w:sz w:val="18"/>
              </w:rPr>
              <w:t>L3（重组，而非硬推）</w:t>
            </w:r>
          </w:p>
        </w:tc>
      </w:tr>
      <w:tr>
        <w:tc>
          <w:tcPr>
            <w:tcW w:type="dxa" w:w="1247"/>
          </w:tcPr>
          <w:p>
            <w:pPr>
              <w:spacing w:line="288" w:lineRule="auto" w:after="20" w:before="20"/>
            </w:pPr>
            <w:r>
              <w:rPr>
                <w:rFonts w:ascii="Cambria" w:hAnsi="Cambria" w:eastAsia="宋体"/>
                <w:b w:val="0"/>
                <w:i w:val="0"/>
                <w:color w:val="222222"/>
                <w:sz w:val="18"/>
              </w:rPr>
              <w:t>元闭环</w:t>
            </w:r>
          </w:p>
        </w:tc>
        <w:tc>
          <w:tcPr>
            <w:tcW w:type="dxa" w:w="2041"/>
          </w:tcPr>
          <w:p>
            <w:pPr>
              <w:spacing w:line="288" w:lineRule="auto" w:after="20" w:before="20"/>
            </w:pPr>
            <w:r>
              <w:rPr>
                <w:rFonts w:ascii="Cambria" w:hAnsi="Cambria" w:eastAsia="宋体"/>
                <w:b w:val="0"/>
                <w:i w:val="0"/>
                <w:color w:val="222222"/>
                <w:sz w:val="18"/>
              </w:rPr>
              <w:t>L6 → L1</w:t>
            </w:r>
          </w:p>
        </w:tc>
        <w:tc>
          <w:tcPr>
            <w:tcW w:type="dxa" w:w="3061"/>
          </w:tcPr>
          <w:p>
            <w:pPr>
              <w:spacing w:line="288" w:lineRule="auto" w:after="20" w:before="20"/>
            </w:pPr>
            <w:r>
              <w:rPr>
                <w:rFonts w:ascii="Cambria" w:hAnsi="Cambria" w:eastAsia="宋体"/>
                <w:b w:val="0"/>
                <w:i w:val="0"/>
                <w:color w:val="222222"/>
                <w:sz w:val="18"/>
              </w:rPr>
              <w:t>完成一轮螺旋，元意义理解已更新</w:t>
            </w:r>
          </w:p>
        </w:tc>
        <w:tc>
          <w:tcPr>
            <w:tcW w:type="dxa" w:w="1928"/>
          </w:tcPr>
          <w:p>
            <w:pPr>
              <w:spacing w:line="288" w:lineRule="auto" w:after="20" w:before="20"/>
            </w:pPr>
            <w:r>
              <w:rPr>
                <w:rFonts w:ascii="Cambria" w:hAnsi="Cambria" w:eastAsia="宋体"/>
                <w:b w:val="0"/>
                <w:i w:val="0"/>
                <w:color w:val="222222"/>
                <w:sz w:val="18"/>
              </w:rPr>
              <w:t>L1（重置输入标准）</w:t>
            </w:r>
          </w:p>
        </w:tc>
      </w:tr>
    </w:tbl>
    <w:p>
      <w:pPr>
        <w:spacing w:line="240" w:lineRule="auto" w:before="0" w:after="160"/>
      </w:pPr>
    </w:p>
    <w:p>
      <w:pPr>
        <w:spacing w:line="300" w:lineRule="auto" w:before="320" w:after="140"/>
      </w:pPr>
      <w:r>
        <w:rPr>
          <w:rFonts w:ascii="Arial" w:hAnsi="Arial" w:eastAsia="黑体"/>
          <w:b/>
          <w:i w:val="0"/>
          <w:color w:val="1B3A5C"/>
          <w:sz w:val="34"/>
        </w:rPr>
        <w:t>五尺度部署</w:t>
      </w:r>
      <w:r>
        <w:rPr>
          <w:rFonts w:ascii="Arial" w:hAnsi="Arial" w:eastAsia="黑体"/>
          <w:b w:val="0"/>
          <w:i w:val="0"/>
          <w:color w:val="1B3A5C"/>
          <w:sz w:val="24"/>
        </w:rPr>
        <w:t xml:space="preserve">　Deployment Across the Five Scales</w:t>
      </w:r>
    </w:p>
    <w:p>
      <w:pPr>
        <w:spacing w:line="360" w:lineRule="auto" w:before="0" w:after="80"/>
        <w:ind w:firstLine="420"/>
      </w:pPr>
      <w:r>
        <w:rPr>
          <w:rFonts w:ascii="Cambria" w:hAnsi="Cambria" w:eastAsia="宋体"/>
          <w:b w:val="0"/>
          <w:i w:val="0"/>
          <w:color w:val="222222"/>
          <w:sz w:val="24"/>
        </w:rPr>
        <w:t>正典第4章指出，每个尺度有不可还原的意义逻辑：个人的意义不是组织的意义的缩小版，反之亦然。因此六层在五个尺度上的主要形态并不相同。下表给出典型形态与正典工具对应。</w:t>
      </w:r>
    </w:p>
    <w:p>
      <w:pPr>
        <w:spacing w:line="324" w:lineRule="auto" w:before="0" w:after="160"/>
        <w:ind w:firstLine="420"/>
      </w:pPr>
      <w:r>
        <w:rPr>
          <w:rFonts w:ascii="Cambria" w:hAnsi="Cambria" w:eastAsia="宋体"/>
          <w:b w:val="0"/>
          <w:i w:val="0"/>
          <w:color w:val="4A5A70"/>
          <w:sz w:val="22"/>
        </w:rPr>
        <w:t>Canon Chapter 4 holds that each scale has an irreducible logic of meaning: individual meaning is not a scaled-down version of organizational meaning, and vice versa. The six layers therefore take different primary forms across the five scales. The table below gives typical forms and the corresponding canon tools.</w:t>
      </w:r>
    </w:p>
    <w:p>
      <w:pPr>
        <w:spacing w:line="288" w:lineRule="auto" w:before="240" w:after="80"/>
      </w:pPr>
      <w:r>
        <w:rPr>
          <w:rFonts w:ascii="Arial" w:hAnsi="Arial" w:eastAsia="黑体"/>
          <w:b/>
          <w:i w:val="0"/>
          <w:color w:val="1B3A5C"/>
          <w:sz w:val="22"/>
        </w:rPr>
        <w:t>表 4　五尺度 × 六层的典型形态</w:t>
      </w:r>
      <w:r>
        <w:rPr>
          <w:rFonts w:ascii="Arial" w:hAnsi="Arial" w:eastAsia="黑体"/>
          <w:b w:val="0"/>
          <w:i w:val="0"/>
          <w:color w:val="7A8CA3"/>
          <w:sz w:val="17"/>
        </w:rPr>
        <w:t xml:space="preserve">  |  Table 4  Typical Forms of the Six Layers Across Five Scales</w:t>
      </w:r>
    </w:p>
    <w:tbl>
      <w:tblPr>
        <w:tblStyle w:val="TableGrid"/>
        <w:tblW w:type="auto" w:w="0"/>
        <w:jc w:val="center"/>
        <w:tblLayout w:type="fixed"/>
        <w:tblLook w:firstColumn="1" w:firstRow="1" w:lastColumn="0" w:lastRow="0" w:noHBand="0" w:noVBand="1" w:val="04A0"/>
        <w:tblLayout w:type="fixed"/>
      </w:tblPr>
      <w:tblGrid>
        <w:gridCol w:w="850"/>
        <w:gridCol w:w="2268"/>
        <w:gridCol w:w="1928"/>
        <w:gridCol w:w="1928"/>
        <w:gridCol w:w="1757"/>
      </w:tblGrid>
      <w:tr>
        <w:tc>
          <w:tcPr>
            <w:tcW w:type="dxa" w:w="850"/>
            <w:shd w:val="clear" w:fill="1B3A5C"/>
          </w:tcPr>
          <w:p>
            <w:pPr>
              <w:spacing w:line="276" w:lineRule="auto" w:after="20" w:before="20"/>
            </w:pPr>
            <w:r>
              <w:rPr>
                <w:rFonts w:ascii="Arial" w:hAnsi="Arial" w:eastAsia="黑体"/>
                <w:b/>
                <w:i w:val="0"/>
                <w:color w:val="FFFFFF"/>
                <w:sz w:val="19"/>
              </w:rPr>
              <w:t>尺度</w:t>
            </w:r>
          </w:p>
        </w:tc>
        <w:tc>
          <w:tcPr>
            <w:tcW w:type="dxa" w:w="2268"/>
            <w:shd w:val="clear" w:fill="1B3A5C"/>
          </w:tcPr>
          <w:p>
            <w:pPr>
              <w:spacing w:line="276" w:lineRule="auto" w:after="20" w:before="20"/>
            </w:pPr>
            <w:r>
              <w:rPr>
                <w:rFonts w:ascii="Arial" w:hAnsi="Arial" w:eastAsia="黑体"/>
                <w:b/>
                <w:i w:val="0"/>
                <w:color w:val="FFFFFF"/>
                <w:sz w:val="19"/>
              </w:rPr>
              <w:t>L1–L2 主要形态</w:t>
            </w:r>
          </w:p>
        </w:tc>
        <w:tc>
          <w:tcPr>
            <w:tcW w:type="dxa" w:w="1928"/>
            <w:shd w:val="clear" w:fill="1B3A5C"/>
          </w:tcPr>
          <w:p>
            <w:pPr>
              <w:spacing w:line="276" w:lineRule="auto" w:after="20" w:before="20"/>
            </w:pPr>
            <w:r>
              <w:rPr>
                <w:rFonts w:ascii="Arial" w:hAnsi="Arial" w:eastAsia="黑体"/>
                <w:b/>
                <w:i w:val="0"/>
                <w:color w:val="FFFFFF"/>
                <w:sz w:val="19"/>
              </w:rPr>
              <w:t>L3–L4 主要形态</w:t>
            </w:r>
          </w:p>
        </w:tc>
        <w:tc>
          <w:tcPr>
            <w:tcW w:type="dxa" w:w="1928"/>
            <w:shd w:val="clear" w:fill="1B3A5C"/>
          </w:tcPr>
          <w:p>
            <w:pPr>
              <w:spacing w:line="276" w:lineRule="auto" w:after="20" w:before="20"/>
            </w:pPr>
            <w:r>
              <w:rPr>
                <w:rFonts w:ascii="Arial" w:hAnsi="Arial" w:eastAsia="黑体"/>
                <w:b/>
                <w:i w:val="0"/>
                <w:color w:val="FFFFFF"/>
                <w:sz w:val="19"/>
              </w:rPr>
              <w:t>L5–L6 主要形态</w:t>
            </w:r>
          </w:p>
        </w:tc>
        <w:tc>
          <w:tcPr>
            <w:tcW w:type="dxa" w:w="1757"/>
            <w:shd w:val="clear" w:fill="1B3A5C"/>
          </w:tcPr>
          <w:p>
            <w:pPr>
              <w:spacing w:line="276" w:lineRule="auto" w:after="20" w:before="20"/>
            </w:pPr>
            <w:r>
              <w:rPr>
                <w:rFonts w:ascii="Arial" w:hAnsi="Arial" w:eastAsia="黑体"/>
                <w:b/>
                <w:i w:val="0"/>
                <w:color w:val="FFFFFF"/>
                <w:sz w:val="19"/>
              </w:rPr>
              <w:t>对应工具（正典附录A）</w:t>
            </w:r>
          </w:p>
        </w:tc>
      </w:tr>
      <w:tr>
        <w:tc>
          <w:tcPr>
            <w:tcW w:type="dxa" w:w="850"/>
          </w:tcPr>
          <w:p>
            <w:pPr>
              <w:spacing w:line="288" w:lineRule="auto" w:after="20" w:before="20"/>
            </w:pPr>
            <w:r>
              <w:rPr>
                <w:rFonts w:ascii="Cambria" w:hAnsi="Cambria" w:eastAsia="宋体"/>
                <w:b w:val="0"/>
                <w:i w:val="0"/>
                <w:color w:val="222222"/>
                <w:sz w:val="18"/>
              </w:rPr>
              <w:t>个人</w:t>
            </w:r>
          </w:p>
        </w:tc>
        <w:tc>
          <w:tcPr>
            <w:tcW w:type="dxa" w:w="2268"/>
          </w:tcPr>
          <w:p>
            <w:pPr>
              <w:spacing w:line="288" w:lineRule="auto" w:after="20" w:before="20"/>
            </w:pPr>
            <w:r>
              <w:rPr>
                <w:rFonts w:ascii="Cambria" w:hAnsi="Cambria" w:eastAsia="宋体"/>
                <w:b w:val="0"/>
                <w:i w:val="0"/>
                <w:color w:val="222222"/>
                <w:sz w:val="18"/>
              </w:rPr>
              <w:t>个人阅读降维、可丢弃微应用</w:t>
            </w:r>
          </w:p>
        </w:tc>
        <w:tc>
          <w:tcPr>
            <w:tcW w:type="dxa" w:w="1928"/>
          </w:tcPr>
          <w:p>
            <w:pPr>
              <w:spacing w:line="288" w:lineRule="auto" w:after="20" w:before="20"/>
            </w:pPr>
            <w:r>
              <w:rPr>
                <w:rFonts w:ascii="Cambria" w:hAnsi="Cambria" w:eastAsia="宋体"/>
                <w:b w:val="0"/>
                <w:i w:val="0"/>
                <w:color w:val="222222"/>
                <w:sz w:val="18"/>
              </w:rPr>
              <w:t>意义自检、证据标注</w:t>
            </w:r>
          </w:p>
        </w:tc>
        <w:tc>
          <w:tcPr>
            <w:tcW w:type="dxa" w:w="1928"/>
          </w:tcPr>
          <w:p>
            <w:pPr>
              <w:spacing w:line="288" w:lineRule="auto" w:after="20" w:before="20"/>
            </w:pPr>
            <w:r>
              <w:rPr>
                <w:rFonts w:ascii="Cambria" w:hAnsi="Cambria" w:eastAsia="宋体"/>
                <w:b w:val="0"/>
                <w:i w:val="0"/>
                <w:color w:val="222222"/>
                <w:sz w:val="18"/>
              </w:rPr>
              <w:t>年度归零、螺旋追踪</w:t>
            </w:r>
          </w:p>
        </w:tc>
        <w:tc>
          <w:tcPr>
            <w:tcW w:type="dxa" w:w="1757"/>
          </w:tcPr>
          <w:p>
            <w:pPr>
              <w:spacing w:line="288" w:lineRule="auto" w:after="20" w:before="20"/>
            </w:pPr>
            <w:r>
              <w:rPr>
                <w:rFonts w:ascii="Cambria" w:hAnsi="Cambria" w:eastAsia="宋体"/>
                <w:b w:val="0"/>
                <w:i w:val="0"/>
                <w:color w:val="222222"/>
                <w:sz w:val="18"/>
              </w:rPr>
              <w:t>A.1 / A.2 / A.3</w:t>
            </w:r>
          </w:p>
        </w:tc>
      </w:tr>
      <w:tr>
        <w:tc>
          <w:tcPr>
            <w:tcW w:type="dxa" w:w="850"/>
            <w:shd w:val="clear" w:fill="EEF2F7"/>
          </w:tcPr>
          <w:p>
            <w:pPr>
              <w:spacing w:line="288" w:lineRule="auto" w:after="20" w:before="20"/>
            </w:pPr>
            <w:r>
              <w:rPr>
                <w:rFonts w:ascii="Cambria" w:hAnsi="Cambria" w:eastAsia="宋体"/>
                <w:b w:val="0"/>
                <w:i w:val="0"/>
                <w:color w:val="222222"/>
                <w:sz w:val="18"/>
              </w:rPr>
              <w:t>组织</w:t>
            </w:r>
          </w:p>
        </w:tc>
        <w:tc>
          <w:tcPr>
            <w:tcW w:type="dxa" w:w="2268"/>
            <w:shd w:val="clear" w:fill="EEF2F7"/>
          </w:tcPr>
          <w:p>
            <w:pPr>
              <w:spacing w:line="288" w:lineRule="auto" w:after="20" w:before="20"/>
            </w:pPr>
            <w:r>
              <w:rPr>
                <w:rFonts w:ascii="Cambria" w:hAnsi="Cambria" w:eastAsia="宋体"/>
                <w:b w:val="0"/>
                <w:i w:val="0"/>
                <w:color w:val="222222"/>
                <w:sz w:val="18"/>
              </w:rPr>
              <w:t>汇报与文档受控化、仪表盘</w:t>
            </w:r>
          </w:p>
        </w:tc>
        <w:tc>
          <w:tcPr>
            <w:tcW w:type="dxa" w:w="1928"/>
            <w:shd w:val="clear" w:fill="EEF2F7"/>
          </w:tcPr>
          <w:p>
            <w:pPr>
              <w:spacing w:line="288" w:lineRule="auto" w:after="20" w:before="20"/>
            </w:pPr>
            <w:r>
              <w:rPr>
                <w:rFonts w:ascii="Cambria" w:hAnsi="Cambria" w:eastAsia="宋体"/>
                <w:b w:val="0"/>
                <w:i w:val="0"/>
                <w:color w:val="222222"/>
                <w:sz w:val="18"/>
              </w:rPr>
              <w:t>使命合法性评估</w:t>
            </w:r>
          </w:p>
        </w:tc>
        <w:tc>
          <w:tcPr>
            <w:tcW w:type="dxa" w:w="1928"/>
            <w:shd w:val="clear" w:fill="EEF2F7"/>
          </w:tcPr>
          <w:p>
            <w:pPr>
              <w:spacing w:line="288" w:lineRule="auto" w:after="20" w:before="20"/>
            </w:pPr>
            <w:r>
              <w:rPr>
                <w:rFonts w:ascii="Cambria" w:hAnsi="Cambria" w:eastAsia="宋体"/>
                <w:b w:val="0"/>
                <w:i w:val="0"/>
                <w:color w:val="222222"/>
                <w:sz w:val="18"/>
              </w:rPr>
              <w:t>使命压力测试、方向重置</w:t>
            </w:r>
          </w:p>
        </w:tc>
        <w:tc>
          <w:tcPr>
            <w:tcW w:type="dxa" w:w="1757"/>
            <w:shd w:val="clear" w:fill="EEF2F7"/>
          </w:tcPr>
          <w:p>
            <w:pPr>
              <w:spacing w:line="288" w:lineRule="auto" w:after="20" w:before="20"/>
            </w:pPr>
            <w:r>
              <w:rPr>
                <w:rFonts w:ascii="Cambria" w:hAnsi="Cambria" w:eastAsia="宋体"/>
                <w:b w:val="0"/>
                <w:i w:val="0"/>
                <w:color w:val="222222"/>
                <w:sz w:val="18"/>
              </w:rPr>
              <w:t>A.4 / A.5 / A.6</w:t>
            </w:r>
          </w:p>
        </w:tc>
      </w:tr>
      <w:tr>
        <w:tc>
          <w:tcPr>
            <w:tcW w:type="dxa" w:w="850"/>
          </w:tcPr>
          <w:p>
            <w:pPr>
              <w:spacing w:line="288" w:lineRule="auto" w:after="20" w:before="20"/>
            </w:pPr>
            <w:r>
              <w:rPr>
                <w:rFonts w:ascii="Cambria" w:hAnsi="Cambria" w:eastAsia="宋体"/>
                <w:b w:val="0"/>
                <w:i w:val="0"/>
                <w:color w:val="222222"/>
                <w:sz w:val="18"/>
              </w:rPr>
              <w:t>城市</w:t>
            </w:r>
          </w:p>
        </w:tc>
        <w:tc>
          <w:tcPr>
            <w:tcW w:type="dxa" w:w="2268"/>
          </w:tcPr>
          <w:p>
            <w:pPr>
              <w:spacing w:line="288" w:lineRule="auto" w:after="20" w:before="20"/>
            </w:pPr>
            <w:r>
              <w:rPr>
                <w:rFonts w:ascii="Cambria" w:hAnsi="Cambria" w:eastAsia="宋体"/>
                <w:b w:val="0"/>
                <w:i w:val="0"/>
                <w:color w:val="222222"/>
                <w:sz w:val="18"/>
              </w:rPr>
              <w:t>公共信息可读化、参与式界面</w:t>
            </w:r>
          </w:p>
        </w:tc>
        <w:tc>
          <w:tcPr>
            <w:tcW w:type="dxa" w:w="1928"/>
          </w:tcPr>
          <w:p>
            <w:pPr>
              <w:spacing w:line="288" w:lineRule="auto" w:after="20" w:before="20"/>
            </w:pPr>
            <w:r>
              <w:rPr>
                <w:rFonts w:ascii="Cambria" w:hAnsi="Cambria" w:eastAsia="宋体"/>
                <w:b w:val="0"/>
                <w:i w:val="0"/>
                <w:color w:val="222222"/>
                <w:sz w:val="18"/>
              </w:rPr>
              <w:t>地方感与集体记忆评估</w:t>
            </w:r>
          </w:p>
        </w:tc>
        <w:tc>
          <w:tcPr>
            <w:tcW w:type="dxa" w:w="1928"/>
          </w:tcPr>
          <w:p>
            <w:pPr>
              <w:spacing w:line="288" w:lineRule="auto" w:after="20" w:before="20"/>
            </w:pPr>
            <w:r>
              <w:rPr>
                <w:rFonts w:ascii="Cambria" w:hAnsi="Cambria" w:eastAsia="宋体"/>
                <w:b w:val="0"/>
                <w:i w:val="0"/>
                <w:color w:val="222222"/>
                <w:sz w:val="18"/>
              </w:rPr>
              <w:t>城市归零工作坊</w:t>
            </w:r>
          </w:p>
        </w:tc>
        <w:tc>
          <w:tcPr>
            <w:tcW w:type="dxa" w:w="1757"/>
          </w:tcPr>
          <w:p>
            <w:pPr>
              <w:spacing w:line="288" w:lineRule="auto" w:after="20" w:before="20"/>
            </w:pPr>
            <w:r>
              <w:rPr>
                <w:rFonts w:ascii="Cambria" w:hAnsi="Cambria" w:eastAsia="宋体"/>
                <w:b w:val="0"/>
                <w:i w:val="0"/>
                <w:color w:val="222222"/>
                <w:sz w:val="18"/>
              </w:rPr>
              <w:t>A.7 / A.8</w:t>
            </w:r>
          </w:p>
        </w:tc>
      </w:tr>
      <w:tr>
        <w:tc>
          <w:tcPr>
            <w:tcW w:type="dxa" w:w="850"/>
            <w:shd w:val="clear" w:fill="EEF2F7"/>
          </w:tcPr>
          <w:p>
            <w:pPr>
              <w:spacing w:line="288" w:lineRule="auto" w:after="20" w:before="20"/>
            </w:pPr>
            <w:r>
              <w:rPr>
                <w:rFonts w:ascii="Cambria" w:hAnsi="Cambria" w:eastAsia="宋体"/>
                <w:b w:val="0"/>
                <w:i w:val="0"/>
                <w:color w:val="222222"/>
                <w:sz w:val="18"/>
              </w:rPr>
              <w:t>国家</w:t>
            </w:r>
          </w:p>
        </w:tc>
        <w:tc>
          <w:tcPr>
            <w:tcW w:type="dxa" w:w="2268"/>
            <w:shd w:val="clear" w:fill="EEF2F7"/>
          </w:tcPr>
          <w:p>
            <w:pPr>
              <w:spacing w:line="288" w:lineRule="auto" w:after="20" w:before="20"/>
            </w:pPr>
            <w:r>
              <w:rPr>
                <w:rFonts w:ascii="Cambria" w:hAnsi="Cambria" w:eastAsia="宋体"/>
                <w:b w:val="0"/>
                <w:i w:val="0"/>
                <w:color w:val="222222"/>
                <w:sz w:val="18"/>
              </w:rPr>
              <w:t>政策文本可读化</w:t>
            </w:r>
          </w:p>
        </w:tc>
        <w:tc>
          <w:tcPr>
            <w:tcW w:type="dxa" w:w="1928"/>
            <w:shd w:val="clear" w:fill="EEF2F7"/>
          </w:tcPr>
          <w:p>
            <w:pPr>
              <w:spacing w:line="288" w:lineRule="auto" w:after="20" w:before="20"/>
            </w:pPr>
            <w:r>
              <w:rPr>
                <w:rFonts w:ascii="Cambria" w:hAnsi="Cambria" w:eastAsia="宋体"/>
                <w:b w:val="0"/>
                <w:i w:val="0"/>
                <w:color w:val="222222"/>
                <w:sz w:val="18"/>
              </w:rPr>
              <w:t>制度意义一致性评估</w:t>
            </w:r>
          </w:p>
        </w:tc>
        <w:tc>
          <w:tcPr>
            <w:tcW w:type="dxa" w:w="1928"/>
            <w:shd w:val="clear" w:fill="EEF2F7"/>
          </w:tcPr>
          <w:p>
            <w:pPr>
              <w:spacing w:line="288" w:lineRule="auto" w:after="20" w:before="20"/>
            </w:pPr>
            <w:r>
              <w:rPr>
                <w:rFonts w:ascii="Cambria" w:hAnsi="Cambria" w:eastAsia="宋体"/>
                <w:b w:val="0"/>
                <w:i w:val="0"/>
                <w:color w:val="222222"/>
                <w:sz w:val="18"/>
              </w:rPr>
              <w:t>跨尺度方向校准</w:t>
            </w:r>
          </w:p>
        </w:tc>
        <w:tc>
          <w:tcPr>
            <w:tcW w:type="dxa" w:w="1757"/>
            <w:shd w:val="clear" w:fill="EEF2F7"/>
          </w:tcPr>
          <w:p>
            <w:pPr>
              <w:spacing w:line="288" w:lineRule="auto" w:after="20" w:before="20"/>
            </w:pPr>
            <w:r>
              <w:rPr>
                <w:rFonts w:ascii="Cambria" w:hAnsi="Cambria" w:eastAsia="宋体"/>
                <w:b w:val="0"/>
                <w:i w:val="0"/>
                <w:color w:val="222222"/>
                <w:sz w:val="18"/>
              </w:rPr>
              <w:t>（A.9 跨尺度）</w:t>
            </w:r>
          </w:p>
        </w:tc>
      </w:tr>
      <w:tr>
        <w:tc>
          <w:tcPr>
            <w:tcW w:type="dxa" w:w="850"/>
          </w:tcPr>
          <w:p>
            <w:pPr>
              <w:spacing w:line="288" w:lineRule="auto" w:after="20" w:before="20"/>
            </w:pPr>
            <w:r>
              <w:rPr>
                <w:rFonts w:ascii="Cambria" w:hAnsi="Cambria" w:eastAsia="宋体"/>
                <w:b w:val="0"/>
                <w:i w:val="0"/>
                <w:color w:val="222222"/>
                <w:sz w:val="18"/>
              </w:rPr>
              <w:t>人类</w:t>
            </w:r>
          </w:p>
        </w:tc>
        <w:tc>
          <w:tcPr>
            <w:tcW w:type="dxa" w:w="2268"/>
          </w:tcPr>
          <w:p>
            <w:pPr>
              <w:spacing w:line="288" w:lineRule="auto" w:after="20" w:before="20"/>
            </w:pPr>
            <w:r>
              <w:rPr>
                <w:rFonts w:ascii="Cambria" w:hAnsi="Cambria" w:eastAsia="宋体"/>
                <w:b w:val="0"/>
                <w:i w:val="0"/>
                <w:color w:val="222222"/>
                <w:sz w:val="18"/>
              </w:rPr>
              <w:t>文明叙事降维</w:t>
            </w:r>
          </w:p>
        </w:tc>
        <w:tc>
          <w:tcPr>
            <w:tcW w:type="dxa" w:w="1928"/>
          </w:tcPr>
          <w:p>
            <w:pPr>
              <w:spacing w:line="288" w:lineRule="auto" w:after="20" w:before="20"/>
            </w:pPr>
            <w:r>
              <w:rPr>
                <w:rFonts w:ascii="Cambria" w:hAnsi="Cambria" w:eastAsia="宋体"/>
                <w:b w:val="0"/>
                <w:i w:val="0"/>
                <w:color w:val="222222"/>
                <w:sz w:val="18"/>
              </w:rPr>
              <w:t>物种责任与文明方向评估</w:t>
            </w:r>
          </w:p>
        </w:tc>
        <w:tc>
          <w:tcPr>
            <w:tcW w:type="dxa" w:w="1928"/>
          </w:tcPr>
          <w:p>
            <w:pPr>
              <w:spacing w:line="288" w:lineRule="auto" w:after="20" w:before="20"/>
            </w:pPr>
            <w:r>
              <w:rPr>
                <w:rFonts w:ascii="Cambria" w:hAnsi="Cambria" w:eastAsia="宋体"/>
                <w:b w:val="0"/>
                <w:i w:val="0"/>
                <w:color w:val="222222"/>
                <w:sz w:val="18"/>
              </w:rPr>
              <w:t>文明级归零-螺旋治理</w:t>
            </w:r>
          </w:p>
        </w:tc>
        <w:tc>
          <w:tcPr>
            <w:tcW w:type="dxa" w:w="1757"/>
          </w:tcPr>
          <w:p>
            <w:pPr>
              <w:spacing w:line="288" w:lineRule="auto" w:after="20" w:before="20"/>
            </w:pPr>
            <w:r>
              <w:rPr>
                <w:rFonts w:ascii="Cambria" w:hAnsi="Cambria" w:eastAsia="宋体"/>
                <w:b w:val="0"/>
                <w:i w:val="0"/>
                <w:color w:val="222222"/>
                <w:sz w:val="18"/>
              </w:rPr>
              <w:t>（A.9 跨尺度）</w:t>
            </w:r>
          </w:p>
        </w:tc>
      </w:tr>
    </w:tbl>
    <w:p>
      <w:pPr>
        <w:spacing w:line="240" w:lineRule="auto" w:before="0" w:after="160"/>
      </w:pPr>
    </w:p>
    <w:p>
      <w:pPr>
        <w:spacing w:line="312" w:lineRule="auto" w:before="80" w:after="60"/>
      </w:pPr>
      <w:r>
        <w:rPr>
          <w:rFonts w:ascii="Cambria" w:hAnsi="Cambria" w:eastAsia="宋体"/>
          <w:b w:val="0"/>
          <w:i w:val="0"/>
          <w:color w:val="4A5A70"/>
          <w:sz w:val="19"/>
        </w:rPr>
        <w:t>正典路线图的第一阶段（当下至 2030 年）为「认知普及与工具孵化」，主要产出为专著与个人版工具。本白皮书与 MSI 实现均定位在该阶段。</w:t>
      </w:r>
    </w:p>
    <w:p>
      <w:pPr>
        <w:spacing w:line="300" w:lineRule="auto" w:before="0" w:after="160"/>
      </w:pPr>
      <w:r>
        <w:rPr>
          <w:rFonts w:ascii="Cambria" w:hAnsi="Cambria" w:eastAsia="宋体"/>
          <w:b w:val="0"/>
          <w:i w:val="0"/>
          <w:color w:val="7A8CA3"/>
          <w:sz w:val="18"/>
        </w:rPr>
        <w:t>The first phase of the canon roadmap (now to 2030) is "cognitive popularization and tool incubation", whose main outputs are the monograph and individual-scale tools. This white paper and the MSI implementation both sit in that phase.</w:t>
      </w:r>
    </w:p>
    <w:p>
      <w:pPr>
        <w:spacing w:line="300" w:lineRule="auto" w:before="320" w:after="140"/>
      </w:pPr>
      <w:r>
        <w:rPr>
          <w:rFonts w:ascii="Arial" w:hAnsi="Arial" w:eastAsia="黑体"/>
          <w:b/>
          <w:i w:val="0"/>
          <w:color w:val="1B3A5C"/>
          <w:sz w:val="34"/>
        </w:rPr>
        <w:t>证据、失败与边界</w:t>
      </w:r>
      <w:r>
        <w:rPr>
          <w:rFonts w:ascii="Arial" w:hAnsi="Arial" w:eastAsia="黑体"/>
          <w:b w:val="0"/>
          <w:i w:val="0"/>
          <w:color w:val="1B3A5C"/>
          <w:sz w:val="24"/>
        </w:rPr>
        <w:t xml:space="preserve">　Evidence, Failure, and Boundaries</w:t>
      </w:r>
    </w:p>
    <w:p>
      <w:pPr>
        <w:spacing w:line="288" w:lineRule="auto" w:before="200" w:after="60"/>
      </w:pPr>
      <w:r>
        <w:rPr>
          <w:rFonts w:ascii="Arial" w:hAnsi="Arial" w:eastAsia="黑体"/>
          <w:b/>
          <w:i w:val="0"/>
          <w:color w:val="1B3A5C"/>
          <w:sz w:val="22"/>
        </w:rPr>
        <w:t>一、六层证据等级一览</w:t>
      </w:r>
      <w:r>
        <w:rPr>
          <w:rFonts w:ascii="Arial" w:hAnsi="Arial" w:eastAsia="黑体"/>
          <w:b w:val="0"/>
          <w:i w:val="0"/>
          <w:color w:val="7A8CA3"/>
          <w:sz w:val="18"/>
        </w:rPr>
        <w:t xml:space="preserve">　[Evidence Levels at a Glance]</w:t>
      </w:r>
    </w:p>
    <w:p>
      <w:pPr>
        <w:spacing w:line="288" w:lineRule="auto" w:before="240" w:after="80"/>
      </w:pPr>
      <w:r>
        <w:rPr>
          <w:rFonts w:ascii="Arial" w:hAnsi="Arial" w:eastAsia="黑体"/>
          <w:b/>
          <w:i w:val="0"/>
          <w:color w:val="1B3A5C"/>
          <w:sz w:val="22"/>
        </w:rPr>
        <w:t>表 5　证据等级一览</w:t>
      </w:r>
      <w:r>
        <w:rPr>
          <w:rFonts w:ascii="Arial" w:hAnsi="Arial" w:eastAsia="黑体"/>
          <w:b w:val="0"/>
          <w:i w:val="0"/>
          <w:color w:val="7A8CA3"/>
          <w:sz w:val="17"/>
        </w:rPr>
        <w:t xml:space="preserve">  |  Table 5  Evidence Levels at a Glance</w:t>
      </w:r>
    </w:p>
    <w:tbl>
      <w:tblPr>
        <w:tblStyle w:val="TableGrid"/>
        <w:tblW w:type="auto" w:w="0"/>
        <w:jc w:val="center"/>
        <w:tblLayout w:type="fixed"/>
        <w:tblLook w:firstColumn="1" w:firstRow="1" w:lastColumn="0" w:lastRow="0" w:noHBand="0" w:noVBand="1" w:val="04A0"/>
        <w:tblLayout w:type="fixed"/>
      </w:tblPr>
      <w:tblGrid>
        <w:gridCol w:w="1701"/>
        <w:gridCol w:w="2041"/>
        <w:gridCol w:w="1587"/>
        <w:gridCol w:w="3402"/>
      </w:tblGrid>
      <w:tr>
        <w:tc>
          <w:tcPr>
            <w:tcW w:type="dxa" w:w="1701"/>
            <w:shd w:val="clear" w:fill="1B3A5C"/>
          </w:tcPr>
          <w:p>
            <w:pPr>
              <w:spacing w:line="276" w:lineRule="auto" w:after="20" w:before="20"/>
            </w:pPr>
            <w:r>
              <w:rPr>
                <w:rFonts w:ascii="Arial" w:hAnsi="Arial" w:eastAsia="黑体"/>
                <w:b/>
                <w:i w:val="0"/>
                <w:color w:val="FFFFFF"/>
                <w:sz w:val="19"/>
              </w:rPr>
              <w:t>层</w:t>
            </w:r>
          </w:p>
        </w:tc>
        <w:tc>
          <w:tcPr>
            <w:tcW w:type="dxa" w:w="2041"/>
            <w:shd w:val="clear" w:fill="1B3A5C"/>
          </w:tcPr>
          <w:p>
            <w:pPr>
              <w:spacing w:line="276" w:lineRule="auto" w:after="20" w:before="20"/>
            </w:pPr>
            <w:r>
              <w:rPr>
                <w:rFonts w:ascii="Arial" w:hAnsi="Arial" w:eastAsia="黑体"/>
                <w:b/>
                <w:i w:val="0"/>
                <w:color w:val="FFFFFF"/>
                <w:sz w:val="19"/>
              </w:rPr>
              <w:t>本框架证据等级</w:t>
            </w:r>
          </w:p>
        </w:tc>
        <w:tc>
          <w:tcPr>
            <w:tcW w:type="dxa" w:w="1587"/>
            <w:shd w:val="clear" w:fill="1B3A5C"/>
          </w:tcPr>
          <w:p>
            <w:pPr>
              <w:spacing w:line="276" w:lineRule="auto" w:after="20" w:before="20"/>
            </w:pPr>
            <w:r>
              <w:rPr>
                <w:rFonts w:ascii="Arial" w:hAnsi="Arial" w:eastAsia="黑体"/>
                <w:b/>
                <w:i w:val="0"/>
                <w:color w:val="FFFFFF"/>
                <w:sz w:val="19"/>
              </w:rPr>
              <w:t>底层机制证据</w:t>
            </w:r>
          </w:p>
        </w:tc>
        <w:tc>
          <w:tcPr>
            <w:tcW w:type="dxa" w:w="3402"/>
            <w:shd w:val="clear" w:fill="1B3A5C"/>
          </w:tcPr>
          <w:p>
            <w:pPr>
              <w:spacing w:line="276" w:lineRule="auto" w:after="20" w:before="20"/>
            </w:pPr>
            <w:r>
              <w:rPr>
                <w:rFonts w:ascii="Arial" w:hAnsi="Arial" w:eastAsia="黑体"/>
                <w:b/>
                <w:i w:val="0"/>
                <w:color w:val="FFFFFF"/>
                <w:sz w:val="19"/>
              </w:rPr>
              <w:t>当前状态</w:t>
            </w:r>
          </w:p>
        </w:tc>
      </w:tr>
      <w:tr>
        <w:tc>
          <w:tcPr>
            <w:tcW w:type="dxa" w:w="1701"/>
          </w:tcPr>
          <w:p>
            <w:pPr>
              <w:spacing w:line="288" w:lineRule="auto" w:after="20" w:before="20"/>
            </w:pPr>
            <w:r>
              <w:rPr>
                <w:rFonts w:ascii="Cambria" w:hAnsi="Cambria" w:eastAsia="宋体"/>
                <w:b w:val="0"/>
                <w:i w:val="0"/>
                <w:color w:val="222222"/>
                <w:sz w:val="18"/>
              </w:rPr>
              <w:t>L1 减负</w:t>
            </w:r>
          </w:p>
        </w:tc>
        <w:tc>
          <w:tcPr>
            <w:tcW w:type="dxa" w:w="2041"/>
          </w:tcPr>
          <w:p>
            <w:pPr>
              <w:spacing w:line="288" w:lineRule="auto" w:after="20" w:before="20"/>
            </w:pPr>
            <w:r>
              <w:rPr>
                <w:rFonts w:ascii="Cambria" w:hAnsi="Cambria" w:eastAsia="宋体"/>
                <w:b w:val="0"/>
                <w:i w:val="0"/>
                <w:color w:val="222222"/>
                <w:sz w:val="18"/>
              </w:rPr>
              <w:t>E1</w:t>
            </w:r>
          </w:p>
        </w:tc>
        <w:tc>
          <w:tcPr>
            <w:tcW w:type="dxa" w:w="1587"/>
          </w:tcPr>
          <w:p>
            <w:pPr>
              <w:spacing w:line="288" w:lineRule="auto" w:after="20" w:before="20"/>
            </w:pPr>
            <w:r>
              <w:rPr>
                <w:rFonts w:ascii="Cambria" w:hAnsi="Cambria" w:eastAsia="宋体"/>
                <w:b w:val="0"/>
                <w:i w:val="0"/>
                <w:color w:val="222222"/>
                <w:sz w:val="18"/>
              </w:rPr>
              <w:t>E3–E4</w:t>
            </w:r>
          </w:p>
        </w:tc>
        <w:tc>
          <w:tcPr>
            <w:tcW w:type="dxa" w:w="3402"/>
          </w:tcPr>
          <w:p>
            <w:pPr>
              <w:spacing w:line="288" w:lineRule="auto" w:after="20" w:before="20"/>
            </w:pPr>
            <w:r>
              <w:rPr>
                <w:rFonts w:ascii="Cambria" w:hAnsi="Cambria" w:eastAsia="宋体"/>
                <w:b w:val="0"/>
                <w:i w:val="0"/>
                <w:color w:val="222222"/>
                <w:sz w:val="18"/>
              </w:rPr>
              <w:t>机制成熟，框架内操作化待测</w:t>
            </w:r>
          </w:p>
        </w:tc>
      </w:tr>
      <w:tr>
        <w:tc>
          <w:tcPr>
            <w:tcW w:type="dxa" w:w="1701"/>
            <w:shd w:val="clear" w:fill="EEF2F7"/>
          </w:tcPr>
          <w:p>
            <w:pPr>
              <w:spacing w:line="288" w:lineRule="auto" w:after="20" w:before="20"/>
            </w:pPr>
            <w:r>
              <w:rPr>
                <w:rFonts w:ascii="Cambria" w:hAnsi="Cambria" w:eastAsia="宋体"/>
                <w:b w:val="0"/>
                <w:i w:val="0"/>
                <w:color w:val="222222"/>
                <w:sz w:val="18"/>
              </w:rPr>
              <w:t>L2 可体验</w:t>
            </w:r>
          </w:p>
        </w:tc>
        <w:tc>
          <w:tcPr>
            <w:tcW w:type="dxa" w:w="2041"/>
            <w:shd w:val="clear" w:fill="EEF2F7"/>
          </w:tcPr>
          <w:p>
            <w:pPr>
              <w:spacing w:line="288" w:lineRule="auto" w:after="20" w:before="20"/>
            </w:pPr>
            <w:r>
              <w:rPr>
                <w:rFonts w:ascii="Cambria" w:hAnsi="Cambria" w:eastAsia="宋体"/>
                <w:b w:val="0"/>
                <w:i w:val="0"/>
                <w:color w:val="222222"/>
                <w:sz w:val="18"/>
              </w:rPr>
              <w:t>E1</w:t>
            </w:r>
          </w:p>
        </w:tc>
        <w:tc>
          <w:tcPr>
            <w:tcW w:type="dxa" w:w="1587"/>
            <w:shd w:val="clear" w:fill="EEF2F7"/>
          </w:tcPr>
          <w:p>
            <w:pPr>
              <w:spacing w:line="288" w:lineRule="auto" w:after="20" w:before="20"/>
            </w:pPr>
            <w:r>
              <w:rPr>
                <w:rFonts w:ascii="Cambria" w:hAnsi="Cambria" w:eastAsia="宋体"/>
                <w:b w:val="0"/>
                <w:i w:val="0"/>
                <w:color w:val="222222"/>
                <w:sz w:val="18"/>
              </w:rPr>
              <w:t>E3</w:t>
            </w:r>
          </w:p>
        </w:tc>
        <w:tc>
          <w:tcPr>
            <w:tcW w:type="dxa" w:w="3402"/>
            <w:shd w:val="clear" w:fill="EEF2F7"/>
          </w:tcPr>
          <w:p>
            <w:pPr>
              <w:spacing w:line="288" w:lineRule="auto" w:after="20" w:before="20"/>
            </w:pPr>
            <w:r>
              <w:rPr>
                <w:rFonts w:ascii="Cambria" w:hAnsi="Cambria" w:eastAsia="宋体"/>
                <w:b w:val="0"/>
                <w:i w:val="0"/>
                <w:color w:val="222222"/>
                <w:sz w:val="18"/>
              </w:rPr>
              <w:t>机制成熟，框架内操作化待测</w:t>
            </w:r>
          </w:p>
        </w:tc>
      </w:tr>
      <w:tr>
        <w:tc>
          <w:tcPr>
            <w:tcW w:type="dxa" w:w="1701"/>
          </w:tcPr>
          <w:p>
            <w:pPr>
              <w:spacing w:line="288" w:lineRule="auto" w:after="20" w:before="20"/>
            </w:pPr>
            <w:r>
              <w:rPr>
                <w:rFonts w:ascii="Cambria" w:hAnsi="Cambria" w:eastAsia="宋体"/>
                <w:b w:val="0"/>
                <w:i w:val="0"/>
                <w:color w:val="222222"/>
                <w:sz w:val="18"/>
              </w:rPr>
              <w:t>L3 意义生成</w:t>
            </w:r>
          </w:p>
        </w:tc>
        <w:tc>
          <w:tcPr>
            <w:tcW w:type="dxa" w:w="2041"/>
          </w:tcPr>
          <w:p>
            <w:pPr>
              <w:spacing w:line="288" w:lineRule="auto" w:after="20" w:before="20"/>
            </w:pPr>
            <w:r>
              <w:rPr>
                <w:rFonts w:ascii="Cambria" w:hAnsi="Cambria" w:eastAsia="宋体"/>
                <w:b w:val="0"/>
                <w:i w:val="0"/>
                <w:color w:val="222222"/>
                <w:sz w:val="18"/>
              </w:rPr>
              <w:t>E0–E1</w:t>
            </w:r>
          </w:p>
        </w:tc>
        <w:tc>
          <w:tcPr>
            <w:tcW w:type="dxa" w:w="1587"/>
          </w:tcPr>
          <w:p>
            <w:pPr>
              <w:spacing w:line="288" w:lineRule="auto" w:after="20" w:before="20"/>
            </w:pPr>
            <w:r>
              <w:rPr>
                <w:rFonts w:ascii="Cambria" w:hAnsi="Cambria" w:eastAsia="宋体"/>
                <w:b w:val="0"/>
                <w:i w:val="0"/>
                <w:color w:val="222222"/>
                <w:sz w:val="18"/>
              </w:rPr>
              <w:t>E0</w:t>
            </w:r>
          </w:p>
        </w:tc>
        <w:tc>
          <w:tcPr>
            <w:tcW w:type="dxa" w:w="3402"/>
          </w:tcPr>
          <w:p>
            <w:pPr>
              <w:spacing w:line="288" w:lineRule="auto" w:after="20" w:before="20"/>
            </w:pPr>
            <w:r>
              <w:rPr>
                <w:rFonts w:ascii="Cambria" w:hAnsi="Cambria" w:eastAsia="宋体"/>
                <w:b w:val="0"/>
                <w:i w:val="0"/>
                <w:color w:val="222222"/>
                <w:sz w:val="18"/>
              </w:rPr>
              <w:t>构念已定义并形式化</w:t>
            </w:r>
          </w:p>
        </w:tc>
      </w:tr>
      <w:tr>
        <w:tc>
          <w:tcPr>
            <w:tcW w:type="dxa" w:w="1701"/>
            <w:shd w:val="clear" w:fill="EEF2F7"/>
          </w:tcPr>
          <w:p>
            <w:pPr>
              <w:spacing w:line="288" w:lineRule="auto" w:after="20" w:before="20"/>
            </w:pPr>
            <w:r>
              <w:rPr>
                <w:rFonts w:ascii="Cambria" w:hAnsi="Cambria" w:eastAsia="宋体"/>
                <w:b w:val="0"/>
                <w:i w:val="0"/>
                <w:color w:val="222222"/>
                <w:sz w:val="18"/>
              </w:rPr>
              <w:t>L4 价值评估</w:t>
            </w:r>
          </w:p>
        </w:tc>
        <w:tc>
          <w:tcPr>
            <w:tcW w:type="dxa" w:w="2041"/>
            <w:shd w:val="clear" w:fill="EEF2F7"/>
          </w:tcPr>
          <w:p>
            <w:pPr>
              <w:spacing w:line="288" w:lineRule="auto" w:after="20" w:before="20"/>
            </w:pPr>
            <w:r>
              <w:rPr>
                <w:rFonts w:ascii="Cambria" w:hAnsi="Cambria" w:eastAsia="宋体"/>
                <w:b w:val="0"/>
                <w:i w:val="0"/>
                <w:color w:val="222222"/>
                <w:sz w:val="18"/>
              </w:rPr>
              <w:t>E2（工具）/ E1（模型）</w:t>
            </w:r>
          </w:p>
        </w:tc>
        <w:tc>
          <w:tcPr>
            <w:tcW w:type="dxa" w:w="1587"/>
            <w:shd w:val="clear" w:fill="EEF2F7"/>
          </w:tcPr>
          <w:p>
            <w:pPr>
              <w:spacing w:line="288" w:lineRule="auto" w:after="20" w:before="20"/>
            </w:pPr>
            <w:r>
              <w:rPr>
                <w:rFonts w:ascii="Cambria" w:hAnsi="Cambria" w:eastAsia="宋体"/>
                <w:b w:val="0"/>
                <w:i w:val="0"/>
                <w:color w:val="222222"/>
                <w:sz w:val="18"/>
              </w:rPr>
              <w:t>E1–E2</w:t>
            </w:r>
          </w:p>
        </w:tc>
        <w:tc>
          <w:tcPr>
            <w:tcW w:type="dxa" w:w="3402"/>
            <w:shd w:val="clear" w:fill="EEF2F7"/>
          </w:tcPr>
          <w:p>
            <w:pPr>
              <w:spacing w:line="288" w:lineRule="auto" w:after="20" w:before="20"/>
            </w:pPr>
            <w:r>
              <w:rPr>
                <w:rFonts w:ascii="Cambria" w:hAnsi="Cambria" w:eastAsia="宋体"/>
                <w:b w:val="0"/>
                <w:i w:val="0"/>
                <w:color w:val="222222"/>
                <w:sz w:val="18"/>
              </w:rPr>
              <w:t>量表信效度验证中</w:t>
            </w:r>
          </w:p>
        </w:tc>
      </w:tr>
      <w:tr>
        <w:tc>
          <w:tcPr>
            <w:tcW w:type="dxa" w:w="1701"/>
          </w:tcPr>
          <w:p>
            <w:pPr>
              <w:spacing w:line="288" w:lineRule="auto" w:after="20" w:before="20"/>
            </w:pPr>
            <w:r>
              <w:rPr>
                <w:rFonts w:ascii="Cambria" w:hAnsi="Cambria" w:eastAsia="宋体"/>
                <w:b w:val="0"/>
                <w:i w:val="0"/>
                <w:color w:val="222222"/>
                <w:sz w:val="18"/>
              </w:rPr>
              <w:t>L5 方向选择</w:t>
            </w:r>
          </w:p>
        </w:tc>
        <w:tc>
          <w:tcPr>
            <w:tcW w:type="dxa" w:w="2041"/>
          </w:tcPr>
          <w:p>
            <w:pPr>
              <w:spacing w:line="288" w:lineRule="auto" w:after="20" w:before="20"/>
            </w:pPr>
            <w:r>
              <w:rPr>
                <w:rFonts w:ascii="Cambria" w:hAnsi="Cambria" w:eastAsia="宋体"/>
                <w:b w:val="0"/>
                <w:i w:val="0"/>
                <w:color w:val="222222"/>
                <w:sz w:val="18"/>
              </w:rPr>
              <w:t>E1</w:t>
            </w:r>
          </w:p>
        </w:tc>
        <w:tc>
          <w:tcPr>
            <w:tcW w:type="dxa" w:w="1587"/>
          </w:tcPr>
          <w:p>
            <w:pPr>
              <w:spacing w:line="288" w:lineRule="auto" w:after="20" w:before="20"/>
            </w:pPr>
            <w:r>
              <w:rPr>
                <w:rFonts w:ascii="Cambria" w:hAnsi="Cambria" w:eastAsia="宋体"/>
                <w:b w:val="0"/>
                <w:i w:val="0"/>
                <w:color w:val="222222"/>
                <w:sz w:val="18"/>
              </w:rPr>
              <w:t>E1</w:t>
            </w:r>
          </w:p>
        </w:tc>
        <w:tc>
          <w:tcPr>
            <w:tcW w:type="dxa" w:w="3402"/>
          </w:tcPr>
          <w:p>
            <w:pPr>
              <w:spacing w:line="288" w:lineRule="auto" w:after="20" w:before="20"/>
            </w:pPr>
            <w:r>
              <w:rPr>
                <w:rFonts w:ascii="Cambria" w:hAnsi="Cambria" w:eastAsia="宋体"/>
                <w:b w:val="0"/>
                <w:i w:val="0"/>
                <w:color w:val="222222"/>
                <w:sz w:val="18"/>
              </w:rPr>
              <w:t>假设 H7／H8 待检验</w:t>
            </w:r>
          </w:p>
        </w:tc>
      </w:tr>
      <w:tr>
        <w:tc>
          <w:tcPr>
            <w:tcW w:type="dxa" w:w="1701"/>
            <w:shd w:val="clear" w:fill="EEF2F7"/>
          </w:tcPr>
          <w:p>
            <w:pPr>
              <w:spacing w:line="288" w:lineRule="auto" w:after="20" w:before="20"/>
            </w:pPr>
            <w:r>
              <w:rPr>
                <w:rFonts w:ascii="Cambria" w:hAnsi="Cambria" w:eastAsia="宋体"/>
                <w:b w:val="0"/>
                <w:i w:val="0"/>
                <w:color w:val="222222"/>
                <w:sz w:val="18"/>
              </w:rPr>
              <w:t>L6 反思与审视递归</w:t>
            </w:r>
          </w:p>
        </w:tc>
        <w:tc>
          <w:tcPr>
            <w:tcW w:type="dxa" w:w="2041"/>
            <w:shd w:val="clear" w:fill="EEF2F7"/>
          </w:tcPr>
          <w:p>
            <w:pPr>
              <w:spacing w:line="288" w:lineRule="auto" w:after="20" w:before="20"/>
            </w:pPr>
            <w:r>
              <w:rPr>
                <w:rFonts w:ascii="Cambria" w:hAnsi="Cambria" w:eastAsia="宋体"/>
                <w:b w:val="0"/>
                <w:i w:val="0"/>
                <w:color w:val="222222"/>
                <w:sz w:val="18"/>
              </w:rPr>
              <w:t>E2</w:t>
            </w:r>
          </w:p>
        </w:tc>
        <w:tc>
          <w:tcPr>
            <w:tcW w:type="dxa" w:w="1587"/>
            <w:shd w:val="clear" w:fill="EEF2F7"/>
          </w:tcPr>
          <w:p>
            <w:pPr>
              <w:spacing w:line="288" w:lineRule="auto" w:after="20" w:before="20"/>
            </w:pPr>
            <w:r>
              <w:rPr>
                <w:rFonts w:ascii="Cambria" w:hAnsi="Cambria" w:eastAsia="宋体"/>
                <w:b w:val="0"/>
                <w:i w:val="0"/>
                <w:color w:val="222222"/>
                <w:sz w:val="18"/>
              </w:rPr>
              <w:t>E2</w:t>
            </w:r>
          </w:p>
        </w:tc>
        <w:tc>
          <w:tcPr>
            <w:tcW w:type="dxa" w:w="3402"/>
            <w:shd w:val="clear" w:fill="EEF2F7"/>
          </w:tcPr>
          <w:p>
            <w:pPr>
              <w:spacing w:line="288" w:lineRule="auto" w:after="20" w:before="20"/>
            </w:pPr>
            <w:r>
              <w:rPr>
                <w:rFonts w:ascii="Cambria" w:hAnsi="Cambria" w:eastAsia="宋体"/>
                <w:b w:val="0"/>
                <w:i w:val="0"/>
                <w:color w:val="222222"/>
                <w:sz w:val="18"/>
              </w:rPr>
              <w:t>案例支持，RCT 进行中</w:t>
            </w:r>
          </w:p>
        </w:tc>
      </w:tr>
      <w:tr>
        <w:tc>
          <w:tcPr>
            <w:tcW w:type="dxa" w:w="1701"/>
          </w:tcPr>
          <w:p>
            <w:pPr>
              <w:spacing w:line="288" w:lineRule="auto" w:after="20" w:before="20"/>
            </w:pPr>
            <w:r>
              <w:rPr>
                <w:rFonts w:ascii="Cambria" w:hAnsi="Cambria" w:eastAsia="宋体"/>
                <w:b w:val="0"/>
                <w:i w:val="0"/>
                <w:color w:val="222222"/>
                <w:sz w:val="18"/>
              </w:rPr>
              <w:t>六层栈本身</w:t>
            </w:r>
          </w:p>
        </w:tc>
        <w:tc>
          <w:tcPr>
            <w:tcW w:type="dxa" w:w="2041"/>
          </w:tcPr>
          <w:p>
            <w:pPr>
              <w:spacing w:line="288" w:lineRule="auto" w:after="20" w:before="20"/>
            </w:pPr>
            <w:r>
              <w:rPr>
                <w:rFonts w:ascii="Cambria" w:hAnsi="Cambria" w:eastAsia="宋体"/>
                <w:b w:val="0"/>
                <w:i w:val="0"/>
                <w:color w:val="222222"/>
                <w:sz w:val="18"/>
              </w:rPr>
              <w:t>E0</w:t>
            </w:r>
          </w:p>
        </w:tc>
        <w:tc>
          <w:tcPr>
            <w:tcW w:type="dxa" w:w="1587"/>
          </w:tcPr>
          <w:p>
            <w:pPr>
              <w:spacing w:line="288" w:lineRule="auto" w:after="20" w:before="20"/>
            </w:pPr>
            <w:r>
              <w:rPr>
                <w:rFonts w:ascii="Cambria" w:hAnsi="Cambria" w:eastAsia="宋体"/>
                <w:b w:val="0"/>
                <w:i w:val="0"/>
                <w:color w:val="222222"/>
                <w:sz w:val="18"/>
              </w:rPr>
              <w:t>—</w:t>
            </w:r>
          </w:p>
        </w:tc>
        <w:tc>
          <w:tcPr>
            <w:tcW w:type="dxa" w:w="3402"/>
          </w:tcPr>
          <w:p>
            <w:pPr>
              <w:spacing w:line="288" w:lineRule="auto" w:after="20" w:before="20"/>
            </w:pPr>
            <w:r>
              <w:rPr>
                <w:rFonts w:ascii="Cambria" w:hAnsi="Cambria" w:eastAsia="宋体"/>
                <w:b w:val="0"/>
                <w:i w:val="0"/>
                <w:color w:val="222222"/>
                <w:sz w:val="18"/>
              </w:rPr>
              <w:t>本白皮书提出的整合结构，未经独立检验</w:t>
            </w:r>
          </w:p>
        </w:tc>
      </w:tr>
    </w:tbl>
    <w:p>
      <w:pPr>
        <w:spacing w:line="240" w:lineRule="auto" w:before="0" w:after="160"/>
      </w:pPr>
    </w:p>
    <w:p>
      <w:pPr>
        <w:spacing w:line="288" w:lineRule="auto" w:before="200" w:after="60"/>
      </w:pPr>
      <w:r>
        <w:rPr>
          <w:rFonts w:ascii="Arial" w:hAnsi="Arial" w:eastAsia="黑体"/>
          <w:b/>
          <w:i w:val="0"/>
          <w:color w:val="1B3A5C"/>
          <w:sz w:val="22"/>
        </w:rPr>
        <w:t>二、失败矩阵：六层版的证伪条件</w:t>
      </w:r>
      <w:r>
        <w:rPr>
          <w:rFonts w:ascii="Arial" w:hAnsi="Arial" w:eastAsia="黑体"/>
          <w:b w:val="0"/>
          <w:i w:val="0"/>
          <w:color w:val="7A8CA3"/>
          <w:sz w:val="18"/>
        </w:rPr>
        <w:t xml:space="preserve">　[Failure Matrix: Falsification Conditions per Layer]</w:t>
      </w:r>
    </w:p>
    <w:p>
      <w:pPr>
        <w:spacing w:line="360" w:lineRule="auto" w:before="0" w:after="80"/>
        <w:ind w:firstLine="420"/>
      </w:pPr>
      <w:r>
        <w:rPr>
          <w:rFonts w:ascii="Cambria" w:hAnsi="Cambria" w:eastAsia="宋体"/>
          <w:b w:val="0"/>
          <w:i w:val="0"/>
          <w:color w:val="222222"/>
          <w:sz w:val="24"/>
        </w:rPr>
        <w:t>沿用正典「理论失败矩阵」的体例：每一层给出支持证据、部分支持、失败阈值与失败后操作。任何一层触及失败阈值，该层将在后续版本中被标记或删除。</w:t>
      </w:r>
    </w:p>
    <w:p>
      <w:pPr>
        <w:spacing w:line="324" w:lineRule="auto" w:before="0" w:after="160"/>
        <w:ind w:firstLine="420"/>
      </w:pPr>
      <w:r>
        <w:rPr>
          <w:rFonts w:ascii="Cambria" w:hAnsi="Cambria" w:eastAsia="宋体"/>
          <w:b w:val="0"/>
          <w:i w:val="0"/>
          <w:color w:val="4A5A70"/>
          <w:sz w:val="22"/>
        </w:rPr>
        <w:t>Following the canon's Theory Failure Matrix: each layer states supporting evidence, partial support, the failure threshold, and the operation after failure. If any layer reaches its failure threshold, that layer will be marked or removed in a later version.</w:t>
      </w:r>
    </w:p>
    <w:p>
      <w:pPr>
        <w:spacing w:line="288" w:lineRule="auto" w:before="240" w:after="80"/>
      </w:pPr>
      <w:r>
        <w:rPr>
          <w:rFonts w:ascii="Arial" w:hAnsi="Arial" w:eastAsia="黑体"/>
          <w:b/>
          <w:i w:val="0"/>
          <w:color w:val="1B3A5C"/>
          <w:sz w:val="22"/>
        </w:rPr>
        <w:t>表 6　六层失败矩阵</w:t>
      </w:r>
      <w:r>
        <w:rPr>
          <w:rFonts w:ascii="Arial" w:hAnsi="Arial" w:eastAsia="黑体"/>
          <w:b w:val="0"/>
          <w:i w:val="0"/>
          <w:color w:val="7A8CA3"/>
          <w:sz w:val="17"/>
        </w:rPr>
        <w:t xml:space="preserve">  |  Table 6  Six-Layer Failure Matrix</w:t>
      </w:r>
    </w:p>
    <w:tbl>
      <w:tblPr>
        <w:tblStyle w:val="TableGrid"/>
        <w:tblW w:type="auto" w:w="0"/>
        <w:jc w:val="center"/>
        <w:tblLayout w:type="fixed"/>
        <w:tblLook w:firstColumn="1" w:firstRow="1" w:lastColumn="0" w:lastRow="0" w:noHBand="0" w:noVBand="1" w:val="04A0"/>
        <w:tblLayout w:type="fixed"/>
      </w:tblPr>
      <w:tblGrid>
        <w:gridCol w:w="1361"/>
        <w:gridCol w:w="1814"/>
        <w:gridCol w:w="1644"/>
        <w:gridCol w:w="2268"/>
        <w:gridCol w:w="1701"/>
      </w:tblGrid>
      <w:tr>
        <w:tc>
          <w:tcPr>
            <w:tcW w:type="dxa" w:w="1361"/>
            <w:shd w:val="clear" w:fill="1B3A5C"/>
          </w:tcPr>
          <w:p>
            <w:pPr>
              <w:spacing w:line="276" w:lineRule="auto" w:after="20" w:before="20"/>
            </w:pPr>
            <w:r>
              <w:rPr>
                <w:rFonts w:ascii="Arial" w:hAnsi="Arial" w:eastAsia="黑体"/>
                <w:b/>
                <w:i w:val="0"/>
                <w:color w:val="FFFFFF"/>
                <w:sz w:val="19"/>
              </w:rPr>
              <w:t>层</w:t>
            </w:r>
          </w:p>
        </w:tc>
        <w:tc>
          <w:tcPr>
            <w:tcW w:type="dxa" w:w="1814"/>
            <w:shd w:val="clear" w:fill="1B3A5C"/>
          </w:tcPr>
          <w:p>
            <w:pPr>
              <w:spacing w:line="276" w:lineRule="auto" w:after="20" w:before="20"/>
            </w:pPr>
            <w:r>
              <w:rPr>
                <w:rFonts w:ascii="Arial" w:hAnsi="Arial" w:eastAsia="黑体"/>
                <w:b/>
                <w:i w:val="0"/>
                <w:color w:val="FFFFFF"/>
                <w:sz w:val="19"/>
              </w:rPr>
              <w:t>支持证据</w:t>
            </w:r>
          </w:p>
        </w:tc>
        <w:tc>
          <w:tcPr>
            <w:tcW w:type="dxa" w:w="1644"/>
            <w:shd w:val="clear" w:fill="1B3A5C"/>
          </w:tcPr>
          <w:p>
            <w:pPr>
              <w:spacing w:line="276" w:lineRule="auto" w:after="20" w:before="20"/>
            </w:pPr>
            <w:r>
              <w:rPr>
                <w:rFonts w:ascii="Arial" w:hAnsi="Arial" w:eastAsia="黑体"/>
                <w:b/>
                <w:i w:val="0"/>
                <w:color w:val="FFFFFF"/>
                <w:sz w:val="19"/>
              </w:rPr>
              <w:t>部分支持</w:t>
            </w:r>
          </w:p>
        </w:tc>
        <w:tc>
          <w:tcPr>
            <w:tcW w:type="dxa" w:w="2268"/>
            <w:shd w:val="clear" w:fill="1B3A5C"/>
          </w:tcPr>
          <w:p>
            <w:pPr>
              <w:spacing w:line="276" w:lineRule="auto" w:after="20" w:before="20"/>
            </w:pPr>
            <w:r>
              <w:rPr>
                <w:rFonts w:ascii="Arial" w:hAnsi="Arial" w:eastAsia="黑体"/>
                <w:b/>
                <w:i w:val="0"/>
                <w:color w:val="FFFFFF"/>
                <w:sz w:val="19"/>
              </w:rPr>
              <w:t>失败阈值</w:t>
            </w:r>
          </w:p>
        </w:tc>
        <w:tc>
          <w:tcPr>
            <w:tcW w:type="dxa" w:w="1701"/>
            <w:shd w:val="clear" w:fill="1B3A5C"/>
          </w:tcPr>
          <w:p>
            <w:pPr>
              <w:spacing w:line="276" w:lineRule="auto" w:after="20" w:before="20"/>
            </w:pPr>
            <w:r>
              <w:rPr>
                <w:rFonts w:ascii="Arial" w:hAnsi="Arial" w:eastAsia="黑体"/>
                <w:b/>
                <w:i w:val="0"/>
                <w:color w:val="FFFFFF"/>
                <w:sz w:val="19"/>
              </w:rPr>
              <w:t>失败后操作</w:t>
            </w:r>
          </w:p>
        </w:tc>
      </w:tr>
      <w:tr>
        <w:tc>
          <w:tcPr>
            <w:tcW w:type="dxa" w:w="1361"/>
          </w:tcPr>
          <w:p>
            <w:pPr>
              <w:spacing w:line="288" w:lineRule="auto" w:after="20" w:before="20"/>
            </w:pPr>
            <w:r>
              <w:rPr>
                <w:rFonts w:ascii="Cambria" w:hAnsi="Cambria" w:eastAsia="宋体"/>
                <w:b w:val="0"/>
                <w:i w:val="0"/>
                <w:color w:val="222222"/>
                <w:sz w:val="18"/>
              </w:rPr>
              <w:t>L1 减负</w:t>
            </w:r>
          </w:p>
        </w:tc>
        <w:tc>
          <w:tcPr>
            <w:tcW w:type="dxa" w:w="1814"/>
          </w:tcPr>
          <w:p>
            <w:pPr>
              <w:spacing w:line="288" w:lineRule="auto" w:after="20" w:before="20"/>
            </w:pPr>
            <w:r>
              <w:rPr>
                <w:rFonts w:ascii="Cambria" w:hAnsi="Cambria" w:eastAsia="宋体"/>
                <w:b w:val="0"/>
                <w:i w:val="0"/>
                <w:color w:val="222222"/>
                <w:sz w:val="18"/>
              </w:rPr>
              <w:t>受控语言降低误读率</w:t>
            </w:r>
          </w:p>
        </w:tc>
        <w:tc>
          <w:tcPr>
            <w:tcW w:type="dxa" w:w="1644"/>
          </w:tcPr>
          <w:p>
            <w:pPr>
              <w:spacing w:line="288" w:lineRule="auto" w:after="20" w:before="20"/>
            </w:pPr>
            <w:r>
              <w:rPr>
                <w:rFonts w:ascii="Cambria" w:hAnsi="Cambria" w:eastAsia="宋体"/>
                <w:b w:val="0"/>
                <w:i w:val="0"/>
                <w:color w:val="222222"/>
                <w:sz w:val="18"/>
              </w:rPr>
              <w:t>特定文本类型有效</w:t>
            </w:r>
          </w:p>
        </w:tc>
        <w:tc>
          <w:tcPr>
            <w:tcW w:type="dxa" w:w="2268"/>
          </w:tcPr>
          <w:p>
            <w:pPr>
              <w:spacing w:line="288" w:lineRule="auto" w:after="20" w:before="20"/>
            </w:pPr>
            <w:r>
              <w:rPr>
                <w:rFonts w:ascii="Cambria" w:hAnsi="Cambria" w:eastAsia="宋体"/>
                <w:b w:val="0"/>
                <w:i w:val="0"/>
                <w:color w:val="222222"/>
                <w:sz w:val="18"/>
              </w:rPr>
              <w:t>降维后决策质量无提升（d&lt;0.3）</w:t>
            </w:r>
          </w:p>
        </w:tc>
        <w:tc>
          <w:tcPr>
            <w:tcW w:type="dxa" w:w="1701"/>
          </w:tcPr>
          <w:p>
            <w:pPr>
              <w:spacing w:line="288" w:lineRule="auto" w:after="20" w:before="20"/>
            </w:pPr>
            <w:r>
              <w:rPr>
                <w:rFonts w:ascii="Cambria" w:hAnsi="Cambria" w:eastAsia="宋体"/>
                <w:b w:val="0"/>
                <w:i w:val="0"/>
                <w:color w:val="222222"/>
                <w:sz w:val="18"/>
              </w:rPr>
              <w:t>重设压缩比或放弃字数硬限</w:t>
            </w:r>
          </w:p>
        </w:tc>
      </w:tr>
      <w:tr>
        <w:tc>
          <w:tcPr>
            <w:tcW w:type="dxa" w:w="1361"/>
            <w:shd w:val="clear" w:fill="EEF2F7"/>
          </w:tcPr>
          <w:p>
            <w:pPr>
              <w:spacing w:line="288" w:lineRule="auto" w:after="20" w:before="20"/>
            </w:pPr>
            <w:r>
              <w:rPr>
                <w:rFonts w:ascii="Cambria" w:hAnsi="Cambria" w:eastAsia="宋体"/>
                <w:b w:val="0"/>
                <w:i w:val="0"/>
                <w:color w:val="222222"/>
                <w:sz w:val="18"/>
              </w:rPr>
              <w:t>L2 可体验</w:t>
            </w:r>
          </w:p>
        </w:tc>
        <w:tc>
          <w:tcPr>
            <w:tcW w:type="dxa" w:w="1814"/>
            <w:shd w:val="clear" w:fill="EEF2F7"/>
          </w:tcPr>
          <w:p>
            <w:pPr>
              <w:spacing w:line="288" w:lineRule="auto" w:after="20" w:before="20"/>
            </w:pPr>
            <w:r>
              <w:rPr>
                <w:rFonts w:ascii="Cambria" w:hAnsi="Cambria" w:eastAsia="宋体"/>
                <w:b w:val="0"/>
                <w:i w:val="0"/>
                <w:color w:val="222222"/>
                <w:sz w:val="18"/>
              </w:rPr>
              <w:t>交互提升结构回忆</w:t>
            </w:r>
          </w:p>
        </w:tc>
        <w:tc>
          <w:tcPr>
            <w:tcW w:type="dxa" w:w="1644"/>
            <w:shd w:val="clear" w:fill="EEF2F7"/>
          </w:tcPr>
          <w:p>
            <w:pPr>
              <w:spacing w:line="288" w:lineRule="auto" w:after="20" w:before="20"/>
            </w:pPr>
            <w:r>
              <w:rPr>
                <w:rFonts w:ascii="Cambria" w:hAnsi="Cambria" w:eastAsia="宋体"/>
                <w:b w:val="0"/>
                <w:i w:val="0"/>
                <w:color w:val="222222"/>
                <w:sz w:val="18"/>
              </w:rPr>
              <w:t>特定概念类型有效</w:t>
            </w:r>
          </w:p>
        </w:tc>
        <w:tc>
          <w:tcPr>
            <w:tcW w:type="dxa" w:w="2268"/>
            <w:shd w:val="clear" w:fill="EEF2F7"/>
          </w:tcPr>
          <w:p>
            <w:pPr>
              <w:spacing w:line="288" w:lineRule="auto" w:after="20" w:before="20"/>
            </w:pPr>
            <w:r>
              <w:rPr>
                <w:rFonts w:ascii="Cambria" w:hAnsi="Cambria" w:eastAsia="宋体"/>
                <w:b w:val="0"/>
                <w:i w:val="0"/>
                <w:color w:val="222222"/>
                <w:sz w:val="18"/>
              </w:rPr>
              <w:t>交互组与静态组无显著差异</w:t>
            </w:r>
          </w:p>
        </w:tc>
        <w:tc>
          <w:tcPr>
            <w:tcW w:type="dxa" w:w="1701"/>
            <w:shd w:val="clear" w:fill="EEF2F7"/>
          </w:tcPr>
          <w:p>
            <w:pPr>
              <w:spacing w:line="288" w:lineRule="auto" w:after="20" w:before="20"/>
            </w:pPr>
            <w:r>
              <w:rPr>
                <w:rFonts w:ascii="Cambria" w:hAnsi="Cambria" w:eastAsia="宋体"/>
                <w:b w:val="0"/>
                <w:i w:val="0"/>
                <w:color w:val="222222"/>
                <w:sz w:val="18"/>
              </w:rPr>
              <w:t>降为可选增强，不作必需层</w:t>
            </w:r>
          </w:p>
        </w:tc>
      </w:tr>
      <w:tr>
        <w:tc>
          <w:tcPr>
            <w:tcW w:type="dxa" w:w="1361"/>
          </w:tcPr>
          <w:p>
            <w:pPr>
              <w:spacing w:line="288" w:lineRule="auto" w:after="20" w:before="20"/>
            </w:pPr>
            <w:r>
              <w:rPr>
                <w:rFonts w:ascii="Cambria" w:hAnsi="Cambria" w:eastAsia="宋体"/>
                <w:b w:val="0"/>
                <w:i w:val="0"/>
                <w:color w:val="222222"/>
                <w:sz w:val="18"/>
              </w:rPr>
              <w:t>L3 意义生成</w:t>
            </w:r>
          </w:p>
        </w:tc>
        <w:tc>
          <w:tcPr>
            <w:tcW w:type="dxa" w:w="1814"/>
          </w:tcPr>
          <w:p>
            <w:pPr>
              <w:spacing w:line="288" w:lineRule="auto" w:after="20" w:before="20"/>
            </w:pPr>
            <w:r>
              <w:rPr>
                <w:rFonts w:ascii="Cambria" w:hAnsi="Cambria" w:eastAsia="宋体"/>
                <w:b w:val="0"/>
                <w:i w:val="0"/>
                <w:color w:val="222222"/>
                <w:sz w:val="18"/>
              </w:rPr>
              <w:t>三维度可被独立评分</w:t>
            </w:r>
          </w:p>
        </w:tc>
        <w:tc>
          <w:tcPr>
            <w:tcW w:type="dxa" w:w="1644"/>
          </w:tcPr>
          <w:p>
            <w:pPr>
              <w:spacing w:line="288" w:lineRule="auto" w:after="20" w:before="20"/>
            </w:pPr>
            <w:r>
              <w:rPr>
                <w:rFonts w:ascii="Cambria" w:hAnsi="Cambria" w:eastAsia="宋体"/>
                <w:b w:val="0"/>
                <w:i w:val="0"/>
                <w:color w:val="222222"/>
                <w:sz w:val="18"/>
              </w:rPr>
              <w:t>特定文化背景下成立</w:t>
            </w:r>
          </w:p>
        </w:tc>
        <w:tc>
          <w:tcPr>
            <w:tcW w:type="dxa" w:w="2268"/>
          </w:tcPr>
          <w:p>
            <w:pPr>
              <w:spacing w:line="288" w:lineRule="auto" w:after="20" w:before="20"/>
            </w:pPr>
            <w:r>
              <w:rPr>
                <w:rFonts w:ascii="Cambria" w:hAnsi="Cambria" w:eastAsia="宋体"/>
                <w:b w:val="0"/>
                <w:i w:val="0"/>
                <w:color w:val="222222"/>
                <w:sz w:val="18"/>
              </w:rPr>
              <w:t>意义判断方差被单一维度解释&gt;90%</w:t>
            </w:r>
          </w:p>
        </w:tc>
        <w:tc>
          <w:tcPr>
            <w:tcW w:type="dxa" w:w="1701"/>
          </w:tcPr>
          <w:p>
            <w:pPr>
              <w:spacing w:line="288" w:lineRule="auto" w:after="20" w:before="20"/>
            </w:pPr>
            <w:r>
              <w:rPr>
                <w:rFonts w:ascii="Cambria" w:hAnsi="Cambria" w:eastAsia="宋体"/>
                <w:b w:val="0"/>
                <w:i w:val="0"/>
                <w:color w:val="222222"/>
                <w:sz w:val="18"/>
              </w:rPr>
              <w:t>接受 H2 被证伪，重构结构模型</w:t>
            </w:r>
          </w:p>
        </w:tc>
      </w:tr>
      <w:tr>
        <w:tc>
          <w:tcPr>
            <w:tcW w:type="dxa" w:w="1361"/>
            <w:shd w:val="clear" w:fill="EEF2F7"/>
          </w:tcPr>
          <w:p>
            <w:pPr>
              <w:spacing w:line="288" w:lineRule="auto" w:after="20" w:before="20"/>
            </w:pPr>
            <w:r>
              <w:rPr>
                <w:rFonts w:ascii="Cambria" w:hAnsi="Cambria" w:eastAsia="宋体"/>
                <w:b w:val="0"/>
                <w:i w:val="0"/>
                <w:color w:val="222222"/>
                <w:sz w:val="18"/>
              </w:rPr>
              <w:t>L4 价值评估</w:t>
            </w:r>
          </w:p>
        </w:tc>
        <w:tc>
          <w:tcPr>
            <w:tcW w:type="dxa" w:w="1814"/>
            <w:shd w:val="clear" w:fill="EEF2F7"/>
          </w:tcPr>
          <w:p>
            <w:pPr>
              <w:spacing w:line="288" w:lineRule="auto" w:after="20" w:before="20"/>
            </w:pPr>
            <w:r>
              <w:rPr>
                <w:rFonts w:ascii="Cambria" w:hAnsi="Cambria" w:eastAsia="宋体"/>
                <w:b w:val="0"/>
                <w:i w:val="0"/>
                <w:color w:val="222222"/>
                <w:sz w:val="18"/>
              </w:rPr>
              <w:t>证据标注提升判断一致性</w:t>
            </w:r>
          </w:p>
        </w:tc>
        <w:tc>
          <w:tcPr>
            <w:tcW w:type="dxa" w:w="1644"/>
            <w:shd w:val="clear" w:fill="EEF2F7"/>
          </w:tcPr>
          <w:p>
            <w:pPr>
              <w:spacing w:line="288" w:lineRule="auto" w:after="20" w:before="20"/>
            </w:pPr>
            <w:r>
              <w:rPr>
                <w:rFonts w:ascii="Cambria" w:hAnsi="Cambria" w:eastAsia="宋体"/>
                <w:b w:val="0"/>
                <w:i w:val="0"/>
                <w:color w:val="222222"/>
                <w:sz w:val="18"/>
              </w:rPr>
              <w:t>领域专家群体内有效</w:t>
            </w:r>
          </w:p>
        </w:tc>
        <w:tc>
          <w:tcPr>
            <w:tcW w:type="dxa" w:w="2268"/>
            <w:shd w:val="clear" w:fill="EEF2F7"/>
          </w:tcPr>
          <w:p>
            <w:pPr>
              <w:spacing w:line="288" w:lineRule="auto" w:after="20" w:before="20"/>
            </w:pPr>
            <w:r>
              <w:rPr>
                <w:rFonts w:ascii="Cambria" w:hAnsi="Cambria" w:eastAsia="宋体"/>
                <w:b w:val="0"/>
                <w:i w:val="0"/>
                <w:color w:val="222222"/>
                <w:sz w:val="18"/>
              </w:rPr>
              <w:t>标注与判断质量无相关</w:t>
            </w:r>
          </w:p>
        </w:tc>
        <w:tc>
          <w:tcPr>
            <w:tcW w:type="dxa" w:w="1701"/>
            <w:shd w:val="clear" w:fill="EEF2F7"/>
          </w:tcPr>
          <w:p>
            <w:pPr>
              <w:spacing w:line="288" w:lineRule="auto" w:after="20" w:before="20"/>
            </w:pPr>
            <w:r>
              <w:rPr>
                <w:rFonts w:ascii="Cambria" w:hAnsi="Cambria" w:eastAsia="宋体"/>
                <w:b w:val="0"/>
                <w:i w:val="0"/>
                <w:color w:val="222222"/>
                <w:sz w:val="18"/>
              </w:rPr>
              <w:t>退回定性评估</w:t>
            </w:r>
          </w:p>
        </w:tc>
      </w:tr>
      <w:tr>
        <w:tc>
          <w:tcPr>
            <w:tcW w:type="dxa" w:w="1361"/>
          </w:tcPr>
          <w:p>
            <w:pPr>
              <w:spacing w:line="288" w:lineRule="auto" w:after="20" w:before="20"/>
            </w:pPr>
            <w:r>
              <w:rPr>
                <w:rFonts w:ascii="Cambria" w:hAnsi="Cambria" w:eastAsia="宋体"/>
                <w:b w:val="0"/>
                <w:i w:val="0"/>
                <w:color w:val="222222"/>
                <w:sz w:val="18"/>
              </w:rPr>
              <w:t>L5 方向选择</w:t>
            </w:r>
          </w:p>
        </w:tc>
        <w:tc>
          <w:tcPr>
            <w:tcW w:type="dxa" w:w="1814"/>
          </w:tcPr>
          <w:p>
            <w:pPr>
              <w:spacing w:line="288" w:lineRule="auto" w:after="20" w:before="20"/>
            </w:pPr>
            <w:r>
              <w:rPr>
                <w:rFonts w:ascii="Cambria" w:hAnsi="Cambria" w:eastAsia="宋体"/>
                <w:b w:val="0"/>
                <w:i w:val="0"/>
                <w:color w:val="222222"/>
                <w:sz w:val="18"/>
              </w:rPr>
              <w:t>跨尺度一致者生存更久</w:t>
            </w:r>
          </w:p>
        </w:tc>
        <w:tc>
          <w:tcPr>
            <w:tcW w:type="dxa" w:w="1644"/>
          </w:tcPr>
          <w:p>
            <w:pPr>
              <w:spacing w:line="288" w:lineRule="auto" w:after="20" w:before="20"/>
            </w:pPr>
            <w:r>
              <w:rPr>
                <w:rFonts w:ascii="Cambria" w:hAnsi="Cambria" w:eastAsia="宋体"/>
                <w:b w:val="0"/>
                <w:i w:val="0"/>
                <w:color w:val="222222"/>
                <w:sz w:val="18"/>
              </w:rPr>
              <w:t>特定尺度组合成立</w:t>
            </w:r>
          </w:p>
        </w:tc>
        <w:tc>
          <w:tcPr>
            <w:tcW w:type="dxa" w:w="2268"/>
          </w:tcPr>
          <w:p>
            <w:pPr>
              <w:spacing w:line="288" w:lineRule="auto" w:after="20" w:before="20"/>
            </w:pPr>
            <w:r>
              <w:rPr>
                <w:rFonts w:ascii="Cambria" w:hAnsi="Cambria" w:eastAsia="宋体"/>
                <w:b w:val="0"/>
                <w:i w:val="0"/>
                <w:color w:val="222222"/>
                <w:sz w:val="18"/>
              </w:rPr>
              <w:t>长期背离却无危机（H8 反例）</w:t>
            </w:r>
          </w:p>
        </w:tc>
        <w:tc>
          <w:tcPr>
            <w:tcW w:type="dxa" w:w="1701"/>
          </w:tcPr>
          <w:p>
            <w:pPr>
              <w:spacing w:line="288" w:lineRule="auto" w:after="20" w:before="20"/>
            </w:pPr>
            <w:r>
              <w:rPr>
                <w:rFonts w:ascii="Cambria" w:hAnsi="Cambria" w:eastAsia="宋体"/>
                <w:b w:val="0"/>
                <w:i w:val="0"/>
                <w:color w:val="222222"/>
                <w:sz w:val="18"/>
              </w:rPr>
              <w:t>标记 H8 被证伪，重估五尺度模型</w:t>
            </w:r>
          </w:p>
        </w:tc>
      </w:tr>
      <w:tr>
        <w:tc>
          <w:tcPr>
            <w:tcW w:type="dxa" w:w="1361"/>
            <w:shd w:val="clear" w:fill="EEF2F7"/>
          </w:tcPr>
          <w:p>
            <w:pPr>
              <w:spacing w:line="288" w:lineRule="auto" w:after="20" w:before="20"/>
            </w:pPr>
            <w:r>
              <w:rPr>
                <w:rFonts w:ascii="Cambria" w:hAnsi="Cambria" w:eastAsia="宋体"/>
                <w:b w:val="0"/>
                <w:i w:val="0"/>
                <w:color w:val="222222"/>
                <w:sz w:val="18"/>
              </w:rPr>
              <w:t>L6 反思与审视递归</w:t>
            </w:r>
          </w:p>
        </w:tc>
        <w:tc>
          <w:tcPr>
            <w:tcW w:type="dxa" w:w="1814"/>
            <w:shd w:val="clear" w:fill="EEF2F7"/>
          </w:tcPr>
          <w:p>
            <w:pPr>
              <w:spacing w:line="288" w:lineRule="auto" w:after="20" w:before="20"/>
            </w:pPr>
            <w:r>
              <w:rPr>
                <w:rFonts w:ascii="Cambria" w:hAnsi="Cambria" w:eastAsia="宋体"/>
                <w:b w:val="0"/>
                <w:i w:val="0"/>
                <w:color w:val="222222"/>
                <w:sz w:val="18"/>
              </w:rPr>
              <w:t>归零缓解僵化</w:t>
            </w:r>
          </w:p>
        </w:tc>
        <w:tc>
          <w:tcPr>
            <w:tcW w:type="dxa" w:w="1644"/>
            <w:shd w:val="clear" w:fill="EEF2F7"/>
          </w:tcPr>
          <w:p>
            <w:pPr>
              <w:spacing w:line="288" w:lineRule="auto" w:after="20" w:before="20"/>
            </w:pPr>
            <w:r>
              <w:rPr>
                <w:rFonts w:ascii="Cambria" w:hAnsi="Cambria" w:eastAsia="宋体"/>
                <w:b w:val="0"/>
                <w:i w:val="0"/>
                <w:color w:val="222222"/>
                <w:sz w:val="18"/>
              </w:rPr>
              <w:t>案例层面成立</w:t>
            </w:r>
          </w:p>
        </w:tc>
        <w:tc>
          <w:tcPr>
            <w:tcW w:type="dxa" w:w="2268"/>
            <w:shd w:val="clear" w:fill="EEF2F7"/>
          </w:tcPr>
          <w:p>
            <w:pPr>
              <w:spacing w:line="288" w:lineRule="auto" w:after="20" w:before="20"/>
            </w:pPr>
            <w:r>
              <w:rPr>
                <w:rFonts w:ascii="Cambria" w:hAnsi="Cambria" w:eastAsia="宋体"/>
                <w:b w:val="0"/>
                <w:i w:val="0"/>
                <w:color w:val="222222"/>
                <w:sz w:val="18"/>
              </w:rPr>
              <w:t>RCT 无显著差异（d&lt;0.3）</w:t>
            </w:r>
          </w:p>
        </w:tc>
        <w:tc>
          <w:tcPr>
            <w:tcW w:type="dxa" w:w="1701"/>
            <w:shd w:val="clear" w:fill="EEF2F7"/>
          </w:tcPr>
          <w:p>
            <w:pPr>
              <w:spacing w:line="288" w:lineRule="auto" w:after="20" w:before="20"/>
            </w:pPr>
            <w:r>
              <w:rPr>
                <w:rFonts w:ascii="Cambria" w:hAnsi="Cambria" w:eastAsia="宋体"/>
                <w:b w:val="0"/>
                <w:i w:val="0"/>
                <w:color w:val="222222"/>
                <w:sz w:val="18"/>
              </w:rPr>
              <w:t>放弃有效性主张，仅保留为操作规程</w:t>
            </w:r>
          </w:p>
        </w:tc>
      </w:tr>
    </w:tbl>
    <w:p>
      <w:pPr>
        <w:spacing w:line="240" w:lineRule="auto" w:before="0" w:after="160"/>
      </w:pPr>
    </w:p>
    <w:p>
      <w:pPr>
        <w:spacing w:line="288" w:lineRule="auto" w:before="200" w:after="60"/>
      </w:pPr>
      <w:r>
        <w:rPr>
          <w:rFonts w:ascii="Arial" w:hAnsi="Arial" w:eastAsia="黑体"/>
          <w:b/>
          <w:i w:val="0"/>
          <w:color w:val="1B3A5C"/>
          <w:sz w:val="22"/>
        </w:rPr>
        <w:t>三、边界</w:t>
      </w:r>
      <w:r>
        <w:rPr>
          <w:rFonts w:ascii="Arial" w:hAnsi="Arial" w:eastAsia="黑体"/>
          <w:b w:val="0"/>
          <w:i w:val="0"/>
          <w:color w:val="7A8CA3"/>
          <w:sz w:val="18"/>
        </w:rPr>
        <w:t xml:space="preserve">　[Boundaries]</w:t>
      </w:r>
    </w:p>
    <w:p>
      <w:pPr>
        <w:spacing w:line="336" w:lineRule="auto" w:before="0" w:after="40"/>
        <w:ind w:left="420"/>
      </w:pPr>
      <w:r>
        <w:rPr>
          <w:rFonts w:ascii="Cambria" w:hAnsi="Cambria" w:eastAsia="宋体"/>
          <w:b w:val="0"/>
          <w:i w:val="0"/>
          <w:color w:val="222222"/>
          <w:sz w:val="23"/>
        </w:rPr>
        <w:t>· 不适用于无主体系统。纯物理系统不适用。</w:t>
      </w:r>
    </w:p>
    <w:p>
      <w:pPr>
        <w:spacing w:line="312" w:lineRule="auto" w:before="0" w:after="120"/>
        <w:ind w:left="624"/>
      </w:pPr>
      <w:r>
        <w:rPr>
          <w:rFonts w:ascii="Cambria" w:hAnsi="Cambria" w:eastAsia="宋体"/>
          <w:b w:val="0"/>
          <w:i w:val="0"/>
          <w:color w:val="4A5A70"/>
          <w:sz w:val="21"/>
        </w:rPr>
        <w:t>Not applicable to subject-less systems. Purely physical systems are out of scope.</w:t>
      </w:r>
    </w:p>
    <w:p>
      <w:pPr>
        <w:spacing w:line="336" w:lineRule="auto" w:before="0" w:after="40"/>
        <w:ind w:left="420"/>
      </w:pPr>
      <w:r>
        <w:rPr>
          <w:rFonts w:ascii="Cambria" w:hAnsi="Cambria" w:eastAsia="宋体"/>
          <w:b w:val="0"/>
          <w:i w:val="0"/>
          <w:color w:val="222222"/>
          <w:sz w:val="23"/>
        </w:rPr>
        <w:t>· 不能替代领域专业知识。本框架提供方向性判断，不替代医学、工程等专业判断。</w:t>
      </w:r>
    </w:p>
    <w:p>
      <w:pPr>
        <w:spacing w:line="312" w:lineRule="auto" w:before="0" w:after="120"/>
        <w:ind w:left="624"/>
      </w:pPr>
      <w:r>
        <w:rPr>
          <w:rFonts w:ascii="Cambria" w:hAnsi="Cambria" w:eastAsia="宋体"/>
          <w:b w:val="0"/>
          <w:i w:val="0"/>
          <w:color w:val="4A5A70"/>
          <w:sz w:val="21"/>
        </w:rPr>
        <w:t>It cannot replace domain expertise. The framework offers directional judgment and does not replace medical, engineering, or other professional judgment.</w:t>
      </w:r>
    </w:p>
    <w:p>
      <w:pPr>
        <w:spacing w:line="336" w:lineRule="auto" w:before="0" w:after="40"/>
        <w:ind w:left="420"/>
      </w:pPr>
      <w:r>
        <w:rPr>
          <w:rFonts w:ascii="Cambria" w:hAnsi="Cambria" w:eastAsia="宋体"/>
          <w:b w:val="0"/>
          <w:i w:val="0"/>
          <w:color w:val="222222"/>
          <w:sz w:val="23"/>
        </w:rPr>
        <w:t>· 不承诺「正确答案」。它提供「更值得的方向」，而不是唯一答案。</w:t>
      </w:r>
    </w:p>
    <w:p>
      <w:pPr>
        <w:spacing w:line="312" w:lineRule="auto" w:before="0" w:after="120"/>
        <w:ind w:left="624"/>
      </w:pPr>
      <w:r>
        <w:rPr>
          <w:rFonts w:ascii="Cambria" w:hAnsi="Cambria" w:eastAsia="宋体"/>
          <w:b w:val="0"/>
          <w:i w:val="0"/>
          <w:color w:val="4A5A70"/>
          <w:sz w:val="21"/>
        </w:rPr>
        <w:t>It promises no "correct answer". It offers a more worth-going direction, not a unique answer.</w:t>
      </w:r>
    </w:p>
    <w:p>
      <w:pPr>
        <w:spacing w:line="336" w:lineRule="auto" w:before="0" w:after="40"/>
        <w:ind w:left="420"/>
      </w:pPr>
      <w:r>
        <w:rPr>
          <w:rFonts w:ascii="Cambria" w:hAnsi="Cambria" w:eastAsia="宋体"/>
          <w:b w:val="0"/>
          <w:i w:val="0"/>
          <w:color w:val="222222"/>
          <w:sz w:val="23"/>
        </w:rPr>
        <w:t>· 文化敏感性。具体操作需适配文化背景。</w:t>
      </w:r>
    </w:p>
    <w:p>
      <w:pPr>
        <w:spacing w:line="312" w:lineRule="auto" w:before="0" w:after="120"/>
        <w:ind w:left="624"/>
      </w:pPr>
      <w:r>
        <w:rPr>
          <w:rFonts w:ascii="Cambria" w:hAnsi="Cambria" w:eastAsia="宋体"/>
          <w:b w:val="0"/>
          <w:i w:val="0"/>
          <w:color w:val="4A5A70"/>
          <w:sz w:val="21"/>
        </w:rPr>
        <w:t>Cultural sensitivity. Concrete practices must be adapted to cultural context.</w:t>
      </w:r>
    </w:p>
    <w:p>
      <w:pPr>
        <w:spacing w:line="336" w:lineRule="auto" w:before="0" w:after="40"/>
        <w:ind w:left="420"/>
      </w:pPr>
      <w:r>
        <w:rPr>
          <w:rFonts w:ascii="Cambria" w:hAnsi="Cambria" w:eastAsia="宋体"/>
          <w:b w:val="0"/>
          <w:i w:val="0"/>
          <w:color w:val="222222"/>
          <w:sz w:val="23"/>
        </w:rPr>
        <w:t>· 元认知的限度。过度元认知可导致决策瘫痪。</w:t>
      </w:r>
    </w:p>
    <w:p>
      <w:pPr>
        <w:spacing w:line="312" w:lineRule="auto" w:before="0" w:after="120"/>
        <w:ind w:left="624"/>
      </w:pPr>
      <w:r>
        <w:rPr>
          <w:rFonts w:ascii="Cambria" w:hAnsi="Cambria" w:eastAsia="宋体"/>
          <w:b w:val="0"/>
          <w:i w:val="0"/>
          <w:color w:val="4A5A70"/>
          <w:sz w:val="21"/>
        </w:rPr>
        <w:t>Limits of metacognition. Excessive metacognition can cause decision paralysis.</w:t>
      </w:r>
    </w:p>
    <w:p>
      <w:pPr>
        <w:spacing w:line="336" w:lineRule="auto" w:before="0" w:after="40"/>
        <w:ind w:left="420"/>
      </w:pPr>
      <w:r>
        <w:rPr>
          <w:rFonts w:ascii="Cambria" w:hAnsi="Cambria" w:eastAsia="宋体"/>
          <w:b w:val="0"/>
          <w:i w:val="0"/>
          <w:color w:val="222222"/>
          <w:sz w:val="23"/>
        </w:rPr>
        <w:t>· 本白皮书新增的边界：六层栈本身是 E0 结构，其分层方式可能被证明不是最优切分。若出现更简洁且解释力更强的切分，应替换而非辩护。</w:t>
      </w:r>
    </w:p>
    <w:p>
      <w:pPr>
        <w:spacing w:line="312" w:lineRule="auto" w:before="0" w:after="120"/>
        <w:ind w:left="624"/>
      </w:pPr>
      <w:r>
        <w:rPr>
          <w:rFonts w:ascii="Cambria" w:hAnsi="Cambria" w:eastAsia="宋体"/>
          <w:b w:val="0"/>
          <w:i w:val="0"/>
          <w:color w:val="4A5A70"/>
          <w:sz w:val="21"/>
        </w:rPr>
        <w:t>A boundary added by this white paper: the six-layer stack itself is an E0 structure, and its partition may prove not to be the optimal cut. If a simpler partition with greater explanatory power emerges, it should replace this one rather than be defended.</w:t>
      </w:r>
    </w:p>
    <w:p>
      <w:pPr>
        <w:spacing w:line="300" w:lineRule="auto" w:before="320" w:after="140"/>
      </w:pPr>
      <w:r>
        <w:rPr>
          <w:rFonts w:ascii="Arial" w:hAnsi="Arial" w:eastAsia="黑体"/>
          <w:b/>
          <w:i w:val="0"/>
          <w:color w:val="1B3A5C"/>
          <w:sz w:val="34"/>
        </w:rPr>
        <w:t>如何开始</w:t>
      </w:r>
      <w:r>
        <w:rPr>
          <w:rFonts w:ascii="Arial" w:hAnsi="Arial" w:eastAsia="黑体"/>
          <w:b w:val="0"/>
          <w:i w:val="0"/>
          <w:color w:val="1B3A5C"/>
          <w:sz w:val="24"/>
        </w:rPr>
        <w:t xml:space="preserve">　Getting Started</w:t>
      </w:r>
    </w:p>
    <w:p>
      <w:pPr>
        <w:spacing w:line="288" w:lineRule="auto" w:before="200" w:after="60"/>
      </w:pPr>
      <w:r>
        <w:rPr>
          <w:rFonts w:ascii="Arial" w:hAnsi="Arial" w:eastAsia="黑体"/>
          <w:b/>
          <w:i w:val="0"/>
          <w:color w:val="1B3A5C"/>
          <w:sz w:val="22"/>
        </w:rPr>
        <w:t>个人版：今天就能做的四步</w:t>
      </w:r>
      <w:r>
        <w:rPr>
          <w:rFonts w:ascii="Arial" w:hAnsi="Arial" w:eastAsia="黑体"/>
          <w:b w:val="0"/>
          <w:i w:val="0"/>
          <w:color w:val="7A8CA3"/>
          <w:sz w:val="18"/>
        </w:rPr>
        <w:t xml:space="preserve">　[Individual: Four Steps You Can Take Today]</w:t>
      </w:r>
    </w:p>
    <w:p>
      <w:pPr>
        <w:spacing w:line="336" w:lineRule="auto" w:before="0" w:after="40"/>
        <w:ind w:left="420"/>
      </w:pPr>
      <w:r>
        <w:rPr>
          <w:rFonts w:ascii="Cambria" w:hAnsi="Cambria" w:eastAsia="宋体"/>
          <w:b w:val="0"/>
          <w:i w:val="0"/>
          <w:color w:val="222222"/>
          <w:sz w:val="23"/>
        </w:rPr>
        <w:t>· 选一个你最近没搞懂的概念，先只做 L1：压到 300 字以内，并写出「待决问题」清单。</w:t>
      </w:r>
    </w:p>
    <w:p>
      <w:pPr>
        <w:spacing w:line="312" w:lineRule="auto" w:before="0" w:after="120"/>
        <w:ind w:left="624"/>
      </w:pPr>
      <w:r>
        <w:rPr>
          <w:rFonts w:ascii="Cambria" w:hAnsi="Cambria" w:eastAsia="宋体"/>
          <w:b w:val="0"/>
          <w:i w:val="0"/>
          <w:color w:val="4A5A70"/>
          <w:sz w:val="21"/>
        </w:rPr>
        <w:t>Pick a concept you have recently failed to understand and do only L1: compress it under 300 characters/words and write the "open questions" list.</w:t>
      </w:r>
    </w:p>
    <w:p>
      <w:pPr>
        <w:spacing w:line="336" w:lineRule="auto" w:before="0" w:after="40"/>
        <w:ind w:left="420"/>
      </w:pPr>
      <w:r>
        <w:rPr>
          <w:rFonts w:ascii="Cambria" w:hAnsi="Cambria" w:eastAsia="宋体"/>
          <w:b w:val="0"/>
          <w:i w:val="0"/>
          <w:color w:val="222222"/>
          <w:sz w:val="23"/>
        </w:rPr>
        <w:t>· 为它做一个可交互的最小产物，暴露一个可改变的参数（L2）。</w:t>
      </w:r>
    </w:p>
    <w:p>
      <w:pPr>
        <w:spacing w:line="312" w:lineRule="auto" w:before="0" w:after="120"/>
        <w:ind w:left="624"/>
      </w:pPr>
      <w:r>
        <w:rPr>
          <w:rFonts w:ascii="Cambria" w:hAnsi="Cambria" w:eastAsia="宋体"/>
          <w:b w:val="0"/>
          <w:i w:val="0"/>
          <w:color w:val="4A5A70"/>
          <w:sz w:val="21"/>
        </w:rPr>
        <w:t>Build a minimal interactive artifact for it that exposes one changeable parameter (L2).</w:t>
      </w:r>
    </w:p>
    <w:p>
      <w:pPr>
        <w:spacing w:line="336" w:lineRule="auto" w:before="0" w:after="40"/>
        <w:ind w:left="420"/>
      </w:pPr>
      <w:r>
        <w:rPr>
          <w:rFonts w:ascii="Cambria" w:hAnsi="Cambria" w:eastAsia="宋体"/>
          <w:b w:val="0"/>
          <w:i w:val="0"/>
          <w:color w:val="222222"/>
          <w:sz w:val="23"/>
        </w:rPr>
        <w:t>· 按方向／价值／边界三问写出候选意义，并给每条标注证据等级与证伪条件（L3–L4）。</w:t>
      </w:r>
    </w:p>
    <w:p>
      <w:pPr>
        <w:spacing w:line="312" w:lineRule="auto" w:before="0" w:after="120"/>
        <w:ind w:left="624"/>
      </w:pPr>
      <w:r>
        <w:rPr>
          <w:rFonts w:ascii="Cambria" w:hAnsi="Cambria" w:eastAsia="宋体"/>
          <w:b w:val="0"/>
          <w:i w:val="0"/>
          <w:color w:val="4A5A70"/>
          <w:sz w:val="21"/>
        </w:rPr>
        <w:t>Write candidate meanings using the direction / value / boundary questions, and label each with an evidence level and a falsification condition (L3–L4).</w:t>
      </w:r>
    </w:p>
    <w:p>
      <w:pPr>
        <w:spacing w:line="336" w:lineRule="auto" w:before="0" w:after="40"/>
        <w:ind w:left="420"/>
      </w:pPr>
      <w:r>
        <w:rPr>
          <w:rFonts w:ascii="Cambria" w:hAnsi="Cambria" w:eastAsia="宋体"/>
          <w:b w:val="0"/>
          <w:i w:val="0"/>
          <w:color w:val="222222"/>
          <w:sz w:val="23"/>
        </w:rPr>
        <w:t>· 设定一个归零日期，写下「到期时我凭什么判断这个方向仍然成立」（L5–L6）。</w:t>
      </w:r>
    </w:p>
    <w:p>
      <w:pPr>
        <w:spacing w:line="312" w:lineRule="auto" w:before="0" w:after="120"/>
        <w:ind w:left="624"/>
      </w:pPr>
      <w:r>
        <w:rPr>
          <w:rFonts w:ascii="Cambria" w:hAnsi="Cambria" w:eastAsia="宋体"/>
          <w:b w:val="0"/>
          <w:i w:val="0"/>
          <w:color w:val="4A5A70"/>
          <w:sz w:val="21"/>
        </w:rPr>
        <w:t>Set a zeroing date and write down "on that date, on what grounds would I judge this direction still holds" (L5–L6).</w:t>
      </w:r>
    </w:p>
    <w:p>
      <w:pPr>
        <w:spacing w:line="288" w:lineRule="auto" w:before="200" w:after="60"/>
      </w:pPr>
      <w:r>
        <w:rPr>
          <w:rFonts w:ascii="Arial" w:hAnsi="Arial" w:eastAsia="黑体"/>
          <w:b/>
          <w:i w:val="0"/>
          <w:color w:val="1B3A5C"/>
          <w:sz w:val="22"/>
        </w:rPr>
        <w:t>组织版：本季度</w:t>
      </w:r>
      <w:r>
        <w:rPr>
          <w:rFonts w:ascii="Arial" w:hAnsi="Arial" w:eastAsia="黑体"/>
          <w:b w:val="0"/>
          <w:i w:val="0"/>
          <w:color w:val="7A8CA3"/>
          <w:sz w:val="18"/>
        </w:rPr>
        <w:t xml:space="preserve">　[Organizational: This Quarter]</w:t>
      </w:r>
    </w:p>
    <w:p>
      <w:pPr>
        <w:spacing w:line="336" w:lineRule="auto" w:before="0" w:after="40"/>
        <w:ind w:left="420"/>
      </w:pPr>
      <w:r>
        <w:rPr>
          <w:rFonts w:ascii="Cambria" w:hAnsi="Cambria" w:eastAsia="宋体"/>
          <w:b w:val="0"/>
          <w:i w:val="0"/>
          <w:color w:val="222222"/>
          <w:sz w:val="23"/>
        </w:rPr>
        <w:t>· 选一个正在推进的方向，做一次完整五尺度检查，并显式写出各级偏离阈值。</w:t>
      </w:r>
    </w:p>
    <w:p>
      <w:pPr>
        <w:spacing w:line="312" w:lineRule="auto" w:before="0" w:after="120"/>
        <w:ind w:left="624"/>
      </w:pPr>
      <w:r>
        <w:rPr>
          <w:rFonts w:ascii="Cambria" w:hAnsi="Cambria" w:eastAsia="宋体"/>
          <w:b w:val="0"/>
          <w:i w:val="0"/>
          <w:color w:val="4A5A70"/>
          <w:sz w:val="21"/>
        </w:rPr>
        <w:t>Take one direction currently being pursued, run a full five-scale check, and write out the deviation thresholds at each level.</w:t>
      </w:r>
    </w:p>
    <w:p>
      <w:pPr>
        <w:spacing w:line="336" w:lineRule="auto" w:before="0" w:after="40"/>
        <w:ind w:left="420"/>
      </w:pPr>
      <w:r>
        <w:rPr>
          <w:rFonts w:ascii="Cambria" w:hAnsi="Cambria" w:eastAsia="宋体"/>
          <w:b w:val="0"/>
          <w:i w:val="0"/>
          <w:color w:val="222222"/>
          <w:sz w:val="23"/>
        </w:rPr>
        <w:t>· 把「使命压力测试」与「组织归零协议」（A.4／A.5）纳入季度节奏。</w:t>
      </w:r>
    </w:p>
    <w:p>
      <w:pPr>
        <w:spacing w:line="312" w:lineRule="auto" w:before="0" w:after="120"/>
        <w:ind w:left="624"/>
      </w:pPr>
      <w:r>
        <w:rPr>
          <w:rFonts w:ascii="Cambria" w:hAnsi="Cambria" w:eastAsia="宋体"/>
          <w:b w:val="0"/>
          <w:i w:val="0"/>
          <w:color w:val="4A5A70"/>
          <w:sz w:val="21"/>
        </w:rPr>
        <w:t>Bring the Mission Stress Test and the Organizational Zeroing Protocol (A.4 / A.5) into the quarterly rhythm.</w:t>
      </w:r>
    </w:p>
    <w:p>
      <w:pPr>
        <w:spacing w:line="336" w:lineRule="auto" w:before="0" w:after="40"/>
        <w:ind w:left="420"/>
      </w:pPr>
      <w:r>
        <w:rPr>
          <w:rFonts w:ascii="Cambria" w:hAnsi="Cambria" w:eastAsia="宋体"/>
          <w:b w:val="0"/>
          <w:i w:val="0"/>
          <w:color w:val="222222"/>
          <w:sz w:val="23"/>
        </w:rPr>
        <w:t>· 建立一张失败矩阵看板：把本组织依赖的关键假设及其证伪条件写在墙上。</w:t>
      </w:r>
    </w:p>
    <w:p>
      <w:pPr>
        <w:spacing w:line="312" w:lineRule="auto" w:before="0" w:after="120"/>
        <w:ind w:left="624"/>
      </w:pPr>
      <w:r>
        <w:rPr>
          <w:rFonts w:ascii="Cambria" w:hAnsi="Cambria" w:eastAsia="宋体"/>
          <w:b w:val="0"/>
          <w:i w:val="0"/>
          <w:color w:val="4A5A70"/>
          <w:sz w:val="21"/>
        </w:rPr>
        <w:t>Build a failure-matrix board: write the key assumptions the organization relies on, together with their falsification conditions, on the wall.</w:t>
      </w:r>
    </w:p>
    <w:p>
      <w:pPr>
        <w:spacing w:line="300" w:lineRule="auto" w:before="320" w:after="140"/>
      </w:pPr>
      <w:r>
        <w:rPr>
          <w:rFonts w:ascii="Arial" w:hAnsi="Arial" w:eastAsia="黑体"/>
          <w:b/>
          <w:i w:val="0"/>
          <w:color w:val="1B3A5C"/>
          <w:sz w:val="34"/>
        </w:rPr>
        <w:t>Claim Registry 摘要</w:t>
      </w:r>
      <w:r>
        <w:rPr>
          <w:rFonts w:ascii="Arial" w:hAnsi="Arial" w:eastAsia="黑体"/>
          <w:b w:val="0"/>
          <w:i w:val="0"/>
          <w:color w:val="1B3A5C"/>
          <w:sz w:val="24"/>
        </w:rPr>
        <w:t xml:space="preserve">　Claim Registry — Summary</w:t>
      </w:r>
    </w:p>
    <w:p>
      <w:pPr>
        <w:spacing w:line="312" w:lineRule="auto" w:before="80" w:after="60"/>
      </w:pPr>
      <w:r>
        <w:rPr>
          <w:rFonts w:ascii="Cambria" w:hAnsi="Cambria" w:eastAsia="宋体"/>
          <w:b w:val="0"/>
          <w:i w:val="0"/>
          <w:color w:val="4A5A70"/>
          <w:sz w:val="19"/>
        </w:rPr>
        <w:t>每个理论主张在此有一个唯一 ID。论文、网站、实验、工具都应引用 claim ID（如 MI-C003），而非笼统引用「L6」或「六层栈」。完整版（含测试方式与失败条件）见仓库 docs/claims.md。</w:t>
      </w:r>
    </w:p>
    <w:p>
      <w:pPr>
        <w:spacing w:line="300" w:lineRule="auto" w:before="0" w:after="160"/>
      </w:pPr>
      <w:r>
        <w:rPr>
          <w:rFonts w:ascii="Cambria" w:hAnsi="Cambria" w:eastAsia="宋体"/>
          <w:b w:val="0"/>
          <w:i w:val="0"/>
          <w:color w:val="7A8CA3"/>
          <w:sz w:val="18"/>
        </w:rPr>
        <w:t>Every theoretical claim has a unique ID here. Papers, websites, experiments, and tools should reference the claim ID (e.g., MI-C003), not loosely reference L6 or the six-layer stack. The full version with test methods and falsification criteria lives at docs/claims.md in the repository.</w:t>
      </w:r>
    </w:p>
    <w:p>
      <w:pPr>
        <w:spacing w:line="288" w:lineRule="auto" w:before="240" w:after="80"/>
      </w:pPr>
      <w:r>
        <w:rPr>
          <w:rFonts w:ascii="Arial" w:hAnsi="Arial" w:eastAsia="黑体"/>
          <w:b/>
          <w:i w:val="0"/>
          <w:color w:val="1B3A5C"/>
          <w:sz w:val="22"/>
        </w:rPr>
        <w:t>表 8　Claim Registry 摘要</w:t>
      </w:r>
      <w:r>
        <w:rPr>
          <w:rFonts w:ascii="Arial" w:hAnsi="Arial" w:eastAsia="黑体"/>
          <w:b w:val="0"/>
          <w:i w:val="0"/>
          <w:color w:val="7A8CA3"/>
          <w:sz w:val="17"/>
        </w:rPr>
        <w:t xml:space="preserve">  |  Table 8  Claim Registry — Summary</w:t>
      </w:r>
    </w:p>
    <w:tbl>
      <w:tblPr>
        <w:tblStyle w:val="TableGrid"/>
        <w:tblW w:type="auto" w:w="0"/>
        <w:jc w:val="center"/>
        <w:tblLayout w:type="fixed"/>
        <w:tblLook w:firstColumn="1" w:firstRow="1" w:lastColumn="0" w:lastRow="0" w:noHBand="0" w:noVBand="1" w:val="04A0"/>
        <w:tblLayout w:type="fixed"/>
      </w:tblPr>
      <w:tblGrid>
        <w:gridCol w:w="1020"/>
        <w:gridCol w:w="4252"/>
        <w:gridCol w:w="850"/>
        <w:gridCol w:w="1247"/>
      </w:tblGrid>
      <w:tr>
        <w:tc>
          <w:tcPr>
            <w:tcW w:type="dxa" w:w="1020"/>
            <w:shd w:val="clear" w:fill="1B3A5C"/>
          </w:tcPr>
          <w:p>
            <w:pPr>
              <w:spacing w:line="276" w:lineRule="auto" w:after="20" w:before="20"/>
            </w:pPr>
            <w:r>
              <w:rPr>
                <w:rFonts w:ascii="Arial" w:hAnsi="Arial" w:eastAsia="黑体"/>
                <w:b/>
                <w:i w:val="0"/>
                <w:color w:val="FFFFFF"/>
                <w:sz w:val="19"/>
              </w:rPr>
              <w:t>ID</w:t>
            </w:r>
          </w:p>
        </w:tc>
        <w:tc>
          <w:tcPr>
            <w:tcW w:type="dxa" w:w="4252"/>
            <w:shd w:val="clear" w:fill="1B3A5C"/>
          </w:tcPr>
          <w:p>
            <w:pPr>
              <w:spacing w:line="276" w:lineRule="auto" w:after="20" w:before="20"/>
            </w:pPr>
            <w:r>
              <w:rPr>
                <w:rFonts w:ascii="Arial" w:hAnsi="Arial" w:eastAsia="黑体"/>
                <w:b/>
                <w:i w:val="0"/>
                <w:color w:val="FFFFFF"/>
                <w:sz w:val="19"/>
              </w:rPr>
              <w:t>陈述（摘要）</w:t>
            </w:r>
          </w:p>
        </w:tc>
        <w:tc>
          <w:tcPr>
            <w:tcW w:type="dxa" w:w="850"/>
            <w:shd w:val="clear" w:fill="1B3A5C"/>
          </w:tcPr>
          <w:p>
            <w:pPr>
              <w:spacing w:line="276" w:lineRule="auto" w:after="20" w:before="20"/>
            </w:pPr>
            <w:r>
              <w:rPr>
                <w:rFonts w:ascii="Arial" w:hAnsi="Arial" w:eastAsia="黑体"/>
                <w:b/>
                <w:i w:val="0"/>
                <w:color w:val="FFFFFF"/>
                <w:sz w:val="19"/>
              </w:rPr>
              <w:t>证据</w:t>
            </w:r>
          </w:p>
        </w:tc>
        <w:tc>
          <w:tcPr>
            <w:tcW w:type="dxa" w:w="1247"/>
            <w:shd w:val="clear" w:fill="1B3A5C"/>
          </w:tcPr>
          <w:p>
            <w:pPr>
              <w:spacing w:line="276" w:lineRule="auto" w:after="20" w:before="20"/>
            </w:pPr>
            <w:r>
              <w:rPr>
                <w:rFonts w:ascii="Arial" w:hAnsi="Arial" w:eastAsia="黑体"/>
                <w:b/>
                <w:i w:val="0"/>
                <w:color w:val="FFFFFF"/>
                <w:sz w:val="19"/>
              </w:rPr>
              <w:t>状态</w:t>
            </w:r>
          </w:p>
        </w:tc>
      </w:tr>
      <w:tr>
        <w:tc>
          <w:tcPr>
            <w:tcW w:type="dxa" w:w="1020"/>
          </w:tcPr>
          <w:p>
            <w:pPr>
              <w:spacing w:line="288" w:lineRule="auto" w:after="20" w:before="20"/>
            </w:pPr>
            <w:r>
              <w:rPr>
                <w:rFonts w:ascii="Cambria" w:hAnsi="Cambria" w:eastAsia="宋体"/>
                <w:b w:val="0"/>
                <w:i w:val="0"/>
                <w:color w:val="222222"/>
                <w:sz w:val="18"/>
              </w:rPr>
              <w:t>MI-C001</w:t>
            </w:r>
          </w:p>
        </w:tc>
        <w:tc>
          <w:tcPr>
            <w:tcW w:type="dxa" w:w="4252"/>
          </w:tcPr>
          <w:p>
            <w:pPr>
              <w:spacing w:line="288" w:lineRule="auto" w:after="20" w:before="20"/>
            </w:pPr>
            <w:r>
              <w:rPr>
                <w:rFonts w:ascii="Cambria" w:hAnsi="Cambria" w:eastAsia="宋体"/>
                <w:b w:val="0"/>
                <w:i w:val="0"/>
                <w:color w:val="222222"/>
                <w:sz w:val="18"/>
              </w:rPr>
              <w:t>意义智能是对其他智能活动的方向性调控</w:t>
            </w:r>
          </w:p>
        </w:tc>
        <w:tc>
          <w:tcPr>
            <w:tcW w:type="dxa" w:w="850"/>
          </w:tcPr>
          <w:p>
            <w:pPr>
              <w:spacing w:line="288" w:lineRule="auto" w:after="20" w:before="20"/>
            </w:pPr>
            <w:r>
              <w:rPr>
                <w:rFonts w:ascii="Cambria" w:hAnsi="Cambria" w:eastAsia="宋体"/>
                <w:b w:val="0"/>
                <w:i w:val="0"/>
                <w:color w:val="222222"/>
                <w:sz w:val="18"/>
              </w:rPr>
              <w:t>E1</w:t>
            </w:r>
          </w:p>
        </w:tc>
        <w:tc>
          <w:tcPr>
            <w:tcW w:type="dxa" w:w="1247"/>
          </w:tcPr>
          <w:p>
            <w:pPr>
              <w:spacing w:line="288" w:lineRule="auto" w:after="20" w:before="20"/>
            </w:pPr>
            <w:r>
              <w:rPr>
                <w:rFonts w:ascii="Cambria" w:hAnsi="Cambria" w:eastAsia="宋体"/>
                <w:b w:val="0"/>
                <w:i w:val="0"/>
                <w:color w:val="222222"/>
                <w:sz w:val="18"/>
              </w:rPr>
              <w:t>Formalized</w:t>
            </w:r>
          </w:p>
        </w:tc>
      </w:tr>
      <w:tr>
        <w:tc>
          <w:tcPr>
            <w:tcW w:type="dxa" w:w="1020"/>
            <w:shd w:val="clear" w:fill="EEF2F7"/>
          </w:tcPr>
          <w:p>
            <w:pPr>
              <w:spacing w:line="288" w:lineRule="auto" w:after="20" w:before="20"/>
            </w:pPr>
            <w:r>
              <w:rPr>
                <w:rFonts w:ascii="Cambria" w:hAnsi="Cambria" w:eastAsia="宋体"/>
                <w:b w:val="0"/>
                <w:i w:val="0"/>
                <w:color w:val="222222"/>
                <w:sz w:val="18"/>
              </w:rPr>
              <w:t>MI-C002</w:t>
            </w:r>
          </w:p>
        </w:tc>
        <w:tc>
          <w:tcPr>
            <w:tcW w:type="dxa" w:w="4252"/>
            <w:shd w:val="clear" w:fill="EEF2F7"/>
          </w:tcPr>
          <w:p>
            <w:pPr>
              <w:spacing w:line="288" w:lineRule="auto" w:after="20" w:before="20"/>
            </w:pPr>
            <w:r>
              <w:rPr>
                <w:rFonts w:ascii="Cambria" w:hAnsi="Cambria" w:eastAsia="宋体"/>
                <w:b w:val="0"/>
                <w:i w:val="0"/>
                <w:color w:val="222222"/>
                <w:sz w:val="18"/>
              </w:rPr>
              <w:t>意义智能是元层，不与 IQ/EQ/SQ 并列</w:t>
            </w:r>
          </w:p>
        </w:tc>
        <w:tc>
          <w:tcPr>
            <w:tcW w:type="dxa" w:w="850"/>
            <w:shd w:val="clear" w:fill="EEF2F7"/>
          </w:tcPr>
          <w:p>
            <w:pPr>
              <w:spacing w:line="288" w:lineRule="auto" w:after="20" w:before="20"/>
            </w:pPr>
            <w:r>
              <w:rPr>
                <w:rFonts w:ascii="Cambria" w:hAnsi="Cambria" w:eastAsia="宋体"/>
                <w:b w:val="0"/>
                <w:i w:val="0"/>
                <w:color w:val="222222"/>
                <w:sz w:val="18"/>
              </w:rPr>
              <w:t>E1</w:t>
            </w:r>
          </w:p>
        </w:tc>
        <w:tc>
          <w:tcPr>
            <w:tcW w:type="dxa" w:w="1247"/>
            <w:shd w:val="clear" w:fill="EEF2F7"/>
          </w:tcPr>
          <w:p>
            <w:pPr>
              <w:spacing w:line="288" w:lineRule="auto" w:after="20" w:before="20"/>
            </w:pPr>
            <w:r>
              <w:rPr>
                <w:rFonts w:ascii="Cambria" w:hAnsi="Cambria" w:eastAsia="宋体"/>
                <w:b w:val="0"/>
                <w:i w:val="0"/>
                <w:color w:val="222222"/>
                <w:sz w:val="18"/>
              </w:rPr>
              <w:t>Formalized</w:t>
            </w:r>
          </w:p>
        </w:tc>
      </w:tr>
      <w:tr>
        <w:tc>
          <w:tcPr>
            <w:tcW w:type="dxa" w:w="1020"/>
          </w:tcPr>
          <w:p>
            <w:pPr>
              <w:spacing w:line="288" w:lineRule="auto" w:after="20" w:before="20"/>
            </w:pPr>
            <w:r>
              <w:rPr>
                <w:rFonts w:ascii="Cambria" w:hAnsi="Cambria" w:eastAsia="宋体"/>
                <w:b w:val="0"/>
                <w:i w:val="0"/>
                <w:color w:val="222222"/>
                <w:sz w:val="18"/>
              </w:rPr>
              <w:t>MI-C003</w:t>
            </w:r>
          </w:p>
        </w:tc>
        <w:tc>
          <w:tcPr>
            <w:tcW w:type="dxa" w:w="4252"/>
          </w:tcPr>
          <w:p>
            <w:pPr>
              <w:spacing w:line="288" w:lineRule="auto" w:after="20" w:before="20"/>
            </w:pPr>
            <w:r>
              <w:rPr>
                <w:rFonts w:ascii="Cambria" w:hAnsi="Cambria" w:eastAsia="宋体"/>
                <w:b w:val="0"/>
                <w:i w:val="0"/>
                <w:color w:val="222222"/>
                <w:sz w:val="18"/>
              </w:rPr>
              <w:t>意义判断可分解为方向·价值·边界</w:t>
            </w:r>
          </w:p>
        </w:tc>
        <w:tc>
          <w:tcPr>
            <w:tcW w:type="dxa" w:w="850"/>
          </w:tcPr>
          <w:p>
            <w:pPr>
              <w:spacing w:line="288" w:lineRule="auto" w:after="20" w:before="20"/>
            </w:pPr>
            <w:r>
              <w:rPr>
                <w:rFonts w:ascii="Cambria" w:hAnsi="Cambria" w:eastAsia="宋体"/>
                <w:b w:val="0"/>
                <w:i w:val="0"/>
                <w:color w:val="222222"/>
                <w:sz w:val="18"/>
              </w:rPr>
              <w:t>E0–E1</w:t>
            </w:r>
          </w:p>
        </w:tc>
        <w:tc>
          <w:tcPr>
            <w:tcW w:type="dxa" w:w="1247"/>
          </w:tcPr>
          <w:p>
            <w:pPr>
              <w:spacing w:line="288" w:lineRule="auto" w:after="20" w:before="20"/>
            </w:pPr>
            <w:r>
              <w:rPr>
                <w:rFonts w:ascii="Cambria" w:hAnsi="Cambria" w:eastAsia="宋体"/>
                <w:b w:val="0"/>
                <w:i w:val="0"/>
                <w:color w:val="222222"/>
                <w:sz w:val="18"/>
              </w:rPr>
              <w:t>Formalized</w:t>
            </w:r>
          </w:p>
        </w:tc>
      </w:tr>
      <w:tr>
        <w:tc>
          <w:tcPr>
            <w:tcW w:type="dxa" w:w="1020"/>
            <w:shd w:val="clear" w:fill="EEF2F7"/>
          </w:tcPr>
          <w:p>
            <w:pPr>
              <w:spacing w:line="288" w:lineRule="auto" w:after="20" w:before="20"/>
            </w:pPr>
            <w:r>
              <w:rPr>
                <w:rFonts w:ascii="Cambria" w:hAnsi="Cambria" w:eastAsia="宋体"/>
                <w:b w:val="0"/>
                <w:i w:val="0"/>
                <w:color w:val="222222"/>
                <w:sz w:val="18"/>
              </w:rPr>
              <w:t>MI-C004</w:t>
            </w:r>
          </w:p>
        </w:tc>
        <w:tc>
          <w:tcPr>
            <w:tcW w:type="dxa" w:w="4252"/>
            <w:shd w:val="clear" w:fill="EEF2F7"/>
          </w:tcPr>
          <w:p>
            <w:pPr>
              <w:spacing w:line="288" w:lineRule="auto" w:after="20" w:before="20"/>
            </w:pPr>
            <w:r>
              <w:rPr>
                <w:rFonts w:ascii="Cambria" w:hAnsi="Cambria" w:eastAsia="宋体"/>
                <w:b w:val="0"/>
                <w:i w:val="0"/>
                <w:color w:val="222222"/>
                <w:sz w:val="18"/>
              </w:rPr>
              <w:t>意义沿一条连续光谱带分布，而非离散层次</w:t>
            </w:r>
          </w:p>
        </w:tc>
        <w:tc>
          <w:tcPr>
            <w:tcW w:type="dxa" w:w="850"/>
            <w:shd w:val="clear" w:fill="EEF2F7"/>
          </w:tcPr>
          <w:p>
            <w:pPr>
              <w:spacing w:line="288" w:lineRule="auto" w:after="20" w:before="20"/>
            </w:pPr>
            <w:r>
              <w:rPr>
                <w:rFonts w:ascii="Cambria" w:hAnsi="Cambria" w:eastAsia="宋体"/>
                <w:b w:val="0"/>
                <w:i w:val="0"/>
                <w:color w:val="222222"/>
                <w:sz w:val="18"/>
              </w:rPr>
              <w:t>E0</w:t>
            </w:r>
          </w:p>
        </w:tc>
        <w:tc>
          <w:tcPr>
            <w:tcW w:type="dxa" w:w="1247"/>
            <w:shd w:val="clear" w:fill="EEF2F7"/>
          </w:tcPr>
          <w:p>
            <w:pPr>
              <w:spacing w:line="288" w:lineRule="auto" w:after="20" w:before="20"/>
            </w:pPr>
            <w:r>
              <w:rPr>
                <w:rFonts w:ascii="Cambria" w:hAnsi="Cambria" w:eastAsia="宋体"/>
                <w:b w:val="0"/>
                <w:i w:val="0"/>
                <w:color w:val="222222"/>
                <w:sz w:val="18"/>
              </w:rPr>
              <w:t>Draft</w:t>
            </w:r>
          </w:p>
        </w:tc>
      </w:tr>
      <w:tr>
        <w:tc>
          <w:tcPr>
            <w:tcW w:type="dxa" w:w="1020"/>
          </w:tcPr>
          <w:p>
            <w:pPr>
              <w:spacing w:line="288" w:lineRule="auto" w:after="20" w:before="20"/>
            </w:pPr>
            <w:r>
              <w:rPr>
                <w:rFonts w:ascii="Cambria" w:hAnsi="Cambria" w:eastAsia="宋体"/>
                <w:b w:val="0"/>
                <w:i w:val="0"/>
                <w:color w:val="222222"/>
                <w:sz w:val="18"/>
              </w:rPr>
              <w:t>MI-C005</w:t>
            </w:r>
          </w:p>
        </w:tc>
        <w:tc>
          <w:tcPr>
            <w:tcW w:type="dxa" w:w="4252"/>
          </w:tcPr>
          <w:p>
            <w:pPr>
              <w:spacing w:line="288" w:lineRule="auto" w:after="20" w:before="20"/>
            </w:pPr>
            <w:r>
              <w:rPr>
                <w:rFonts w:ascii="Cambria" w:hAnsi="Cambria" w:eastAsia="宋体"/>
                <w:b w:val="0"/>
                <w:i w:val="0"/>
                <w:color w:val="222222"/>
                <w:sz w:val="18"/>
              </w:rPr>
              <w:t>多尺度意义不可通约，协调不是加权求和</w:t>
            </w:r>
          </w:p>
        </w:tc>
        <w:tc>
          <w:tcPr>
            <w:tcW w:type="dxa" w:w="850"/>
          </w:tcPr>
          <w:p>
            <w:pPr>
              <w:spacing w:line="288" w:lineRule="auto" w:after="20" w:before="20"/>
            </w:pPr>
            <w:r>
              <w:rPr>
                <w:rFonts w:ascii="Cambria" w:hAnsi="Cambria" w:eastAsia="宋体"/>
                <w:b w:val="0"/>
                <w:i w:val="0"/>
                <w:color w:val="222222"/>
                <w:sz w:val="18"/>
              </w:rPr>
              <w:t>E1</w:t>
            </w:r>
          </w:p>
        </w:tc>
        <w:tc>
          <w:tcPr>
            <w:tcW w:type="dxa" w:w="1247"/>
          </w:tcPr>
          <w:p>
            <w:pPr>
              <w:spacing w:line="288" w:lineRule="auto" w:after="20" w:before="20"/>
            </w:pPr>
            <w:r>
              <w:rPr>
                <w:rFonts w:ascii="Cambria" w:hAnsi="Cambria" w:eastAsia="宋体"/>
                <w:b w:val="0"/>
                <w:i w:val="0"/>
                <w:color w:val="222222"/>
                <w:sz w:val="18"/>
              </w:rPr>
              <w:t>Formalized</w:t>
            </w:r>
          </w:p>
        </w:tc>
      </w:tr>
      <w:tr>
        <w:tc>
          <w:tcPr>
            <w:tcW w:type="dxa" w:w="1020"/>
            <w:shd w:val="clear" w:fill="EEF2F7"/>
          </w:tcPr>
          <w:p>
            <w:pPr>
              <w:spacing w:line="288" w:lineRule="auto" w:after="20" w:before="20"/>
            </w:pPr>
            <w:r>
              <w:rPr>
                <w:rFonts w:ascii="Cambria" w:hAnsi="Cambria" w:eastAsia="宋体"/>
                <w:b w:val="0"/>
                <w:i w:val="0"/>
                <w:color w:val="222222"/>
                <w:sz w:val="18"/>
              </w:rPr>
              <w:t>MI-C006</w:t>
            </w:r>
          </w:p>
        </w:tc>
        <w:tc>
          <w:tcPr>
            <w:tcW w:type="dxa" w:w="4252"/>
            <w:shd w:val="clear" w:fill="EEF2F7"/>
          </w:tcPr>
          <w:p>
            <w:pPr>
              <w:spacing w:line="288" w:lineRule="auto" w:after="20" w:before="20"/>
            </w:pPr>
            <w:r>
              <w:rPr>
                <w:rFonts w:ascii="Cambria" w:hAnsi="Cambria" w:eastAsia="宋体"/>
                <w:b w:val="0"/>
                <w:i w:val="0"/>
                <w:color w:val="222222"/>
                <w:sz w:val="18"/>
              </w:rPr>
              <w:t>递归审视改善长期决策质量</w:t>
            </w:r>
          </w:p>
        </w:tc>
        <w:tc>
          <w:tcPr>
            <w:tcW w:type="dxa" w:w="850"/>
            <w:shd w:val="clear" w:fill="EEF2F7"/>
          </w:tcPr>
          <w:p>
            <w:pPr>
              <w:spacing w:line="288" w:lineRule="auto" w:after="20" w:before="20"/>
            </w:pPr>
            <w:r>
              <w:rPr>
                <w:rFonts w:ascii="Cambria" w:hAnsi="Cambria" w:eastAsia="宋体"/>
                <w:b w:val="0"/>
                <w:i w:val="0"/>
                <w:color w:val="222222"/>
                <w:sz w:val="18"/>
              </w:rPr>
              <w:t>E2</w:t>
            </w:r>
          </w:p>
        </w:tc>
        <w:tc>
          <w:tcPr>
            <w:tcW w:type="dxa" w:w="1247"/>
            <w:shd w:val="clear" w:fill="EEF2F7"/>
          </w:tcPr>
          <w:p>
            <w:pPr>
              <w:spacing w:line="288" w:lineRule="auto" w:after="20" w:before="20"/>
            </w:pPr>
            <w:r>
              <w:rPr>
                <w:rFonts w:ascii="Cambria" w:hAnsi="Cambria" w:eastAsia="宋体"/>
                <w:b w:val="0"/>
                <w:i w:val="0"/>
                <w:color w:val="222222"/>
                <w:sz w:val="18"/>
              </w:rPr>
              <w:t>Under Test</w:t>
            </w:r>
          </w:p>
        </w:tc>
      </w:tr>
      <w:tr>
        <w:tc>
          <w:tcPr>
            <w:tcW w:type="dxa" w:w="1020"/>
          </w:tcPr>
          <w:p>
            <w:pPr>
              <w:spacing w:line="288" w:lineRule="auto" w:after="20" w:before="20"/>
            </w:pPr>
            <w:r>
              <w:rPr>
                <w:rFonts w:ascii="Cambria" w:hAnsi="Cambria" w:eastAsia="宋体"/>
                <w:b w:val="0"/>
                <w:i w:val="0"/>
                <w:color w:val="222222"/>
                <w:sz w:val="18"/>
              </w:rPr>
              <w:t>MI-C007</w:t>
            </w:r>
          </w:p>
        </w:tc>
        <w:tc>
          <w:tcPr>
            <w:tcW w:type="dxa" w:w="4252"/>
          </w:tcPr>
          <w:p>
            <w:pPr>
              <w:spacing w:line="288" w:lineRule="auto" w:after="20" w:before="20"/>
            </w:pPr>
            <w:r>
              <w:rPr>
                <w:rFonts w:ascii="Cambria" w:hAnsi="Cambria" w:eastAsia="宋体"/>
                <w:b w:val="0"/>
                <w:i w:val="0"/>
                <w:color w:val="222222"/>
                <w:sz w:val="18"/>
              </w:rPr>
              <w:t>六层栈是一种有效的操作性表示</w:t>
            </w:r>
          </w:p>
        </w:tc>
        <w:tc>
          <w:tcPr>
            <w:tcW w:type="dxa" w:w="850"/>
          </w:tcPr>
          <w:p>
            <w:pPr>
              <w:spacing w:line="288" w:lineRule="auto" w:after="20" w:before="20"/>
            </w:pPr>
            <w:r>
              <w:rPr>
                <w:rFonts w:ascii="Cambria" w:hAnsi="Cambria" w:eastAsia="宋体"/>
                <w:b w:val="0"/>
                <w:i w:val="0"/>
                <w:color w:val="222222"/>
                <w:sz w:val="18"/>
              </w:rPr>
              <w:t>E0</w:t>
            </w:r>
          </w:p>
        </w:tc>
        <w:tc>
          <w:tcPr>
            <w:tcW w:type="dxa" w:w="1247"/>
          </w:tcPr>
          <w:p>
            <w:pPr>
              <w:spacing w:line="288" w:lineRule="auto" w:after="20" w:before="20"/>
            </w:pPr>
            <w:r>
              <w:rPr>
                <w:rFonts w:ascii="Cambria" w:hAnsi="Cambria" w:eastAsia="宋体"/>
                <w:b w:val="0"/>
                <w:i w:val="0"/>
                <w:color w:val="222222"/>
                <w:sz w:val="18"/>
              </w:rPr>
              <w:t>Draft</w:t>
            </w:r>
          </w:p>
        </w:tc>
      </w:tr>
      <w:tr>
        <w:tc>
          <w:tcPr>
            <w:tcW w:type="dxa" w:w="1020"/>
            <w:shd w:val="clear" w:fill="EEF2F7"/>
          </w:tcPr>
          <w:p>
            <w:pPr>
              <w:spacing w:line="288" w:lineRule="auto" w:after="20" w:before="20"/>
            </w:pPr>
            <w:r>
              <w:rPr>
                <w:rFonts w:ascii="Cambria" w:hAnsi="Cambria" w:eastAsia="宋体"/>
                <w:b w:val="0"/>
                <w:i w:val="0"/>
                <w:color w:val="222222"/>
                <w:sz w:val="18"/>
              </w:rPr>
              <w:t>MI-C008</w:t>
            </w:r>
          </w:p>
        </w:tc>
        <w:tc>
          <w:tcPr>
            <w:tcW w:type="dxa" w:w="4252"/>
            <w:shd w:val="clear" w:fill="EEF2F7"/>
          </w:tcPr>
          <w:p>
            <w:pPr>
              <w:spacing w:line="288" w:lineRule="auto" w:after="20" w:before="20"/>
            </w:pPr>
            <w:r>
              <w:rPr>
                <w:rFonts w:ascii="Cambria" w:hAnsi="Cambria" w:eastAsia="宋体"/>
                <w:b w:val="0"/>
                <w:i w:val="0"/>
                <w:color w:val="222222"/>
                <w:sz w:val="18"/>
              </w:rPr>
              <w:t>减负改善决策质量（相对纯信息呈现）</w:t>
            </w:r>
          </w:p>
        </w:tc>
        <w:tc>
          <w:tcPr>
            <w:tcW w:type="dxa" w:w="850"/>
            <w:shd w:val="clear" w:fill="EEF2F7"/>
          </w:tcPr>
          <w:p>
            <w:pPr>
              <w:spacing w:line="288" w:lineRule="auto" w:after="20" w:before="20"/>
            </w:pPr>
            <w:r>
              <w:rPr>
                <w:rFonts w:ascii="Cambria" w:hAnsi="Cambria" w:eastAsia="宋体"/>
                <w:b w:val="0"/>
                <w:i w:val="0"/>
                <w:color w:val="222222"/>
                <w:sz w:val="18"/>
              </w:rPr>
              <w:t>E1</w:t>
            </w:r>
          </w:p>
        </w:tc>
        <w:tc>
          <w:tcPr>
            <w:tcW w:type="dxa" w:w="1247"/>
            <w:shd w:val="clear" w:fill="EEF2F7"/>
          </w:tcPr>
          <w:p>
            <w:pPr>
              <w:spacing w:line="288" w:lineRule="auto" w:after="20" w:before="20"/>
            </w:pPr>
            <w:r>
              <w:rPr>
                <w:rFonts w:ascii="Cambria" w:hAnsi="Cambria" w:eastAsia="宋体"/>
                <w:b w:val="0"/>
                <w:i w:val="0"/>
                <w:color w:val="222222"/>
                <w:sz w:val="18"/>
              </w:rPr>
              <w:t>Under Test</w:t>
            </w:r>
          </w:p>
        </w:tc>
      </w:tr>
      <w:tr>
        <w:tc>
          <w:tcPr>
            <w:tcW w:type="dxa" w:w="1020"/>
          </w:tcPr>
          <w:p>
            <w:pPr>
              <w:spacing w:line="288" w:lineRule="auto" w:after="20" w:before="20"/>
            </w:pPr>
            <w:r>
              <w:rPr>
                <w:rFonts w:ascii="Cambria" w:hAnsi="Cambria" w:eastAsia="宋体"/>
                <w:b w:val="0"/>
                <w:i w:val="0"/>
                <w:color w:val="222222"/>
                <w:sz w:val="18"/>
              </w:rPr>
              <w:t>MI-C009</w:t>
            </w:r>
          </w:p>
        </w:tc>
        <w:tc>
          <w:tcPr>
            <w:tcW w:type="dxa" w:w="4252"/>
          </w:tcPr>
          <w:p>
            <w:pPr>
              <w:spacing w:line="288" w:lineRule="auto" w:after="20" w:before="20"/>
            </w:pPr>
            <w:r>
              <w:rPr>
                <w:rFonts w:ascii="Cambria" w:hAnsi="Cambria" w:eastAsia="宋体"/>
                <w:b w:val="0"/>
                <w:i w:val="0"/>
                <w:color w:val="222222"/>
                <w:sz w:val="18"/>
              </w:rPr>
              <w:t>可体验（交互）提升结构回忆</w:t>
            </w:r>
          </w:p>
        </w:tc>
        <w:tc>
          <w:tcPr>
            <w:tcW w:type="dxa" w:w="850"/>
          </w:tcPr>
          <w:p>
            <w:pPr>
              <w:spacing w:line="288" w:lineRule="auto" w:after="20" w:before="20"/>
            </w:pPr>
            <w:r>
              <w:rPr>
                <w:rFonts w:ascii="Cambria" w:hAnsi="Cambria" w:eastAsia="宋体"/>
                <w:b w:val="0"/>
                <w:i w:val="0"/>
                <w:color w:val="222222"/>
                <w:sz w:val="18"/>
              </w:rPr>
              <w:t>E1</w:t>
            </w:r>
          </w:p>
        </w:tc>
        <w:tc>
          <w:tcPr>
            <w:tcW w:type="dxa" w:w="1247"/>
          </w:tcPr>
          <w:p>
            <w:pPr>
              <w:spacing w:line="288" w:lineRule="auto" w:after="20" w:before="20"/>
            </w:pPr>
            <w:r>
              <w:rPr>
                <w:rFonts w:ascii="Cambria" w:hAnsi="Cambria" w:eastAsia="宋体"/>
                <w:b w:val="0"/>
                <w:i w:val="0"/>
                <w:color w:val="222222"/>
                <w:sz w:val="18"/>
              </w:rPr>
              <w:t>Under Test</w:t>
            </w:r>
          </w:p>
        </w:tc>
      </w:tr>
      <w:tr>
        <w:tc>
          <w:tcPr>
            <w:tcW w:type="dxa" w:w="1020"/>
            <w:shd w:val="clear" w:fill="EEF2F7"/>
          </w:tcPr>
          <w:p>
            <w:pPr>
              <w:spacing w:line="288" w:lineRule="auto" w:after="20" w:before="20"/>
            </w:pPr>
            <w:r>
              <w:rPr>
                <w:rFonts w:ascii="Cambria" w:hAnsi="Cambria" w:eastAsia="宋体"/>
                <w:b w:val="0"/>
                <w:i w:val="0"/>
                <w:color w:val="222222"/>
                <w:sz w:val="18"/>
              </w:rPr>
              <w:t>MI-C010</w:t>
            </w:r>
          </w:p>
        </w:tc>
        <w:tc>
          <w:tcPr>
            <w:tcW w:type="dxa" w:w="4252"/>
            <w:shd w:val="clear" w:fill="EEF2F7"/>
          </w:tcPr>
          <w:p>
            <w:pPr>
              <w:spacing w:line="288" w:lineRule="auto" w:after="20" w:before="20"/>
            </w:pPr>
            <w:r>
              <w:rPr>
                <w:rFonts w:ascii="Cambria" w:hAnsi="Cambria" w:eastAsia="宋体"/>
                <w:b w:val="0"/>
                <w:i w:val="0"/>
                <w:color w:val="222222"/>
                <w:sz w:val="18"/>
              </w:rPr>
              <w:t>跨尺度一致性预测系统生存</w:t>
            </w:r>
          </w:p>
        </w:tc>
        <w:tc>
          <w:tcPr>
            <w:tcW w:type="dxa" w:w="850"/>
            <w:shd w:val="clear" w:fill="EEF2F7"/>
          </w:tcPr>
          <w:p>
            <w:pPr>
              <w:spacing w:line="288" w:lineRule="auto" w:after="20" w:before="20"/>
            </w:pPr>
            <w:r>
              <w:rPr>
                <w:rFonts w:ascii="Cambria" w:hAnsi="Cambria" w:eastAsia="宋体"/>
                <w:b w:val="0"/>
                <w:i w:val="0"/>
                <w:color w:val="222222"/>
                <w:sz w:val="18"/>
              </w:rPr>
              <w:t>E1</w:t>
            </w:r>
          </w:p>
        </w:tc>
        <w:tc>
          <w:tcPr>
            <w:tcW w:type="dxa" w:w="1247"/>
            <w:shd w:val="clear" w:fill="EEF2F7"/>
          </w:tcPr>
          <w:p>
            <w:pPr>
              <w:spacing w:line="288" w:lineRule="auto" w:after="20" w:before="20"/>
            </w:pPr>
            <w:r>
              <w:rPr>
                <w:rFonts w:ascii="Cambria" w:hAnsi="Cambria" w:eastAsia="宋体"/>
                <w:b w:val="0"/>
                <w:i w:val="0"/>
                <w:color w:val="222222"/>
                <w:sz w:val="18"/>
              </w:rPr>
              <w:t>Under Test</w:t>
            </w:r>
          </w:p>
        </w:tc>
      </w:tr>
      <w:tr>
        <w:tc>
          <w:tcPr>
            <w:tcW w:type="dxa" w:w="1020"/>
          </w:tcPr>
          <w:p>
            <w:pPr>
              <w:spacing w:line="288" w:lineRule="auto" w:after="20" w:before="20"/>
            </w:pPr>
            <w:r>
              <w:rPr>
                <w:rFonts w:ascii="Cambria" w:hAnsi="Cambria" w:eastAsia="宋体"/>
                <w:b w:val="0"/>
                <w:i w:val="0"/>
                <w:color w:val="222222"/>
                <w:sz w:val="18"/>
              </w:rPr>
              <w:t>MI-C011</w:t>
            </w:r>
          </w:p>
        </w:tc>
        <w:tc>
          <w:tcPr>
            <w:tcW w:type="dxa" w:w="4252"/>
          </w:tcPr>
          <w:p>
            <w:pPr>
              <w:spacing w:line="288" w:lineRule="auto" w:after="20" w:before="20"/>
            </w:pPr>
            <w:r>
              <w:rPr>
                <w:rFonts w:ascii="Cambria" w:hAnsi="Cambria" w:eastAsia="宋体"/>
                <w:b w:val="0"/>
                <w:i w:val="0"/>
                <w:color w:val="222222"/>
                <w:sz w:val="18"/>
              </w:rPr>
              <w:t>主动归零缓解长期僵化</w:t>
            </w:r>
          </w:p>
        </w:tc>
        <w:tc>
          <w:tcPr>
            <w:tcW w:type="dxa" w:w="850"/>
          </w:tcPr>
          <w:p>
            <w:pPr>
              <w:spacing w:line="288" w:lineRule="auto" w:after="20" w:before="20"/>
            </w:pPr>
            <w:r>
              <w:rPr>
                <w:rFonts w:ascii="Cambria" w:hAnsi="Cambria" w:eastAsia="宋体"/>
                <w:b w:val="0"/>
                <w:i w:val="0"/>
                <w:color w:val="222222"/>
                <w:sz w:val="18"/>
              </w:rPr>
              <w:t>E2</w:t>
            </w:r>
          </w:p>
        </w:tc>
        <w:tc>
          <w:tcPr>
            <w:tcW w:type="dxa" w:w="1247"/>
          </w:tcPr>
          <w:p>
            <w:pPr>
              <w:spacing w:line="288" w:lineRule="auto" w:after="20" w:before="20"/>
            </w:pPr>
            <w:r>
              <w:rPr>
                <w:rFonts w:ascii="Cambria" w:hAnsi="Cambria" w:eastAsia="宋体"/>
                <w:b w:val="0"/>
                <w:i w:val="0"/>
                <w:color w:val="222222"/>
                <w:sz w:val="18"/>
              </w:rPr>
              <w:t>Under Test</w:t>
            </w:r>
          </w:p>
        </w:tc>
      </w:tr>
      <w:tr>
        <w:tc>
          <w:tcPr>
            <w:tcW w:type="dxa" w:w="1020"/>
            <w:shd w:val="clear" w:fill="EEF2F7"/>
          </w:tcPr>
          <w:p>
            <w:pPr>
              <w:spacing w:line="288" w:lineRule="auto" w:after="20" w:before="20"/>
            </w:pPr>
            <w:r>
              <w:rPr>
                <w:rFonts w:ascii="Cambria" w:hAnsi="Cambria" w:eastAsia="宋体"/>
                <w:b w:val="0"/>
                <w:i w:val="0"/>
                <w:color w:val="222222"/>
                <w:sz w:val="18"/>
              </w:rPr>
              <w:t>MI-C012</w:t>
            </w:r>
          </w:p>
        </w:tc>
        <w:tc>
          <w:tcPr>
            <w:tcW w:type="dxa" w:w="4252"/>
            <w:shd w:val="clear" w:fill="EEF2F7"/>
          </w:tcPr>
          <w:p>
            <w:pPr>
              <w:spacing w:line="288" w:lineRule="auto" w:after="20" w:before="20"/>
            </w:pPr>
            <w:r>
              <w:rPr>
                <w:rFonts w:ascii="Cambria" w:hAnsi="Cambria" w:eastAsia="宋体"/>
                <w:b w:val="0"/>
                <w:i w:val="0"/>
                <w:color w:val="222222"/>
                <w:sz w:val="18"/>
              </w:rPr>
              <w:t>无归零导致僵化</w:t>
            </w:r>
          </w:p>
        </w:tc>
        <w:tc>
          <w:tcPr>
            <w:tcW w:type="dxa" w:w="850"/>
            <w:shd w:val="clear" w:fill="EEF2F7"/>
          </w:tcPr>
          <w:p>
            <w:pPr>
              <w:spacing w:line="288" w:lineRule="auto" w:after="20" w:before="20"/>
            </w:pPr>
            <w:r>
              <w:rPr>
                <w:rFonts w:ascii="Cambria" w:hAnsi="Cambria" w:eastAsia="宋体"/>
                <w:b w:val="0"/>
                <w:i w:val="0"/>
                <w:color w:val="222222"/>
                <w:sz w:val="18"/>
              </w:rPr>
              <w:t>E1</w:t>
            </w:r>
          </w:p>
        </w:tc>
        <w:tc>
          <w:tcPr>
            <w:tcW w:type="dxa" w:w="1247"/>
            <w:shd w:val="clear" w:fill="EEF2F7"/>
          </w:tcPr>
          <w:p>
            <w:pPr>
              <w:spacing w:line="288" w:lineRule="auto" w:after="20" w:before="20"/>
            </w:pPr>
            <w:r>
              <w:rPr>
                <w:rFonts w:ascii="Cambria" w:hAnsi="Cambria" w:eastAsia="宋体"/>
                <w:b w:val="0"/>
                <w:i w:val="0"/>
                <w:color w:val="222222"/>
                <w:sz w:val="18"/>
              </w:rPr>
              <w:t>Formalized</w:t>
            </w:r>
          </w:p>
        </w:tc>
      </w:tr>
    </w:tbl>
    <w:p>
      <w:pPr>
        <w:spacing w:line="240" w:lineRule="auto" w:before="0" w:after="160"/>
      </w:pPr>
    </w:p>
    <w:p>
      <w:pPr>
        <w:spacing w:line="312" w:lineRule="auto" w:before="80" w:after="60"/>
      </w:pPr>
      <w:r>
        <w:rPr>
          <w:rFonts w:ascii="Cambria" w:hAnsi="Cambria" w:eastAsia="宋体"/>
          <w:b w:val="0"/>
          <w:i w:val="0"/>
          <w:color w:val="4A5A70"/>
          <w:sz w:val="19"/>
        </w:rPr>
        <w:t>六层栈本身是 E0 结构——由本项目提出的整合框架，未经独立检验。若出现更简洁且解释力更强的切分，应当替换它，而不是为它辩护。</w:t>
      </w:r>
    </w:p>
    <w:p>
      <w:pPr>
        <w:spacing w:line="300" w:lineRule="auto" w:before="0" w:after="160"/>
      </w:pPr>
      <w:r>
        <w:rPr>
          <w:rFonts w:ascii="Cambria" w:hAnsi="Cambria" w:eastAsia="宋体"/>
          <w:b w:val="0"/>
          <w:i w:val="0"/>
          <w:color w:val="7A8CA3"/>
          <w:sz w:val="18"/>
        </w:rPr>
        <w:t>The six-layer stack itself is an E0 structure — an integrative framework proposed by this project, not independently tested. If a simpler partition with greater explanatory power emerges, it should replace this one rather than be defended.</w:t>
      </w:r>
    </w:p>
    <w:p>
      <w:pPr>
        <w:spacing w:line="300" w:lineRule="auto" w:before="320" w:after="140"/>
      </w:pPr>
      <w:r>
        <w:rPr>
          <w:rFonts w:ascii="Arial" w:hAnsi="Arial" w:eastAsia="黑体"/>
          <w:b/>
          <w:i w:val="0"/>
          <w:color w:val="1B3A5C"/>
          <w:sz w:val="34"/>
        </w:rPr>
        <w:t>术语对照</w:t>
      </w:r>
      <w:r>
        <w:rPr>
          <w:rFonts w:ascii="Arial" w:hAnsi="Arial" w:eastAsia="黑体"/>
          <w:b w:val="0"/>
          <w:i w:val="0"/>
          <w:color w:val="1B3A5C"/>
          <w:sz w:val="24"/>
        </w:rPr>
        <w:t xml:space="preserve">　Glossary</w:t>
      </w:r>
    </w:p>
    <w:p>
      <w:pPr>
        <w:spacing w:line="288" w:lineRule="auto" w:before="240" w:after="80"/>
      </w:pPr>
      <w:r>
        <w:rPr>
          <w:rFonts w:ascii="Arial" w:hAnsi="Arial" w:eastAsia="黑体"/>
          <w:b/>
          <w:i w:val="0"/>
          <w:color w:val="1B3A5C"/>
          <w:sz w:val="22"/>
        </w:rPr>
        <w:t>表 7　术语对照表</w:t>
      </w:r>
      <w:r>
        <w:rPr>
          <w:rFonts w:ascii="Arial" w:hAnsi="Arial" w:eastAsia="黑体"/>
          <w:b w:val="0"/>
          <w:i w:val="0"/>
          <w:color w:val="7A8CA3"/>
          <w:sz w:val="17"/>
        </w:rPr>
        <w:t xml:space="preserve">  |  Table 7  Glossary</w:t>
      </w:r>
    </w:p>
    <w:tbl>
      <w:tblPr>
        <w:tblStyle w:val="TableGrid"/>
        <w:tblW w:type="auto" w:w="0"/>
        <w:jc w:val="center"/>
        <w:tblLayout w:type="fixed"/>
        <w:tblLook w:firstColumn="1" w:firstRow="1" w:lastColumn="0" w:lastRow="0" w:noHBand="0" w:noVBand="1" w:val="04A0"/>
        <w:tblLayout w:type="fixed"/>
      </w:tblPr>
      <w:tblGrid>
        <w:gridCol w:w="2268"/>
        <w:gridCol w:w="3402"/>
        <w:gridCol w:w="2268"/>
      </w:tblGrid>
      <w:tr>
        <w:tc>
          <w:tcPr>
            <w:tcW w:type="dxa" w:w="2268"/>
            <w:shd w:val="clear" w:fill="1B3A5C"/>
          </w:tcPr>
          <w:p>
            <w:pPr>
              <w:spacing w:line="276" w:lineRule="auto" w:after="20" w:before="20"/>
            </w:pPr>
            <w:r>
              <w:rPr>
                <w:rFonts w:ascii="Arial" w:hAnsi="Arial" w:eastAsia="黑体"/>
                <w:b/>
                <w:i w:val="0"/>
                <w:color w:val="FFFFFF"/>
                <w:sz w:val="19"/>
              </w:rPr>
              <w:t>中文</w:t>
            </w:r>
          </w:p>
        </w:tc>
        <w:tc>
          <w:tcPr>
            <w:tcW w:type="dxa" w:w="3402"/>
            <w:shd w:val="clear" w:fill="1B3A5C"/>
          </w:tcPr>
          <w:p>
            <w:pPr>
              <w:spacing w:line="276" w:lineRule="auto" w:after="20" w:before="20"/>
            </w:pPr>
            <w:r>
              <w:rPr>
                <w:rFonts w:ascii="Arial" w:hAnsi="Arial" w:eastAsia="黑体"/>
                <w:b/>
                <w:i w:val="0"/>
                <w:color w:val="FFFFFF"/>
                <w:sz w:val="19"/>
              </w:rPr>
              <w:t>English</w:t>
            </w:r>
          </w:p>
        </w:tc>
        <w:tc>
          <w:tcPr>
            <w:tcW w:type="dxa" w:w="2268"/>
            <w:shd w:val="clear" w:fill="1B3A5C"/>
          </w:tcPr>
          <w:p>
            <w:pPr>
              <w:spacing w:line="276" w:lineRule="auto" w:after="20" w:before="20"/>
            </w:pPr>
            <w:r>
              <w:rPr>
                <w:rFonts w:ascii="Arial" w:hAnsi="Arial" w:eastAsia="黑体"/>
                <w:b/>
                <w:i w:val="0"/>
                <w:color w:val="FFFFFF"/>
                <w:sz w:val="19"/>
              </w:rPr>
              <w:t>出处</w:t>
            </w:r>
          </w:p>
        </w:tc>
      </w:tr>
      <w:tr>
        <w:tc>
          <w:tcPr>
            <w:tcW w:type="dxa" w:w="2268"/>
          </w:tcPr>
          <w:p>
            <w:pPr>
              <w:spacing w:line="288" w:lineRule="auto" w:after="20" w:before="20"/>
            </w:pPr>
            <w:r>
              <w:rPr>
                <w:rFonts w:ascii="Cambria" w:hAnsi="Cambria" w:eastAsia="宋体"/>
                <w:b w:val="0"/>
                <w:i w:val="0"/>
                <w:color w:val="222222"/>
                <w:sz w:val="18"/>
              </w:rPr>
              <w:t>意义智能</w:t>
            </w:r>
          </w:p>
        </w:tc>
        <w:tc>
          <w:tcPr>
            <w:tcW w:type="dxa" w:w="3402"/>
          </w:tcPr>
          <w:p>
            <w:pPr>
              <w:spacing w:line="288" w:lineRule="auto" w:after="20" w:before="20"/>
            </w:pPr>
            <w:r>
              <w:rPr>
                <w:rFonts w:ascii="Cambria" w:hAnsi="Cambria" w:eastAsia="宋体"/>
                <w:b w:val="0"/>
                <w:i w:val="0"/>
                <w:color w:val="222222"/>
                <w:sz w:val="18"/>
              </w:rPr>
              <w:t>Meaning Intelligence (MI)</w:t>
            </w:r>
          </w:p>
        </w:tc>
        <w:tc>
          <w:tcPr>
            <w:tcW w:type="dxa" w:w="2268"/>
          </w:tcPr>
          <w:p>
            <w:pPr>
              <w:spacing w:line="288" w:lineRule="auto" w:after="20" w:before="20"/>
            </w:pPr>
            <w:r>
              <w:rPr>
                <w:rFonts w:ascii="Cambria" w:hAnsi="Cambria" w:eastAsia="宋体"/>
                <w:b w:val="0"/>
                <w:i w:val="0"/>
                <w:color w:val="222222"/>
                <w:sz w:val="18"/>
              </w:rPr>
              <w:t>正典 1.3</w:t>
            </w:r>
          </w:p>
        </w:tc>
      </w:tr>
      <w:tr>
        <w:tc>
          <w:tcPr>
            <w:tcW w:type="dxa" w:w="2268"/>
            <w:shd w:val="clear" w:fill="EEF2F7"/>
          </w:tcPr>
          <w:p>
            <w:pPr>
              <w:spacing w:line="288" w:lineRule="auto" w:after="20" w:before="20"/>
            </w:pPr>
            <w:r>
              <w:rPr>
                <w:rFonts w:ascii="Cambria" w:hAnsi="Cambria" w:eastAsia="宋体"/>
                <w:b w:val="0"/>
                <w:i w:val="0"/>
                <w:color w:val="222222"/>
                <w:sz w:val="18"/>
              </w:rPr>
              <w:t>元智能</w:t>
            </w:r>
          </w:p>
        </w:tc>
        <w:tc>
          <w:tcPr>
            <w:tcW w:type="dxa" w:w="3402"/>
            <w:shd w:val="clear" w:fill="EEF2F7"/>
          </w:tcPr>
          <w:p>
            <w:pPr>
              <w:spacing w:line="288" w:lineRule="auto" w:after="20" w:before="20"/>
            </w:pPr>
            <w:r>
              <w:rPr>
                <w:rFonts w:ascii="Cambria" w:hAnsi="Cambria" w:eastAsia="宋体"/>
                <w:b w:val="0"/>
                <w:i w:val="0"/>
                <w:color w:val="222222"/>
                <w:sz w:val="18"/>
              </w:rPr>
              <w:t>Meta-Intelligence</w:t>
            </w:r>
          </w:p>
        </w:tc>
        <w:tc>
          <w:tcPr>
            <w:tcW w:type="dxa" w:w="2268"/>
            <w:shd w:val="clear" w:fill="EEF2F7"/>
          </w:tcPr>
          <w:p>
            <w:pPr>
              <w:spacing w:line="288" w:lineRule="auto" w:after="20" w:before="20"/>
            </w:pPr>
            <w:r>
              <w:rPr>
                <w:rFonts w:ascii="Cambria" w:hAnsi="Cambria" w:eastAsia="宋体"/>
                <w:b w:val="0"/>
                <w:i w:val="0"/>
                <w:color w:val="222222"/>
                <w:sz w:val="18"/>
              </w:rPr>
              <w:t>正典 1.3</w:t>
            </w:r>
          </w:p>
        </w:tc>
      </w:tr>
      <w:tr>
        <w:tc>
          <w:tcPr>
            <w:tcW w:type="dxa" w:w="2268"/>
          </w:tcPr>
          <w:p>
            <w:pPr>
              <w:spacing w:line="288" w:lineRule="auto" w:after="20" w:before="20"/>
            </w:pPr>
            <w:r>
              <w:rPr>
                <w:rFonts w:ascii="Cambria" w:hAnsi="Cambria" w:eastAsia="宋体"/>
                <w:b w:val="0"/>
                <w:i w:val="0"/>
                <w:color w:val="222222"/>
                <w:sz w:val="18"/>
              </w:rPr>
              <w:t>意义势能</w:t>
            </w:r>
          </w:p>
        </w:tc>
        <w:tc>
          <w:tcPr>
            <w:tcW w:type="dxa" w:w="3402"/>
          </w:tcPr>
          <w:p>
            <w:pPr>
              <w:spacing w:line="288" w:lineRule="auto" w:after="20" w:before="20"/>
            </w:pPr>
            <w:r>
              <w:rPr>
                <w:rFonts w:ascii="Cambria" w:hAnsi="Cambria" w:eastAsia="宋体"/>
                <w:b w:val="0"/>
                <w:i w:val="0"/>
                <w:color w:val="222222"/>
                <w:sz w:val="18"/>
              </w:rPr>
              <w:t>Meaning Potential (PE)</w:t>
            </w:r>
          </w:p>
        </w:tc>
        <w:tc>
          <w:tcPr>
            <w:tcW w:type="dxa" w:w="2268"/>
          </w:tcPr>
          <w:p>
            <w:pPr>
              <w:spacing w:line="288" w:lineRule="auto" w:after="20" w:before="20"/>
            </w:pPr>
            <w:r>
              <w:rPr>
                <w:rFonts w:ascii="Cambria" w:hAnsi="Cambria" w:eastAsia="宋体"/>
                <w:b w:val="0"/>
                <w:i w:val="0"/>
                <w:color w:val="222222"/>
                <w:sz w:val="18"/>
              </w:rPr>
              <w:t>正典 3.3</w:t>
            </w:r>
          </w:p>
        </w:tc>
      </w:tr>
      <w:tr>
        <w:tc>
          <w:tcPr>
            <w:tcW w:type="dxa" w:w="2268"/>
            <w:shd w:val="clear" w:fill="EEF2F7"/>
          </w:tcPr>
          <w:p>
            <w:pPr>
              <w:spacing w:line="288" w:lineRule="auto" w:after="20" w:before="20"/>
            </w:pPr>
            <w:r>
              <w:rPr>
                <w:rFonts w:ascii="Cambria" w:hAnsi="Cambria" w:eastAsia="宋体"/>
                <w:b w:val="0"/>
                <w:i w:val="0"/>
                <w:color w:val="222222"/>
                <w:sz w:val="18"/>
              </w:rPr>
              <w:t>方向一致性</w:t>
            </w:r>
          </w:p>
        </w:tc>
        <w:tc>
          <w:tcPr>
            <w:tcW w:type="dxa" w:w="3402"/>
            <w:shd w:val="clear" w:fill="EEF2F7"/>
          </w:tcPr>
          <w:p>
            <w:pPr>
              <w:spacing w:line="288" w:lineRule="auto" w:after="20" w:before="20"/>
            </w:pPr>
            <w:r>
              <w:rPr>
                <w:rFonts w:ascii="Cambria" w:hAnsi="Cambria" w:eastAsia="宋体"/>
                <w:b w:val="0"/>
                <w:i w:val="0"/>
                <w:color w:val="222222"/>
                <w:sz w:val="18"/>
              </w:rPr>
              <w:t>Direction Consistency (DC)</w:t>
            </w:r>
          </w:p>
        </w:tc>
        <w:tc>
          <w:tcPr>
            <w:tcW w:type="dxa" w:w="2268"/>
            <w:shd w:val="clear" w:fill="EEF2F7"/>
          </w:tcPr>
          <w:p>
            <w:pPr>
              <w:spacing w:line="288" w:lineRule="auto" w:after="20" w:before="20"/>
            </w:pPr>
            <w:r>
              <w:rPr>
                <w:rFonts w:ascii="Cambria" w:hAnsi="Cambria" w:eastAsia="宋体"/>
                <w:b w:val="0"/>
                <w:i w:val="0"/>
                <w:color w:val="222222"/>
                <w:sz w:val="18"/>
              </w:rPr>
              <w:t>正典附录B</w:t>
            </w:r>
          </w:p>
        </w:tc>
      </w:tr>
      <w:tr>
        <w:tc>
          <w:tcPr>
            <w:tcW w:type="dxa" w:w="2268"/>
          </w:tcPr>
          <w:p>
            <w:pPr>
              <w:spacing w:line="288" w:lineRule="auto" w:after="20" w:before="20"/>
            </w:pPr>
            <w:r>
              <w:rPr>
                <w:rFonts w:ascii="Cambria" w:hAnsi="Cambria" w:eastAsia="宋体"/>
                <w:b w:val="0"/>
                <w:i w:val="0"/>
                <w:color w:val="222222"/>
                <w:sz w:val="18"/>
              </w:rPr>
              <w:t>系缚强度</w:t>
            </w:r>
          </w:p>
        </w:tc>
        <w:tc>
          <w:tcPr>
            <w:tcW w:type="dxa" w:w="3402"/>
          </w:tcPr>
          <w:p>
            <w:pPr>
              <w:spacing w:line="288" w:lineRule="auto" w:after="20" w:before="20"/>
            </w:pPr>
            <w:r>
              <w:rPr>
                <w:rFonts w:ascii="Cambria" w:hAnsi="Cambria" w:eastAsia="宋体"/>
                <w:b w:val="0"/>
                <w:i w:val="0"/>
                <w:color w:val="222222"/>
                <w:sz w:val="18"/>
              </w:rPr>
              <w:t>Binding Strength (BS)</w:t>
            </w:r>
          </w:p>
        </w:tc>
        <w:tc>
          <w:tcPr>
            <w:tcW w:type="dxa" w:w="2268"/>
          </w:tcPr>
          <w:p>
            <w:pPr>
              <w:spacing w:line="288" w:lineRule="auto" w:after="20" w:before="20"/>
            </w:pPr>
            <w:r>
              <w:rPr>
                <w:rFonts w:ascii="Cambria" w:hAnsi="Cambria" w:eastAsia="宋体"/>
                <w:b w:val="0"/>
                <w:i w:val="0"/>
                <w:color w:val="222222"/>
                <w:sz w:val="18"/>
              </w:rPr>
              <w:t>正典附录B</w:t>
            </w:r>
          </w:p>
        </w:tc>
      </w:tr>
      <w:tr>
        <w:tc>
          <w:tcPr>
            <w:tcW w:type="dxa" w:w="2268"/>
            <w:shd w:val="clear" w:fill="EEF2F7"/>
          </w:tcPr>
          <w:p>
            <w:pPr>
              <w:spacing w:line="288" w:lineRule="auto" w:after="20" w:before="20"/>
            </w:pPr>
            <w:r>
              <w:rPr>
                <w:rFonts w:ascii="Cambria" w:hAnsi="Cambria" w:eastAsia="宋体"/>
                <w:b w:val="0"/>
                <w:i w:val="0"/>
                <w:color w:val="222222"/>
                <w:sz w:val="18"/>
              </w:rPr>
              <w:t>螺旋深度</w:t>
            </w:r>
          </w:p>
        </w:tc>
        <w:tc>
          <w:tcPr>
            <w:tcW w:type="dxa" w:w="3402"/>
            <w:shd w:val="clear" w:fill="EEF2F7"/>
          </w:tcPr>
          <w:p>
            <w:pPr>
              <w:spacing w:line="288" w:lineRule="auto" w:after="20" w:before="20"/>
            </w:pPr>
            <w:r>
              <w:rPr>
                <w:rFonts w:ascii="Cambria" w:hAnsi="Cambria" w:eastAsia="宋体"/>
                <w:b w:val="0"/>
                <w:i w:val="0"/>
                <w:color w:val="222222"/>
                <w:sz w:val="18"/>
              </w:rPr>
              <w:t>Spiral Depth (SD)</w:t>
            </w:r>
          </w:p>
        </w:tc>
        <w:tc>
          <w:tcPr>
            <w:tcW w:type="dxa" w:w="2268"/>
            <w:shd w:val="clear" w:fill="EEF2F7"/>
          </w:tcPr>
          <w:p>
            <w:pPr>
              <w:spacing w:line="288" w:lineRule="auto" w:after="20" w:before="20"/>
            </w:pPr>
            <w:r>
              <w:rPr>
                <w:rFonts w:ascii="Cambria" w:hAnsi="Cambria" w:eastAsia="宋体"/>
                <w:b w:val="0"/>
                <w:i w:val="0"/>
                <w:color w:val="222222"/>
                <w:sz w:val="18"/>
              </w:rPr>
              <w:t>正典附录B</w:t>
            </w:r>
          </w:p>
        </w:tc>
      </w:tr>
      <w:tr>
        <w:tc>
          <w:tcPr>
            <w:tcW w:type="dxa" w:w="2268"/>
          </w:tcPr>
          <w:p>
            <w:pPr>
              <w:spacing w:line="288" w:lineRule="auto" w:after="20" w:before="20"/>
            </w:pPr>
            <w:r>
              <w:rPr>
                <w:rFonts w:ascii="Cambria" w:hAnsi="Cambria" w:eastAsia="宋体"/>
                <w:b w:val="0"/>
                <w:i w:val="0"/>
                <w:color w:val="222222"/>
                <w:sz w:val="18"/>
              </w:rPr>
              <w:t>归零准备度</w:t>
            </w:r>
          </w:p>
        </w:tc>
        <w:tc>
          <w:tcPr>
            <w:tcW w:type="dxa" w:w="3402"/>
          </w:tcPr>
          <w:p>
            <w:pPr>
              <w:spacing w:line="288" w:lineRule="auto" w:after="20" w:before="20"/>
            </w:pPr>
            <w:r>
              <w:rPr>
                <w:rFonts w:ascii="Cambria" w:hAnsi="Cambria" w:eastAsia="宋体"/>
                <w:b w:val="0"/>
                <w:i w:val="0"/>
                <w:color w:val="222222"/>
                <w:sz w:val="18"/>
              </w:rPr>
              <w:t>Zeroing Readiness (RZ)</w:t>
            </w:r>
          </w:p>
        </w:tc>
        <w:tc>
          <w:tcPr>
            <w:tcW w:type="dxa" w:w="2268"/>
          </w:tcPr>
          <w:p>
            <w:pPr>
              <w:spacing w:line="288" w:lineRule="auto" w:after="20" w:before="20"/>
            </w:pPr>
            <w:r>
              <w:rPr>
                <w:rFonts w:ascii="Cambria" w:hAnsi="Cambria" w:eastAsia="宋体"/>
                <w:b w:val="0"/>
                <w:i w:val="0"/>
                <w:color w:val="222222"/>
                <w:sz w:val="18"/>
              </w:rPr>
              <w:t>正典附录B</w:t>
            </w:r>
          </w:p>
        </w:tc>
      </w:tr>
      <w:tr>
        <w:tc>
          <w:tcPr>
            <w:tcW w:type="dxa" w:w="2268"/>
            <w:shd w:val="clear" w:fill="EEF2F7"/>
          </w:tcPr>
          <w:p>
            <w:pPr>
              <w:spacing w:line="288" w:lineRule="auto" w:after="20" w:before="20"/>
            </w:pPr>
            <w:r>
              <w:rPr>
                <w:rFonts w:ascii="Cambria" w:hAnsi="Cambria" w:eastAsia="宋体"/>
                <w:b w:val="0"/>
                <w:i w:val="0"/>
                <w:color w:val="222222"/>
                <w:sz w:val="18"/>
              </w:rPr>
              <w:t>意义清晰度</w:t>
            </w:r>
          </w:p>
        </w:tc>
        <w:tc>
          <w:tcPr>
            <w:tcW w:type="dxa" w:w="3402"/>
            <w:shd w:val="clear" w:fill="EEF2F7"/>
          </w:tcPr>
          <w:p>
            <w:pPr>
              <w:spacing w:line="288" w:lineRule="auto" w:after="20" w:before="20"/>
            </w:pPr>
            <w:r>
              <w:rPr>
                <w:rFonts w:ascii="Cambria" w:hAnsi="Cambria" w:eastAsia="宋体"/>
                <w:b w:val="0"/>
                <w:i w:val="0"/>
                <w:color w:val="222222"/>
                <w:sz w:val="18"/>
              </w:rPr>
              <w:t>Meaning Clarity (MC)</w:t>
            </w:r>
          </w:p>
        </w:tc>
        <w:tc>
          <w:tcPr>
            <w:tcW w:type="dxa" w:w="2268"/>
            <w:shd w:val="clear" w:fill="EEF2F7"/>
          </w:tcPr>
          <w:p>
            <w:pPr>
              <w:spacing w:line="288" w:lineRule="auto" w:after="20" w:before="20"/>
            </w:pPr>
            <w:r>
              <w:rPr>
                <w:rFonts w:ascii="Cambria" w:hAnsi="Cambria" w:eastAsia="宋体"/>
                <w:b w:val="0"/>
                <w:i w:val="0"/>
                <w:color w:val="222222"/>
                <w:sz w:val="18"/>
              </w:rPr>
              <w:t>正典附录B</w:t>
            </w:r>
          </w:p>
        </w:tc>
      </w:tr>
      <w:tr>
        <w:tc>
          <w:tcPr>
            <w:tcW w:type="dxa" w:w="2268"/>
          </w:tcPr>
          <w:p>
            <w:pPr>
              <w:spacing w:line="288" w:lineRule="auto" w:after="20" w:before="20"/>
            </w:pPr>
            <w:r>
              <w:rPr>
                <w:rFonts w:ascii="Cambria" w:hAnsi="Cambria" w:eastAsia="宋体"/>
                <w:b w:val="0"/>
                <w:i w:val="0"/>
                <w:color w:val="222222"/>
                <w:sz w:val="18"/>
              </w:rPr>
              <w:t>元认知觉察</w:t>
            </w:r>
          </w:p>
        </w:tc>
        <w:tc>
          <w:tcPr>
            <w:tcW w:type="dxa" w:w="3402"/>
          </w:tcPr>
          <w:p>
            <w:pPr>
              <w:spacing w:line="288" w:lineRule="auto" w:after="20" w:before="20"/>
            </w:pPr>
            <w:r>
              <w:rPr>
                <w:rFonts w:ascii="Cambria" w:hAnsi="Cambria" w:eastAsia="宋体"/>
                <w:b w:val="0"/>
                <w:i w:val="0"/>
                <w:color w:val="222222"/>
                <w:sz w:val="18"/>
              </w:rPr>
              <w:t>Metacognitive Awareness (MCA)</w:t>
            </w:r>
          </w:p>
        </w:tc>
        <w:tc>
          <w:tcPr>
            <w:tcW w:type="dxa" w:w="2268"/>
          </w:tcPr>
          <w:p>
            <w:pPr>
              <w:spacing w:line="288" w:lineRule="auto" w:after="20" w:before="20"/>
            </w:pPr>
            <w:r>
              <w:rPr>
                <w:rFonts w:ascii="Cambria" w:hAnsi="Cambria" w:eastAsia="宋体"/>
                <w:b w:val="0"/>
                <w:i w:val="0"/>
                <w:color w:val="222222"/>
                <w:sz w:val="18"/>
              </w:rPr>
              <w:t>正典 7B.2</w:t>
            </w:r>
          </w:p>
        </w:tc>
      </w:tr>
      <w:tr>
        <w:tc>
          <w:tcPr>
            <w:tcW w:type="dxa" w:w="2268"/>
            <w:shd w:val="clear" w:fill="EEF2F7"/>
          </w:tcPr>
          <w:p>
            <w:pPr>
              <w:spacing w:line="288" w:lineRule="auto" w:after="20" w:before="20"/>
            </w:pPr>
            <w:r>
              <w:rPr>
                <w:rFonts w:ascii="Cambria" w:hAnsi="Cambria" w:eastAsia="宋体"/>
                <w:b w:val="0"/>
                <w:i w:val="0"/>
                <w:color w:val="222222"/>
                <w:sz w:val="18"/>
              </w:rPr>
              <w:t>螺旋上升</w:t>
            </w:r>
          </w:p>
        </w:tc>
        <w:tc>
          <w:tcPr>
            <w:tcW w:type="dxa" w:w="3402"/>
            <w:shd w:val="clear" w:fill="EEF2F7"/>
          </w:tcPr>
          <w:p>
            <w:pPr>
              <w:spacing w:line="288" w:lineRule="auto" w:after="20" w:before="20"/>
            </w:pPr>
            <w:r>
              <w:rPr>
                <w:rFonts w:ascii="Cambria" w:hAnsi="Cambria" w:eastAsia="宋体"/>
                <w:b w:val="0"/>
                <w:i w:val="0"/>
                <w:color w:val="222222"/>
                <w:sz w:val="18"/>
              </w:rPr>
              <w:t>Spiral Ascent (SA)</w:t>
            </w:r>
          </w:p>
        </w:tc>
        <w:tc>
          <w:tcPr>
            <w:tcW w:type="dxa" w:w="2268"/>
            <w:shd w:val="clear" w:fill="EEF2F7"/>
          </w:tcPr>
          <w:p>
            <w:pPr>
              <w:spacing w:line="288" w:lineRule="auto" w:after="20" w:before="20"/>
            </w:pPr>
            <w:r>
              <w:rPr>
                <w:rFonts w:ascii="Cambria" w:hAnsi="Cambria" w:eastAsia="宋体"/>
                <w:b w:val="0"/>
                <w:i w:val="0"/>
                <w:color w:val="222222"/>
                <w:sz w:val="18"/>
              </w:rPr>
              <w:t>正典 7B.3</w:t>
            </w:r>
          </w:p>
        </w:tc>
      </w:tr>
      <w:tr>
        <w:tc>
          <w:tcPr>
            <w:tcW w:type="dxa" w:w="2268"/>
          </w:tcPr>
          <w:p>
            <w:pPr>
              <w:spacing w:line="288" w:lineRule="auto" w:after="20" w:before="20"/>
            </w:pPr>
            <w:r>
              <w:rPr>
                <w:rFonts w:ascii="Cambria" w:hAnsi="Cambria" w:eastAsia="宋体"/>
                <w:b w:val="0"/>
                <w:i w:val="0"/>
                <w:color w:val="222222"/>
                <w:sz w:val="18"/>
              </w:rPr>
              <w:t>主动归零</w:t>
            </w:r>
          </w:p>
        </w:tc>
        <w:tc>
          <w:tcPr>
            <w:tcW w:type="dxa" w:w="3402"/>
          </w:tcPr>
          <w:p>
            <w:pPr>
              <w:spacing w:line="288" w:lineRule="auto" w:after="20" w:before="20"/>
            </w:pPr>
            <w:r>
              <w:rPr>
                <w:rFonts w:ascii="Cambria" w:hAnsi="Cambria" w:eastAsia="宋体"/>
                <w:b w:val="0"/>
                <w:i w:val="0"/>
                <w:color w:val="222222"/>
                <w:sz w:val="18"/>
              </w:rPr>
              <w:t>Active Zeroing (AZ)</w:t>
            </w:r>
          </w:p>
        </w:tc>
        <w:tc>
          <w:tcPr>
            <w:tcW w:type="dxa" w:w="2268"/>
          </w:tcPr>
          <w:p>
            <w:pPr>
              <w:spacing w:line="288" w:lineRule="auto" w:after="20" w:before="20"/>
            </w:pPr>
            <w:r>
              <w:rPr>
                <w:rFonts w:ascii="Cambria" w:hAnsi="Cambria" w:eastAsia="宋体"/>
                <w:b w:val="0"/>
                <w:i w:val="0"/>
                <w:color w:val="222222"/>
                <w:sz w:val="18"/>
              </w:rPr>
              <w:t>正典 7B.4</w:t>
            </w:r>
          </w:p>
        </w:tc>
      </w:tr>
      <w:tr>
        <w:tc>
          <w:tcPr>
            <w:tcW w:type="dxa" w:w="2268"/>
            <w:shd w:val="clear" w:fill="EEF2F7"/>
          </w:tcPr>
          <w:p>
            <w:pPr>
              <w:spacing w:line="288" w:lineRule="auto" w:after="20" w:before="20"/>
            </w:pPr>
            <w:r>
              <w:rPr>
                <w:rFonts w:ascii="Cambria" w:hAnsi="Cambria" w:eastAsia="宋体"/>
                <w:b w:val="0"/>
                <w:i w:val="0"/>
                <w:color w:val="222222"/>
                <w:sz w:val="18"/>
              </w:rPr>
              <w:t>理论失败矩阵</w:t>
            </w:r>
          </w:p>
        </w:tc>
        <w:tc>
          <w:tcPr>
            <w:tcW w:type="dxa" w:w="3402"/>
            <w:shd w:val="clear" w:fill="EEF2F7"/>
          </w:tcPr>
          <w:p>
            <w:pPr>
              <w:spacing w:line="288" w:lineRule="auto" w:after="20" w:before="20"/>
            </w:pPr>
            <w:r>
              <w:rPr>
                <w:rFonts w:ascii="Cambria" w:hAnsi="Cambria" w:eastAsia="宋体"/>
                <w:b w:val="0"/>
                <w:i w:val="0"/>
                <w:color w:val="222222"/>
                <w:sz w:val="18"/>
              </w:rPr>
              <w:t>Theory Failure Matrix</w:t>
            </w:r>
          </w:p>
        </w:tc>
        <w:tc>
          <w:tcPr>
            <w:tcW w:type="dxa" w:w="2268"/>
            <w:shd w:val="clear" w:fill="EEF2F7"/>
          </w:tcPr>
          <w:p>
            <w:pPr>
              <w:spacing w:line="288" w:lineRule="auto" w:after="20" w:before="20"/>
            </w:pPr>
            <w:r>
              <w:rPr>
                <w:rFonts w:ascii="Cambria" w:hAnsi="Cambria" w:eastAsia="宋体"/>
                <w:b w:val="0"/>
                <w:i w:val="0"/>
                <w:color w:val="222222"/>
                <w:sz w:val="18"/>
              </w:rPr>
              <w:t>正典附录D</w:t>
            </w:r>
          </w:p>
        </w:tc>
      </w:tr>
      <w:tr>
        <w:tc>
          <w:tcPr>
            <w:tcW w:type="dxa" w:w="2268"/>
          </w:tcPr>
          <w:p>
            <w:pPr>
              <w:spacing w:line="288" w:lineRule="auto" w:after="20" w:before="20"/>
            </w:pPr>
            <w:r>
              <w:rPr>
                <w:rFonts w:ascii="Cambria" w:hAnsi="Cambria" w:eastAsia="宋体"/>
                <w:b w:val="0"/>
                <w:i w:val="0"/>
                <w:color w:val="222222"/>
                <w:sz w:val="18"/>
              </w:rPr>
              <w:t>证据等级</w:t>
            </w:r>
          </w:p>
        </w:tc>
        <w:tc>
          <w:tcPr>
            <w:tcW w:type="dxa" w:w="3402"/>
          </w:tcPr>
          <w:p>
            <w:pPr>
              <w:spacing w:line="288" w:lineRule="auto" w:after="20" w:before="20"/>
            </w:pPr>
            <w:r>
              <w:rPr>
                <w:rFonts w:ascii="Cambria" w:hAnsi="Cambria" w:eastAsia="宋体"/>
                <w:b w:val="0"/>
                <w:i w:val="0"/>
                <w:color w:val="222222"/>
                <w:sz w:val="18"/>
              </w:rPr>
              <w:t>Evidence Level (E0–E6)</w:t>
            </w:r>
          </w:p>
        </w:tc>
        <w:tc>
          <w:tcPr>
            <w:tcW w:type="dxa" w:w="2268"/>
          </w:tcPr>
          <w:p>
            <w:pPr>
              <w:spacing w:line="288" w:lineRule="auto" w:after="20" w:before="20"/>
            </w:pPr>
            <w:r>
              <w:rPr>
                <w:rFonts w:ascii="Cambria" w:hAnsi="Cambria" w:eastAsia="宋体"/>
                <w:b w:val="0"/>
                <w:i w:val="0"/>
                <w:color w:val="222222"/>
                <w:sz w:val="18"/>
              </w:rPr>
              <w:t>正典绪论 / 第6章</w:t>
            </w:r>
          </w:p>
        </w:tc>
      </w:tr>
    </w:tbl>
    <w:p>
      <w:pPr>
        <w:spacing w:line="240" w:lineRule="auto" w:before="0" w:after="160"/>
      </w:pPr>
    </w:p>
    <w:p>
      <w:pPr>
        <w:spacing w:line="324" w:lineRule="auto" w:before="360" w:after="80"/>
      </w:pPr>
      <w:r>
        <w:rPr>
          <w:rFonts w:ascii="Cambria" w:hAnsi="Cambria" w:eastAsia="宋体"/>
          <w:b w:val="0"/>
          <w:i w:val="0"/>
          <w:color w:val="4A5A70"/>
          <w:sz w:val="19"/>
        </w:rPr>
        <w:t>本白皮书为公开发布文档，可自由传播。理论引用请以正典 《意义智能：意义文明的认知操作系统》V7.0 为准。</w:t>
      </w:r>
    </w:p>
    <w:p>
      <w:pPr>
        <w:spacing w:line="312" w:lineRule="auto" w:before="0" w:after="80"/>
      </w:pPr>
      <w:r>
        <w:rPr>
          <w:rFonts w:ascii="Cambria" w:hAnsi="Cambria" w:eastAsia="宋体"/>
          <w:b w:val="0"/>
          <w:i w:val="0"/>
          <w:color w:val="7A8CA3"/>
          <w:sz w:val="18"/>
        </w:rPr>
        <w:t>This white paper is a public release document and may be freely distributed. For theoretical citation, please refer to the canonical text, Meaning Intelligence: The Cognitive Operating System of Meaning Civilization, V7.0.</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