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8A9BAD"/>
          <w:spacing w:val="60"/>
          <w:sz w:val="18"/>
          <w:szCs w:val="18"/>
        </w:rPr>
        <w:t xml:space="preserve">SARA WILLIAMS — PORTFOLIO CONTENT</w:t>
      </w:r>
    </w:p>
    <w:p>
      <w:pPr>
        <w:pBdr>
          <w:bottom w:val="single" w:color="2D7D9A" w:sz="8" w:space="1"/>
        </w:pBdr>
        <w:spacing w:before="0" w:after="480"/>
      </w:pPr>
      <w:r>
        <w:rPr>
          <w:rFonts w:ascii="Arial" w:cs="Arial" w:eastAsia="Arial" w:hAnsi="Arial"/>
          <w:i/>
          <w:iCs/>
          <w:color w:val="8A9BAD"/>
          <w:sz w:val="18"/>
          <w:szCs w:val="18"/>
        </w:rPr>
        <w:t xml:space="preserve">Document 2A of 6: Homepage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2D7D9A"/>
          <w:spacing w:val="60"/>
          <w:sz w:val="16"/>
          <w:szCs w:val="16"/>
        </w:rPr>
        <w:t xml:space="preserve">SITE NAVIGATION REFERENCE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Navigation Structure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B7A"/>
          <w:sz w:val="22"/>
          <w:szCs w:val="22"/>
        </w:rPr>
        <w:t xml:space="preserve">The site has four top-level nav items. This document covers the Homepage only.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9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C6B7A"/>
                <w:sz w:val="20"/>
                <w:szCs w:val="20"/>
              </w:rPr>
              <w:t xml:space="preserve">Hero, intro, featured work cards, mini-about, contact CTA — this document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C6B7A"/>
                <w:sz w:val="20"/>
                <w:szCs w:val="20"/>
              </w:rPr>
              <w:t xml:space="preserve">Four featured case studies — separate documents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Other Work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C6B7A"/>
                <w:sz w:val="20"/>
                <w:szCs w:val="20"/>
              </w:rPr>
              <w:t xml:space="preserve">Supporting / in-progress work — future document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About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C6B7A"/>
                <w:sz w:val="20"/>
                <w:szCs w:val="20"/>
              </w:rPr>
              <w:t xml:space="preserve">Full bio, skills, values — Document 2B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Contact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C6B7A"/>
                <w:sz w:val="20"/>
                <w:szCs w:val="20"/>
              </w:rPr>
              <w:t xml:space="preserve">Email + LinkedIn — included in footer of this document</w:t>
            </w:r>
          </w:p>
        </w:tc>
      </w:tr>
    </w:tbl>
    <w:p>
      <w:pPr>
        <w:pBdr>
          <w:bottom w:val="single" w:color="D0DCE8" w:sz="4" w:space="1"/>
        </w:pBdr>
        <w:spacing w:before="240" w:after="24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2D7D9A"/>
          <w:spacing w:val="60"/>
          <w:sz w:val="16"/>
          <w:szCs w:val="16"/>
        </w:rPr>
        <w:t xml:space="preserve">SECTION 1 — HERO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📋  NOTE  </w:t>
            </w:r>
            <w:r>
              <w:rPr>
                <w:rFonts w:ascii="Arial" w:cs="Arial" w:eastAsia="Arial" w:hAnsi="Arial"/>
                <w:i/>
                <w:iCs/>
                <w:color w:val="5C6B7A"/>
                <w:sz w:val="18"/>
                <w:szCs w:val="18"/>
              </w:rPr>
              <w:t xml:space="preserve">IMAGE PLACEHOLDER — Hero / banner. Full width. Consider a professional photo, a design process shot, or an abstract element that reflects your aesthetic.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NAME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Sara Williams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TAGLINE / HEADLINE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I design products that work for real people — in the messiest, most complex systems.</w:t>
      </w:r>
    </w:p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SUB-HEADLINE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B7A"/>
          <w:sz w:val="22"/>
          <w:szCs w:val="22"/>
        </w:rPr>
        <w:t xml:space="preserve">Senior UX/UI Designer at Deloitte. I specialize in research-led, end-to-end product design for regulated industries — healthcare enrollment platforms, Medicaid compliance tools, and government portals where a confusing flow doesn’t just frustrate users—it affects their access to coverage.</w:t>
      </w:r>
    </w:p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CTA BUTTONS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My Work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9A"/>
                <w:sz w:val="22"/>
                <w:szCs w:val="22"/>
              </w:rPr>
              <w:t xml:space="preserve">About Me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A9BAD"/>
          <w:sz w:val="22"/>
          <w:szCs w:val="22"/>
        </w:rPr>
        <w:t xml:space="preserve">Optional tertiary link: Download Resume (text link beneath buttons)</w:t>
      </w:r>
    </w:p>
    <w:p>
      <w:pPr>
        <w:pBdr>
          <w:bottom w:val="single" w:color="D0DCE8" w:sz="4" w:space="1"/>
        </w:pBdr>
        <w:spacing w:before="240" w:after="24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2D7D9A"/>
          <w:spacing w:val="60"/>
          <w:sz w:val="16"/>
          <w:szCs w:val="16"/>
        </w:rPr>
        <w:t xml:space="preserve">SECTION 2 — FEATURED WORK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D7D9A"/>
          <w:sz w:val="28"/>
          <w:szCs w:val="28"/>
        </w:rPr>
        <w:t xml:space="preserve">Selected Work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B7A"/>
          <w:sz w:val="22"/>
          <w:szCs w:val="22"/>
        </w:rPr>
        <w:t xml:space="preserve">Four project cards displayed in a grid or stacked layout. Each card links to its full case study. Cards show title, tagline, and tags only — no role, no year, no metrics on the homepage.</w:t>
      </w:r>
    </w:p>
    <w:p>
      <w:pPr>
        <w:spacing w:before="160" w:after="0"/>
      </w:pPr>
      <w:r>
        <w:t xml:space="preserve"/>
      </w:r>
    </w:p>
    <w:p>
      <w:pPr>
        <w:pBdr>
          <w:top w:val="single" w:color="2D7D9A" w:sz="12" w:space="1"/>
        </w:pBd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7D9A"/>
                <w:sz w:val="18"/>
                <w:szCs w:val="1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2D7D9A"/>
                <w:sz w:val="34"/>
                <w:szCs w:val="34"/>
              </w:rPr>
              <w:t xml:space="preserve">State Benefits Portal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i/>
                <w:iCs/>
                <w:color w:val="5C6B7A"/>
                <w:sz w:val="22"/>
                <w:szCs w:val="22"/>
              </w:rPr>
              <w:t xml:space="preserve">Designing accessible, compliance-driven UX for a state health insurance exchange — at scale.</w:t>
            </w:r>
          </w:p>
          <w:tbl>
            <w:tblPr>
              <w:tblW w:type="auto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60"/>
              <w:gridCol w:w="1200"/>
              <w:gridCol w:w="160"/>
              <w:gridCol w:w="1200"/>
              <w:gridCol w:w="160"/>
              <w:gridCol w:w="1200"/>
            </w:tblGrid>
            <w:tr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Healthcare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Enterprise UX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Accessibility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Gov &amp; Public Services</w:t>
                  </w:r>
                </w:p>
              </w:tc>
            </w:tr>
          </w:tbl>
          <w:p>
            <w:pPr>
              <w:spacing w:before="160" w:after="0"/>
            </w:pPr>
            <w:r>
              <w:t xml:space="preserve"/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2D7D9A"/>
                <w:sz w:val="20"/>
                <w:szCs w:val="20"/>
              </w:rPr>
              <w:t xml:space="preserve">→ View Case Study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single" w:color="D0DCE8" w:sz="6" w:space="1"/>
        </w:pBd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A9BAD"/>
                <w:sz w:val="18"/>
                <w:szCs w:val="1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Compliance.Medicaid.AI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i/>
                <w:iCs/>
                <w:color w:val="5C6B7A"/>
                <w:sz w:val="22"/>
                <w:szCs w:val="22"/>
              </w:rPr>
              <w:t xml:space="preserve">Designing a human-in-the-loop AI tool for Medicaid contract compliance monitoring.</w:t>
            </w:r>
          </w:p>
          <w:tbl>
            <w:tblPr>
              <w:tblW w:type="auto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60"/>
              <w:gridCol w:w="1200"/>
              <w:gridCol w:w="160"/>
              <w:gridCol w:w="1200"/>
              <w:gridCol w:w="160"/>
              <w:gridCol w:w="1200"/>
            </w:tblGrid>
            <w:tr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AI Product Design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Healthcare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Human-in-the-Loop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Gov &amp; Public Services</w:t>
                  </w:r>
                </w:p>
              </w:tc>
            </w:tr>
          </w:tbl>
          <w:p>
            <w:pPr>
              <w:spacing w:before="160" w:after="0"/>
            </w:pPr>
            <w:r>
              <w:t xml:space="preserve"/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2D7D9A"/>
                <w:sz w:val="20"/>
                <w:szCs w:val="20"/>
              </w:rPr>
              <w:t xml:space="preserve">→ View Case Study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single" w:color="D0DCE8" w:sz="6" w:space="1"/>
        </w:pBd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A9BAD"/>
                <w:sz w:val="18"/>
                <w:szCs w:val="1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Ingage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i/>
                <w:iCs/>
                <w:color w:val="5C6B7A"/>
                <w:sz w:val="22"/>
                <w:szCs w:val="22"/>
              </w:rPr>
              <w:t xml:space="preserve">[PLACEHOLDER — add tagline when case study is ready]</w:t>
            </w:r>
          </w:p>
          <w:tbl>
            <w:tblPr>
              <w:tblW w:type="auto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60"/>
              <w:gridCol w:w="1200"/>
              <w:gridCol w:w="160"/>
              <w:gridCol w:w="1200"/>
            </w:tblGrid>
            <w:tr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Research-Led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UX Strategy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PLACEHOLDER</w:t>
                  </w:r>
                </w:p>
              </w:tc>
            </w:tr>
          </w:tbl>
          <w:p>
            <w:pPr>
              <w:spacing w:before="160" w:after="0"/>
            </w:pPr>
            <w:r>
              <w:t xml:space="preserve"/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2D7D9A"/>
                <w:sz w:val="20"/>
                <w:szCs w:val="20"/>
              </w:rPr>
              <w:t xml:space="preserve">→ View Case Study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single" w:color="D0DCE8" w:sz="6" w:space="1"/>
        </w:pBd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A9BAD"/>
                <w:sz w:val="18"/>
                <w:szCs w:val="1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CORA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i/>
                <w:iCs/>
                <w:color w:val="5C6B7A"/>
                <w:sz w:val="22"/>
                <w:szCs w:val="22"/>
              </w:rPr>
              <w:t xml:space="preserve">[PLACEHOLDER — add tagline when case study is ready]</w:t>
            </w:r>
          </w:p>
          <w:tbl>
            <w:tblPr>
              <w:tblW w:type="auto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60"/>
              <w:gridCol w:w="1200"/>
              <w:gridCol w:w="160"/>
              <w:gridCol w:w="1200"/>
            </w:tblGrid>
            <w:tr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Award-Winning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UX Design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2D7D9A" w:sz="2"/>
                    <w:left w:val="single" w:color="2D7D9A" w:sz="2"/>
                    <w:bottom w:val="single" w:color="2D7D9A" w:sz="2"/>
                    <w:right w:val="single" w:color="2D7D9A" w:sz="2"/>
                  </w:tcBorders>
                  <w:shd w:fill="E8F4F8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D9A"/>
                      <w:spacing w:val="20"/>
                      <w:sz w:val="16"/>
                      <w:szCs w:val="16"/>
                    </w:rPr>
                    <w:t xml:space="preserve">PLACEHOLDER</w:t>
                  </w:r>
                </w:p>
              </w:tc>
            </w:tr>
          </w:tbl>
          <w:p>
            <w:pPr>
              <w:spacing w:before="160" w:after="0"/>
            </w:pPr>
            <w:r>
              <w:t xml:space="preserve"/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2D7D9A"/>
                <w:sz w:val="20"/>
                <w:szCs w:val="20"/>
              </w:rPr>
              <w:t xml:space="preserve">→ View Case Study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📋  NOTE  </w:t>
            </w:r>
            <w:r>
              <w:rPr>
                <w:rFonts w:ascii="Arial" w:cs="Arial" w:eastAsia="Arial" w:hAnsi="Arial"/>
                <w:i/>
                <w:iCs/>
                <w:color w:val="5C6B7A"/>
                <w:sz w:val="18"/>
                <w:szCs w:val="18"/>
              </w:rPr>
              <w:t xml:space="preserve">DESIGN NOTE — Cards will link to the full case study page. Consider a hover state that subtly lifts the card and reveals a short "What I did" line, e.g. "Research · Design Systems · Accessibility."</w:t>
            </w:r>
          </w:p>
        </w:tc>
      </w:tr>
    </w:tbl>
    <w:p>
      <w:pPr>
        <w:pBdr>
          <w:bottom w:val="single" w:color="D0DCE8" w:sz="4" w:space="1"/>
        </w:pBdr>
        <w:spacing w:before="240" w:after="24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2D7D9A"/>
          <w:spacing w:val="60"/>
          <w:sz w:val="16"/>
          <w:szCs w:val="16"/>
        </w:rPr>
        <w:t xml:space="preserve">SECTION 3 — MINI ABOUT (HOMEPAGE TEASER)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D7D9A"/>
          <w:sz w:val="28"/>
          <w:szCs w:val="28"/>
        </w:rPr>
        <w:t xml:space="preserve">A quick intro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B7A"/>
          <w:sz w:val="22"/>
          <w:szCs w:val="22"/>
        </w:rPr>
        <w:t xml:space="preserve">Keep this short — it’s a teaser that drives to the full About page, not a replacement for it.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I’m Sara — a UX designer who thinks in systems and advocates for the humans navigating them.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B7A"/>
                <w:sz w:val="22"/>
                <w:szCs w:val="22"/>
              </w:rPr>
              <w:t xml:space="preserve">Five years designing in regulated, high-stakes environments has made me a more precise, more empathetic, and more systems-oriented designer. I care about the work that most people find too complicated to bother with.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2D7D9A"/>
                <w:sz w:val="20"/>
                <w:szCs w:val="20"/>
              </w:rPr>
              <w:t xml:space="preserve">→ More about me</w:t>
            </w:r>
          </w:p>
        </w:tc>
      </w:tr>
    </w:tbl>
    <w:p>
      <w:pPr>
        <w:pBdr>
          <w:bottom w:val="single" w:color="D0DCE8" w:sz="4" w:space="1"/>
        </w:pBdr>
        <w:spacing w:before="240" w:after="24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2D7D9A"/>
          <w:spacing w:val="60"/>
          <w:sz w:val="16"/>
          <w:szCs w:val="16"/>
        </w:rPr>
        <w:t xml:space="preserve">SECTION 4 — CONTACT / FOOTER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D7D9A"/>
          <w:sz w:val="28"/>
          <w:szCs w:val="28"/>
        </w:rPr>
        <w:t xml:space="preserve">Let’s Connect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B7A"/>
          <w:sz w:val="22"/>
          <w:szCs w:val="22"/>
        </w:rPr>
        <w:t xml:space="preserve">I’m always open to thoughtful conversations about design, collaboration, or new opportunities. The best way to reach me is email — I actually read it.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Email</w:t>
            </w:r>
          </w:p>
          <w:p>
            <w:pPr>
              <w:spacing w:before="60" w:after="60"/>
            </w:pPr>
            <w:hyperlink w:history="1" r:id="rIdmfuqyrd6kfjsz1ihhze2p">
              <w:r>
                <w:rPr>
                  <w:rFonts w:ascii="Arial" w:cs="Arial" w:eastAsia="Arial" w:hAnsi="Arial"/>
                  <w:color w:val="2D7D9A"/>
                  <w:sz w:val="22"/>
                  <w:szCs w:val="22"/>
                  <w:u w:val="single"/>
                </w:rPr>
                <w:t xml:space="preserve">sara@msswilliams.com</w:t>
              </w:r>
            </w:hyperlink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LinkedIn</w:t>
            </w:r>
          </w:p>
          <w:p>
            <w:pPr>
              <w:spacing w:before="60" w:after="60"/>
            </w:pPr>
            <w:hyperlink w:history="1" r:id="rIdljzrgzo52aattgcp1ozsn">
              <w:r>
                <w:rPr>
                  <w:rFonts w:ascii="Arial" w:cs="Arial" w:eastAsia="Arial" w:hAnsi="Arial"/>
                  <w:color w:val="2D7D9A"/>
                  <w:sz w:val="22"/>
                  <w:szCs w:val="22"/>
                  <w:u w:val="single"/>
                </w:rPr>
                <w:t xml:space="preserve">linkedin.com/in/sara-williams-46a36b198</w:t>
              </w:r>
            </w:hyperlink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A9BAD"/>
          <w:sz w:val="22"/>
          <w:szCs w:val="22"/>
        </w:rPr>
        <w:t xml:space="preserve">[PLACEHOLDER — Add Dribbble, Behance, or other social links if applicable]</w:t>
      </w:r>
    </w:p>
    <w:p>
      <w:pPr>
        <w:spacing w:before="400" w:after="0"/>
      </w:pPr>
      <w:r>
        <w:t xml:space="preserve"/>
      </w:r>
    </w:p>
    <w:p>
      <w:pPr>
        <w:pBdr>
          <w:top w:val="single" w:color="D0DCE8" w:sz="4" w:space="1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8A9BAD"/>
          <w:sz w:val="16"/>
          <w:szCs w:val="16"/>
        </w:rPr>
        <w:t xml:space="preserve">Sara Williams Portfolio — Document 2A of 6  |  Homepage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C6B7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fuqyrd6kfjsz1ihhze2p" Type="http://schemas.openxmlformats.org/officeDocument/2006/relationships/hyperlink" Target="mailto:sara@msswilliams.com" TargetMode="External"/><Relationship Id="rIdljzrgzo52aattgcp1ozsn" Type="http://schemas.openxmlformats.org/officeDocument/2006/relationships/hyperlink" Target="https://www.linkedin.com/in/sara-williams-46a36b198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2026-03-18T20:54:22.725Z</dcterms:created>
  <dcterms:modified xsi:type="dcterms:W3CDTF">2026-03-18T20:54:22.726Z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