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2E7D5E"/>
          <w:sz w:val="18"/>
          <w:szCs w:val="18"/>
        </w:rPr>
        <w:t xml:space="preserve">CASE STUDY</w:t>
      </w:r>
    </w:p>
    <w:p>
      <w:pPr>
        <w:spacing w:before="0" w:after="120"/>
      </w:pPr>
      <w:r>
        <w:rPr>
          <w:rFonts w:ascii="Arial" w:cs="Arial" w:eastAsia="Arial" w:hAnsi="Arial"/>
          <w:b/>
          <w:bCs/>
          <w:color w:val="1A1A2E"/>
          <w:sz w:val="56"/>
          <w:szCs w:val="56"/>
        </w:rPr>
        <w:t xml:space="preserve">Compliance.Medicaid.AI</w:t>
      </w:r>
    </w:p>
    <w:p>
      <w:pPr>
        <w:spacing w:before="0" w:after="240"/>
      </w:pPr>
      <w:r>
        <w:rPr>
          <w:rFonts w:ascii="Arial" w:cs="Arial" w:eastAsia="Arial" w:hAnsi="Arial"/>
          <w:i/>
          <w:iCs/>
          <w:color w:val="6B7280"/>
          <w:sz w:val="26"/>
          <w:szCs w:val="26"/>
        </w:rPr>
        <w:t xml:space="preserve">Designing a Human-in-the-Loop AI Tool for Medicaid Contract Compliance Monitoring</w:t>
      </w:r>
    </w:p>
    <w:p>
      <w:pPr>
        <w:pBdr>
          <w:bottom w:val="single" w:color="2E7D5E" w:sz="4" w:space="1"/>
        </w:pBdr>
        <w:spacing w:before="20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2E7D5E"/>
                <w:sz w:val="18"/>
                <w:szCs w:val="18"/>
              </w:rPr>
              <w:t xml:space="preserve">PRODUCT</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2D2D2D"/>
                <w:sz w:val="20"/>
                <w:szCs w:val="20"/>
              </w:rPr>
              <w:t xml:space="preserve">Compliance.Medicaid.AI — embedded within the HealthPerform™ Contract Monitoring Application</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2E7D5E"/>
                <w:sz w:val="18"/>
                <w:szCs w:val="18"/>
              </w:rPr>
              <w:t xml:space="preserve">MY ROLE</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2D2D2D"/>
                <w:sz w:val="20"/>
                <w:szCs w:val="20"/>
              </w:rPr>
              <w:t xml:space="preserve">Solo UX/UI Designer with direction from PM/lead collaborator</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2E7D5E"/>
                <w:sz w:val="18"/>
                <w:szCs w:val="18"/>
              </w:rPr>
              <w:t xml:space="preserve">TEAM</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2D2D2D"/>
                <w:sz w:val="20"/>
                <w:szCs w:val="20"/>
              </w:rPr>
              <w:t xml:space="preserve">Partnered with Norberto Sanchez (lead); cross-functional with engineering and product</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2E7D5E"/>
                <w:sz w:val="18"/>
                <w:szCs w:val="18"/>
              </w:rPr>
              <w:t xml:space="preserve">DELIVERABLES</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2D2D2D"/>
                <w:sz w:val="20"/>
                <w:szCs w:val="20"/>
              </w:rPr>
              <w:t xml:space="preserve">Dashboard UI, contract upload &amp; ingestion flow, AI-generated standards review UI, data visualization, demo video (Premiere Pro &amp; After Effects)</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2E7D5E"/>
                <w:sz w:val="18"/>
                <w:szCs w:val="18"/>
              </w:rPr>
              <w:t xml:space="preserve">TOOLS</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2D2D2D"/>
                <w:sz w:val="20"/>
                <w:szCs w:val="20"/>
              </w:rPr>
              <w:t xml:space="preserve">Figma, Premiere Pro, After Effects, government/agency design system</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2E7D5E"/>
                <w:sz w:val="18"/>
                <w:szCs w:val="18"/>
              </w:rPr>
              <w:t xml:space="preserve">CONTEXT</w:t>
            </w:r>
          </w:p>
        </w:tc>
        <w:tc>
          <w:tcPr>
            <w:tcW w:type="dxa" w:w="69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2D2D2D"/>
                <w:sz w:val="20"/>
                <w:szCs w:val="20"/>
              </w:rPr>
              <w:t xml:space="preserve">Internal product initiative — MVP stage, demonstrated at national Medicaid conference (MESC 2025)</w:t>
            </w:r>
          </w:p>
        </w:tc>
      </w:tr>
    </w:tbl>
    <w:p>
      <w:pPr>
        <w:pBdr>
          <w:bottom w:val="single" w:color="2E7D5E" w:sz="4" w:space="1"/>
        </w:pBdr>
        <w:spacing w:before="200" w:after="200"/>
      </w:pPr>
      <w:r>
        <w:t xml:space="preserve"/>
      </w:r>
    </w:p>
    <w:p>
      <w:pPr>
        <w:pStyle w:val="Heading2"/>
        <w:spacing w:before="320" w:after="120"/>
      </w:pPr>
      <w:r>
        <w:rPr>
          <w:rFonts w:ascii="Arial" w:cs="Arial" w:eastAsia="Arial" w:hAnsi="Arial"/>
          <w:b/>
          <w:bCs/>
          <w:color w:val="1A1A2E"/>
          <w:sz w:val="26"/>
          <w:szCs w:val="26"/>
        </w:rPr>
        <w:t xml:space="preserve">Impact at a Glance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F0F7F4" w:val="clear"/>
            <w:tcMar>
              <w:top w:type="dxa" w:w="160"/>
              <w:left w:type="dxa" w:w="180"/>
              <w:bottom w:type="dxa" w:w="160"/>
              <w:right w:type="dxa" w:w="180"/>
            </w:tcMar>
          </w:tcPr>
          <w:p>
            <w:pPr>
              <w:jc w:val="center"/>
            </w:pPr>
            <w:r>
              <w:rPr>
                <w:rFonts w:ascii="Arial" w:cs="Arial" w:eastAsia="Arial" w:hAnsi="Arial"/>
                <w:b/>
                <w:bCs/>
                <w:color w:val="2E7D5E"/>
                <w:sz w:val="52"/>
                <w:szCs w:val="52"/>
              </w:rPr>
              <w:t xml:space="preserve">Days → Minutes</w:t>
            </w:r>
          </w:p>
          <w:p>
            <w:pPr>
              <w:spacing w:before="60"/>
              <w:jc w:val="center"/>
            </w:pPr>
            <w:r>
              <w:rPr>
                <w:rFonts w:ascii="Arial" w:cs="Arial" w:eastAsia="Arial" w:hAnsi="Arial"/>
                <w:color w:val="6B7280"/>
                <w:sz w:val="18"/>
                <w:szCs w:val="18"/>
              </w:rPr>
              <w:t xml:space="preserve">contract review and segmentation time — hundreds or thousands of pages processed automatically</w:t>
            </w:r>
          </w:p>
        </w:tc>
        <w:tc>
          <w:tcPr>
            <w:tcW w:type="dxa" w:w="3120"/>
            <w:tcBorders>
              <w:top w:val="single" w:color="D1D5DB" w:sz="1"/>
              <w:left w:val="single" w:color="D1D5DB" w:sz="1"/>
              <w:bottom w:val="single" w:color="D1D5DB" w:sz="1"/>
              <w:right w:val="single" w:color="D1D5DB" w:sz="1"/>
            </w:tcBorders>
            <w:shd w:fill="F0F7F4" w:val="clear"/>
            <w:tcMar>
              <w:top w:type="dxa" w:w="160"/>
              <w:left w:type="dxa" w:w="180"/>
              <w:bottom w:type="dxa" w:w="160"/>
              <w:right w:type="dxa" w:w="180"/>
            </w:tcMar>
          </w:tcPr>
          <w:p>
            <w:pPr>
              <w:jc w:val="center"/>
            </w:pPr>
            <w:r>
              <w:rPr>
                <w:rFonts w:ascii="Arial" w:cs="Arial" w:eastAsia="Arial" w:hAnsi="Arial"/>
                <w:b/>
                <w:bCs/>
                <w:color w:val="2E7D5E"/>
                <w:sz w:val="52"/>
                <w:szCs w:val="52"/>
              </w:rPr>
              <w:t xml:space="preserve">Human-in-the-Loop</w:t>
            </w:r>
          </w:p>
          <w:p>
            <w:pPr>
              <w:spacing w:before="60"/>
              <w:jc w:val="center"/>
            </w:pPr>
            <w:r>
              <w:rPr>
                <w:rFonts w:ascii="Arial" w:cs="Arial" w:eastAsia="Arial" w:hAnsi="Arial"/>
                <w:color w:val="6B7280"/>
                <w:sz w:val="18"/>
                <w:szCs w:val="18"/>
              </w:rPr>
              <w:t xml:space="preserve">final determination always stays with the reviewer — AI proposes, humans decide</w:t>
            </w:r>
          </w:p>
        </w:tc>
        <w:tc>
          <w:tcPr>
            <w:tcW w:type="dxa" w:w="3120"/>
            <w:tcBorders>
              <w:top w:val="single" w:color="D1D5DB" w:sz="1"/>
              <w:left w:val="single" w:color="D1D5DB" w:sz="1"/>
              <w:bottom w:val="single" w:color="D1D5DB" w:sz="1"/>
              <w:right w:val="single" w:color="D1D5DB" w:sz="1"/>
            </w:tcBorders>
            <w:shd w:fill="F0F7F4" w:val="clear"/>
            <w:tcMar>
              <w:top w:type="dxa" w:w="160"/>
              <w:left w:type="dxa" w:w="180"/>
              <w:bottom w:type="dxa" w:w="160"/>
              <w:right w:type="dxa" w:w="180"/>
            </w:tcMar>
          </w:tcPr>
          <w:p>
            <w:pPr>
              <w:jc w:val="center"/>
            </w:pPr>
            <w:r>
              <w:rPr>
                <w:rFonts w:ascii="Arial" w:cs="Arial" w:eastAsia="Arial" w:hAnsi="Arial"/>
                <w:b/>
                <w:bCs/>
                <w:color w:val="2E7D5E"/>
                <w:sz w:val="52"/>
                <w:szCs w:val="52"/>
              </w:rPr>
              <w:t xml:space="preserve">MESC 2025</w:t>
            </w:r>
          </w:p>
          <w:p>
            <w:pPr>
              <w:spacing w:before="60"/>
              <w:jc w:val="center"/>
            </w:pPr>
            <w:r>
              <w:rPr>
                <w:rFonts w:ascii="Arial" w:cs="Arial" w:eastAsia="Arial" w:hAnsi="Arial"/>
                <w:color w:val="6B7280"/>
                <w:sz w:val="18"/>
                <w:szCs w:val="18"/>
              </w:rPr>
              <w:t xml:space="preserve">national Medicaid conference where the demo was validated by senior state officials</w:t>
            </w:r>
          </w:p>
        </w:tc>
      </w:tr>
    </w:tbl>
    <w:p>
      <w:pPr>
        <w:spacing w:before="0" w:after="80"/>
      </w:pPr>
      <w:r>
        <w:t xml:space="preserve"/>
      </w:r>
    </w:p>
    <w:p>
      <w:pPr>
        <w:spacing w:before="80" w:after="120"/>
      </w:pPr>
      <w:r>
        <w:rPr>
          <w:rFonts w:ascii="Arial" w:cs="Arial" w:eastAsia="Arial" w:hAnsi="Arial"/>
          <w:b w:val="false"/>
          <w:bCs w:val="false"/>
          <w:i w:val="false"/>
          <w:iCs w:val="false"/>
          <w:color w:val="2D2D2D"/>
          <w:sz w:val="22"/>
          <w:szCs w:val="22"/>
        </w:rPr>
        <w:t xml:space="preserve">The demo video was actively used at Deloitte's conference booth, requested for additional state demos, and submitted to Deloitte's 2025 Digital Health Video Symposium — confirming the work reached real audiences beyond its MVP stage.</w:t>
      </w:r>
    </w:p>
    <w:p>
      <w:pPr>
        <w:pBdr>
          <w:bottom w:val="single" w:color="2E7D5E" w:sz="4" w:space="1"/>
        </w:pBdr>
        <w:spacing w:before="200" w:after="200"/>
      </w:pPr>
      <w:r>
        <w:t xml:space="preserve"/>
      </w:r>
    </w:p>
    <w:p>
      <w:pPr>
        <w:pStyle w:val="Heading2"/>
        <w:spacing w:before="320" w:after="120"/>
      </w:pPr>
      <w:r>
        <w:rPr>
          <w:rFonts w:ascii="Arial" w:cs="Arial" w:eastAsia="Arial" w:hAnsi="Arial"/>
          <w:b/>
          <w:bCs/>
          <w:color w:val="1A1A2E"/>
          <w:sz w:val="26"/>
          <w:szCs w:val="26"/>
        </w:rPr>
        <w:t xml:space="preserve">Context &amp; Background</w:t>
      </w:r>
    </w:p>
    <w:p>
      <w:pPr>
        <w:spacing w:before="80" w:after="120"/>
      </w:pPr>
      <w:r>
        <w:rPr>
          <w:rFonts w:ascii="Arial" w:cs="Arial" w:eastAsia="Arial" w:hAnsi="Arial"/>
          <w:b w:val="false"/>
          <w:bCs w:val="false"/>
          <w:i w:val="false"/>
          <w:iCs w:val="false"/>
          <w:color w:val="2D2D2D"/>
          <w:sz w:val="22"/>
          <w:szCs w:val="22"/>
        </w:rPr>
        <w:t xml:space="preserve">HealthPerform™ is a Medicaid program oversight and contract monitoring platform used by state agencies to manage and evaluate contracts with Managed Care Organizations (MCOs) and vendors. A core function of the platform is helping state teams monitor vendor agreements — tracking whether vendors are actually adhering to the specific provisions they're contractually obligated to meet.</w:t>
      </w:r>
    </w:p>
    <w:p>
      <w:pPr>
        <w:spacing w:before="0" w:after="80"/>
      </w:pPr>
      <w:r>
        <w:t xml:space="preserve"/>
      </w:r>
    </w:p>
    <w:p>
      <w:pPr>
        <w:spacing w:before="80" w:after="120"/>
      </w:pPr>
      <w:r>
        <w:rPr>
          <w:rFonts w:ascii="Arial" w:cs="Arial" w:eastAsia="Arial" w:hAnsi="Arial"/>
          <w:b w:val="false"/>
          <w:bCs w:val="false"/>
          <w:i w:val="false"/>
          <w:iCs w:val="false"/>
          <w:color w:val="2D2D2D"/>
          <w:sz w:val="22"/>
          <w:szCs w:val="22"/>
        </w:rPr>
        <w:t xml:space="preserve">This is a high-stakes, resource-constrained function. State teams are responsible for overseeing numerous vendor contracts simultaneously, each potentially hundreds of pages long, with complex and often ambiguous language. The compliance determination process — figuring out whether a vendor is meeting their contractual obligations — had historically been entirely manual.</w:t>
      </w:r>
    </w:p>
    <w:p>
      <w:pPr>
        <w:spacing w:before="0" w:after="80"/>
      </w:pPr>
      <w:r>
        <w:t xml:space="preserve"/>
      </w:r>
    </w:p>
    <w:p>
      <w:pPr>
        <w:spacing w:before="80" w:after="120"/>
      </w:pPr>
      <w:r>
        <w:rPr>
          <w:rFonts w:ascii="Arial" w:cs="Arial" w:eastAsia="Arial" w:hAnsi="Arial"/>
          <w:b w:val="false"/>
          <w:bCs w:val="false"/>
          <w:i w:val="false"/>
          <w:iCs w:val="false"/>
          <w:color w:val="2D2D2D"/>
          <w:sz w:val="22"/>
          <w:szCs w:val="22"/>
        </w:rPr>
        <w:t xml:space="preserve">I joined this initiative as the solo UX/UI designer, working with direction from a lead collaborator. The project was an internal product innovation effort at MVP stage — fast-moving, high-visibility, and designed to demonstrate the value of AI-assisted compliance monitoring to state clients and Deloitte leadership alike.</w:t>
      </w:r>
    </w:p>
    <w:p>
      <w:pPr>
        <w:pBdr>
          <w:bottom w:val="single" w:color="2E7D5E" w:sz="4" w:space="1"/>
        </w:pBdr>
        <w:spacing w:before="200" w:after="200"/>
      </w:pPr>
      <w:r>
        <w:t xml:space="preserve"/>
      </w:r>
    </w:p>
    <w:p>
      <w:pPr>
        <w:pStyle w:val="Heading2"/>
        <w:spacing w:before="320" w:after="120"/>
      </w:pPr>
      <w:r>
        <w:rPr>
          <w:rFonts w:ascii="Arial" w:cs="Arial" w:eastAsia="Arial" w:hAnsi="Arial"/>
          <w:b/>
          <w:bCs/>
          <w:color w:val="1A1A2E"/>
          <w:sz w:val="26"/>
          <w:szCs w:val="26"/>
        </w:rPr>
        <w:t xml:space="preserve">The Problem</w:t>
      </w:r>
    </w:p>
    <w:p>
      <w:pPr>
        <w:spacing w:before="80" w:after="120"/>
      </w:pPr>
      <w:r>
        <w:rPr>
          <w:rFonts w:ascii="Arial" w:cs="Arial" w:eastAsia="Arial" w:hAnsi="Arial"/>
          <w:b w:val="false"/>
          <w:bCs w:val="false"/>
          <w:i w:val="false"/>
          <w:iCs w:val="false"/>
          <w:color w:val="2D2D2D"/>
          <w:sz w:val="22"/>
          <w:szCs w:val="22"/>
        </w:rPr>
        <w:t xml:space="preserve">State teams responsible for monitoring vendor contract adherence face a process that is slow, inconsistent, and difficult to scale. Specifically:</w:t>
      </w:r>
    </w:p>
    <w:p>
      <w:pPr>
        <w:spacing w:before="0" w:after="60"/>
      </w:pPr>
      <w:r>
        <w:t xml:space="preserve"/>
      </w:r>
    </w:p>
    <w:p>
      <w:pPr>
        <w:pStyle w:val="ListParagraph"/>
        <w:numPr>
          <w:ilvl w:val="0"/>
          <w:numId w:val="2"/>
        </w:numPr>
        <w:spacing w:before="60" w:after="60"/>
      </w:pPr>
      <w:r>
        <w:rPr>
          <w:rFonts w:ascii="Arial" w:cs="Arial" w:eastAsia="Arial" w:hAnsi="Arial"/>
          <w:color w:val="2D2D2D"/>
          <w:sz w:val="22"/>
          <w:szCs w:val="22"/>
        </w:rPr>
        <w:t xml:space="preserve">Contracts are massive — often hundreds or thousands of pages — requiring manual extraction of every monitorable provision</w:t>
      </w:r>
    </w:p>
    <w:p>
      <w:pPr>
        <w:pStyle w:val="ListParagraph"/>
        <w:numPr>
          <w:ilvl w:val="0"/>
          <w:numId w:val="2"/>
        </w:numPr>
        <w:spacing w:before="60" w:after="60"/>
      </w:pPr>
      <w:r>
        <w:rPr>
          <w:rFonts w:ascii="Arial" w:cs="Arial" w:eastAsia="Arial" w:hAnsi="Arial"/>
          <w:color w:val="2D2D2D"/>
          <w:sz w:val="22"/>
          <w:szCs w:val="22"/>
        </w:rPr>
        <w:t xml:space="preserve">The review process is slow and resource-intensive, limiting how much oversight a state team can realistically maintain</w:t>
      </w:r>
    </w:p>
    <w:p>
      <w:pPr>
        <w:pStyle w:val="ListParagraph"/>
        <w:numPr>
          <w:ilvl w:val="0"/>
          <w:numId w:val="2"/>
        </w:numPr>
        <w:spacing w:before="60" w:after="60"/>
      </w:pPr>
      <w:r>
        <w:rPr>
          <w:rFonts w:ascii="Arial" w:cs="Arial" w:eastAsia="Arial" w:hAnsi="Arial"/>
          <w:color w:val="2D2D2D"/>
          <w:sz w:val="22"/>
          <w:szCs w:val="22"/>
        </w:rPr>
        <w:t xml:space="preserve">Complex contractual language is interpreted inconsistently across reviewers, creating compliance gaps and defensibility risks</w:t>
      </w:r>
    </w:p>
    <w:p>
      <w:pPr>
        <w:pStyle w:val="ListParagraph"/>
        <w:numPr>
          <w:ilvl w:val="0"/>
          <w:numId w:val="2"/>
        </w:numPr>
        <w:spacing w:before="60" w:after="60"/>
      </w:pPr>
      <w:r>
        <w:rPr>
          <w:rFonts w:ascii="Arial" w:cs="Arial" w:eastAsia="Arial" w:hAnsi="Arial"/>
          <w:color w:val="2D2D2D"/>
          <w:sz w:val="22"/>
          <w:szCs w:val="22"/>
        </w:rPr>
        <w:t xml:space="preserve">Connecting vendor-submitted documentation back to the exact contractual requirement it addresses is difficult — reviewers can't efficiently trace evidence to its source</w:t>
      </w:r>
    </w:p>
    <w:p>
      <w:pPr>
        <w:spacing w:before="0" w:after="80"/>
      </w:pPr>
      <w:r>
        <w:t xml:space="preserve"/>
      </w:r>
    </w:p>
    <w:p>
      <w:pPr>
        <w:spacing w:before="80" w:after="120"/>
      </w:pPr>
      <w:r>
        <w:rPr>
          <w:rFonts w:ascii="Arial" w:cs="Arial" w:eastAsia="Arial" w:hAnsi="Arial"/>
          <w:b w:val="false"/>
          <w:bCs w:val="false"/>
          <w:i w:val="false"/>
          <w:iCs w:val="false"/>
          <w:color w:val="2D2D2D"/>
          <w:sz w:val="22"/>
          <w:szCs w:val="22"/>
        </w:rPr>
        <w:t xml:space="preserve">The result: state agencies responsible for ensuring vendor compliance are limited in how rigorously they can do their jobs — not because of lack of expertise, but because the volume and complexity of contracts makes thorough, consistent monitoring nearly impossible at scale.</w:t>
      </w:r>
    </w:p>
    <w:p>
      <w:pPr>
        <w:spacing w:before="0" w:after="80"/>
      </w:pPr>
      <w:r>
        <w:t xml:space="preserve"/>
      </w:r>
    </w:p>
    <w:p>
      <w:pPr>
        <w:shd w:fill="F0F7F4" w:val="clear"/>
        <w:spacing w:before="120" w:after="80"/>
      </w:pPr>
      <w:r>
        <w:rPr>
          <w:rFonts w:ascii="Arial" w:cs="Arial" w:eastAsia="Arial" w:hAnsi="Arial"/>
          <w:b/>
          <w:bCs/>
          <w:color w:val="2E7D5E"/>
          <w:sz w:val="20"/>
          <w:szCs w:val="20"/>
        </w:rPr>
        <w:t xml:space="preserve">Design Challenge</w:t>
      </w:r>
    </w:p>
    <w:p>
      <w:pPr>
        <w:shd w:fill="F0F7F4" w:val="clear"/>
        <w:spacing w:before="80" w:after="160"/>
      </w:pPr>
      <w:r>
        <w:rPr>
          <w:rFonts w:ascii="Arial" w:cs="Arial" w:eastAsia="Arial" w:hAnsi="Arial"/>
          <w:i/>
          <w:iCs/>
          <w:color w:val="1A1A2E"/>
          <w:sz w:val="24"/>
          <w:szCs w:val="24"/>
        </w:rPr>
        <w:t xml:space="preserve">How might we design a UI that lets state reviewers validate vendor compliance and make final determinations — without wading through entire contracts — while keeping human judgment at the center of every decision?</w:t>
      </w:r>
    </w:p>
    <w:p>
      <w:pPr>
        <w:pBdr>
          <w:bottom w:val="single" w:color="2E7D5E" w:sz="4" w:space="1"/>
        </w:pBdr>
        <w:spacing w:before="200" w:after="200"/>
      </w:pPr>
      <w:r>
        <w:t xml:space="preserve"/>
      </w:r>
    </w:p>
    <w:p>
      <w:pPr>
        <w:pStyle w:val="Heading2"/>
        <w:spacing w:before="320" w:after="120"/>
      </w:pPr>
      <w:r>
        <w:rPr>
          <w:rFonts w:ascii="Arial" w:cs="Arial" w:eastAsia="Arial" w:hAnsi="Arial"/>
          <w:b/>
          <w:bCs/>
          <w:color w:val="1A1A2E"/>
          <w:sz w:val="26"/>
          <w:szCs w:val="26"/>
        </w:rPr>
        <w:t xml:space="preserve">My Approach</w:t>
      </w:r>
    </w:p>
    <w:p>
      <w:pPr>
        <w:spacing w:before="80" w:after="120"/>
      </w:pPr>
      <w:r>
        <w:rPr>
          <w:rFonts w:ascii="Arial" w:cs="Arial" w:eastAsia="Arial" w:hAnsi="Arial"/>
          <w:b w:val="false"/>
          <w:bCs w:val="false"/>
          <w:i w:val="false"/>
          <w:iCs w:val="false"/>
          <w:color w:val="2D2D2D"/>
          <w:sz w:val="22"/>
          <w:szCs w:val="22"/>
        </w:rPr>
        <w:t xml:space="preserve">Before opening Figma, I conducted secondary research focused on two areas that directly shaped my design decisions: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0F7F4" w:val="clear"/>
            <w:tcMar>
              <w:top w:type="dxa" w:w="160"/>
              <w:left w:type="dxa" w:w="200"/>
              <w:bottom w:type="dxa" w:w="160"/>
              <w:right w:type="dxa" w:w="200"/>
            </w:tcMar>
          </w:tcPr>
          <w:p>
            <w:r>
              <w:rPr>
                <w:rFonts w:ascii="Arial" w:cs="Arial" w:eastAsia="Arial" w:hAnsi="Arial"/>
                <w:b/>
                <w:bCs/>
                <w:color w:val="1A1A2E"/>
                <w:sz w:val="22"/>
                <w:szCs w:val="22"/>
              </w:rPr>
              <w:t xml:space="preserve">AI Agent UX Best Practices</w:t>
            </w:r>
          </w:p>
          <w:p>
            <w:pPr>
              <w:spacing w:before="80"/>
            </w:pPr>
            <w:r>
              <w:rPr>
                <w:rFonts w:ascii="Arial" w:cs="Arial" w:eastAsia="Arial" w:hAnsi="Arial"/>
                <w:color w:val="2D2D2D"/>
                <w:sz w:val="20"/>
                <w:szCs w:val="20"/>
              </w:rPr>
              <w:t xml:space="preserve">I researched how AI agents should communicate outputs — specifically how to surface generated content in a way that signals it is a draft, not a final answer. This informed decisions around labeling, edit affordances, and the visual treatment of AI-suggested content throughout the UI.</w:t>
            </w:r>
          </w:p>
        </w:tc>
        <w:tc>
          <w:tcPr>
            <w:tcW w:type="dxa" w:w="4680"/>
            <w:tcBorders>
              <w:top w:val="single" w:color="D1D5DB" w:sz="1"/>
              <w:left w:val="single" w:color="D1D5DB" w:sz="1"/>
              <w:bottom w:val="single" w:color="D1D5DB" w:sz="1"/>
              <w:right w:val="single" w:color="D1D5DB" w:sz="1"/>
            </w:tcBorders>
            <w:shd w:fill="F0F7F4" w:val="clear"/>
            <w:tcMar>
              <w:top w:type="dxa" w:w="160"/>
              <w:left w:type="dxa" w:w="200"/>
              <w:bottom w:type="dxa" w:w="160"/>
              <w:right w:type="dxa" w:w="200"/>
            </w:tcMar>
          </w:tcPr>
          <w:p>
            <w:r>
              <w:rPr>
                <w:rFonts w:ascii="Arial" w:cs="Arial" w:eastAsia="Arial" w:hAnsi="Arial"/>
                <w:b/>
                <w:bCs/>
                <w:color w:val="1A1A2E"/>
                <w:sz w:val="22"/>
                <w:szCs w:val="22"/>
              </w:rPr>
              <w:t xml:space="preserve">Information Hierarchy for Complex Data</w:t>
            </w:r>
          </w:p>
          <w:p>
            <w:pPr>
              <w:spacing w:before="80"/>
            </w:pPr>
            <w:r>
              <w:rPr>
                <w:rFonts w:ascii="Arial" w:cs="Arial" w:eastAsia="Arial" w:hAnsi="Arial"/>
                <w:color w:val="2D2D2D"/>
                <w:sz w:val="20"/>
                <w:szCs w:val="20"/>
              </w:rPr>
              <w:t xml:space="preserve">Contract compliance data is dense and multi-layered. I studied how to structure dashboards for regulatory and oversight contexts — prioritizing scannability, progressive disclosure, and the separation of AI outputs from verified human decisions.</w:t>
            </w:r>
          </w:p>
        </w:tc>
      </w:tr>
    </w:tbl>
    <w:p>
      <w:pPr>
        <w:spacing w:before="0" w:after="80"/>
      </w:pPr>
      <w:r>
        <w:t xml:space="preserve"/>
      </w:r>
    </w:p>
    <w:p>
      <w:pPr>
        <w:spacing w:before="80" w:after="120"/>
      </w:pPr>
      <w:r>
        <w:rPr>
          <w:rFonts w:ascii="Arial" w:cs="Arial" w:eastAsia="Arial" w:hAnsi="Arial"/>
          <w:b w:val="false"/>
          <w:bCs w:val="false"/>
          <w:i w:val="false"/>
          <w:iCs w:val="false"/>
          <w:color w:val="2D2D2D"/>
          <w:sz w:val="22"/>
          <w:szCs w:val="22"/>
        </w:rPr>
        <w:t xml:space="preserve">I also worked within an existing government/agency design system, which constrained some visual decisions but gave the UI immediate credibility and familiarity for state government users — an important trust signal in a compliance context.</w:t>
      </w:r>
    </w:p>
    <w:p>
      <w:pPr>
        <w:pBdr>
          <w:bottom w:val="single" w:color="2E7D5E" w:sz="4" w:space="1"/>
        </w:pBdr>
        <w:spacing w:before="200" w:after="200"/>
      </w:pPr>
      <w:r>
        <w:t xml:space="preserve"/>
      </w:r>
    </w:p>
    <w:p>
      <w:pPr>
        <w:pStyle w:val="Heading2"/>
        <w:spacing w:before="320" w:after="120"/>
      </w:pPr>
      <w:r>
        <w:rPr>
          <w:rFonts w:ascii="Arial" w:cs="Arial" w:eastAsia="Arial" w:hAnsi="Arial"/>
          <w:b/>
          <w:bCs/>
          <w:color w:val="1A1A2E"/>
          <w:sz w:val="26"/>
          <w:szCs w:val="26"/>
        </w:rPr>
        <w:t xml:space="preserve">The Solution: Compliance.Medicaid.AI</w:t>
      </w:r>
    </w:p>
    <w:p>
      <w:pPr>
        <w:spacing w:before="80" w:after="120"/>
      </w:pPr>
      <w:r>
        <w:rPr>
          <w:rFonts w:ascii="Arial" w:cs="Arial" w:eastAsia="Arial" w:hAnsi="Arial"/>
          <w:b w:val="false"/>
          <w:bCs w:val="false"/>
          <w:i w:val="false"/>
          <w:iCs w:val="false"/>
          <w:color w:val="2D2D2D"/>
          <w:sz w:val="22"/>
          <w:szCs w:val="22"/>
        </w:rPr>
        <w:t xml:space="preserve">Compliance.Medicaid.AI transforms vendor contract monitoring from a manual, document-heavy process into a streamlined, AI-assisted review workflow. The tool ingests contracts, automatically extracts monitorable provisions, and surfaces structured compliance assessments — with citations back to the exact contract language that supports each determination.</w:t>
      </w:r>
    </w:p>
    <w:p>
      <w:pPr>
        <w:spacing w:before="0" w:after="80"/>
      </w:pPr>
      <w:r>
        <w:t xml:space="preserve"/>
      </w:r>
    </w:p>
    <w:p>
      <w:pPr>
        <w:spacing w:before="80" w:after="120"/>
      </w:pPr>
      <w:r>
        <w:rPr>
          <w:rFonts w:ascii="Arial" w:cs="Arial" w:eastAsia="Arial" w:hAnsi="Arial"/>
          <w:b w:val="false"/>
          <w:bCs w:val="false"/>
          <w:i w:val="false"/>
          <w:iCs w:val="false"/>
          <w:color w:val="2D2D2D"/>
          <w:sz w:val="22"/>
          <w:szCs w:val="22"/>
        </w:rPr>
        <w:t xml:space="preserve">My role was to design a clean, easy-to-digest UI that streamlines the review workflow — enabling state users to quickly validate AI-generated outputs and make final compliance decisions without having to wade through entire contracts. The design needed to make a complex, high-stakes process feel manageable, transparent, and defensible.</w:t>
      </w:r>
    </w:p>
    <w:p>
      <w:pPr>
        <w:spacing w:before="0" w:after="80"/>
      </w:pPr>
      <w:r>
        <w:t xml:space="preserve"/>
      </w:r>
    </w:p>
    <w:p>
      <w:pPr>
        <w:spacing w:before="80" w:after="120"/>
      </w:pPr>
      <w:r>
        <w:rPr>
          <w:rFonts w:ascii="Arial" w:cs="Arial" w:eastAsia="Arial" w:hAnsi="Arial"/>
          <w:b w:val="false"/>
          <w:bCs w:val="false"/>
          <w:i w:val="false"/>
          <w:iCs w:val="false"/>
          <w:color w:val="2D2D2D"/>
          <w:sz w:val="22"/>
          <w:szCs w:val="22"/>
        </w:rPr>
        <w:t xml:space="preserve">The core design philosophy: AI handles the extraction and initial assessment. The human handles the judgment call. Every screen was designed to support that handoff clearly.</w:t>
      </w:r>
    </w:p>
    <w:p>
      <w:pPr>
        <w:spacing w:before="0" w:after="80"/>
      </w:pPr>
      <w:r>
        <w:t xml:space="preserve"/>
      </w:r>
    </w:p>
    <w:p>
      <w:pPr>
        <w:spacing w:before="240" w:after="80"/>
      </w:pPr>
      <w:r>
        <w:rPr>
          <w:rFonts w:ascii="Arial" w:cs="Arial" w:eastAsia="Arial" w:hAnsi="Arial"/>
          <w:b/>
          <w:bCs/>
          <w:color w:val="2E7D5E"/>
          <w:sz w:val="22"/>
          <w:szCs w:val="22"/>
        </w:rPr>
        <w:t xml:space="preserve">What I Designed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2E7D5E" w:val="clear"/>
            <w:tcMar>
              <w:top w:type="dxa" w:w="140"/>
              <w:left w:type="dxa" w:w="180"/>
              <w:bottom w:type="dxa" w:w="140"/>
              <w:right w:type="dxa" w:w="180"/>
            </w:tcMar>
          </w:tcPr>
          <w:p>
            <w:r>
              <w:rPr>
                <w:rFonts w:ascii="Arial" w:cs="Arial" w:eastAsia="Arial" w:hAnsi="Arial"/>
                <w:b/>
                <w:bCs/>
                <w:color w:val="FFFFFF"/>
                <w:sz w:val="21"/>
                <w:szCs w:val="21"/>
              </w:rPr>
              <w:t xml:space="preserve">Contract Upload &amp; Ingestion Flow</w:t>
            </w:r>
          </w:p>
        </w:tc>
        <w:tc>
          <w:tcPr>
            <w:tcW w:type="dxa" w:w="6240"/>
            <w:tcBorders>
              <w:top w:val="single" w:color="D1D5DB" w:sz="1"/>
              <w:left w:val="single" w:color="D1D5DB" w:sz="1"/>
              <w:bottom w:val="single" w:color="D1D5DB" w:sz="1"/>
              <w:right w:val="single" w:color="D1D5DB" w:sz="1"/>
            </w:tcBorders>
            <w:tcMar>
              <w:top w:type="dxa" w:w="140"/>
              <w:left w:type="dxa" w:w="200"/>
              <w:bottom w:type="dxa" w:w="140"/>
              <w:right w:type="dxa" w:w="200"/>
            </w:tcMar>
          </w:tcPr>
          <w:p>
            <w:r>
              <w:rPr>
                <w:rFonts w:ascii="Arial" w:cs="Arial" w:eastAsia="Arial" w:hAnsi="Arial"/>
                <w:color w:val="2D2D2D"/>
                <w:sz w:val="20"/>
                <w:szCs w:val="20"/>
              </w:rPr>
              <w:t xml:space="preserve">The entry point into the AI workflow. A user uploads or selects a vendor contract — supporting multiple document formats — and the system immediately begins extraction. The UI is designed to minimize setup friction and clearly signal what the AI is doing on the reviewer's behalf, reframing the experience from 'I need to read this' to 'I need to review what the AI found.'</w:t>
            </w:r>
          </w:p>
        </w:tc>
      </w:tr>
      <w:tr>
        <w:tc>
          <w:tcPr>
            <w:tcW w:type="dxa" w:w="3120"/>
            <w:tcBorders>
              <w:top w:val="single" w:color="D1D5DB" w:sz="1"/>
              <w:left w:val="single" w:color="D1D5DB" w:sz="1"/>
              <w:bottom w:val="single" w:color="D1D5DB" w:sz="1"/>
              <w:right w:val="single" w:color="D1D5DB" w:sz="1"/>
            </w:tcBorders>
            <w:shd w:fill="2E7D5E" w:val="clear"/>
            <w:tcMar>
              <w:top w:type="dxa" w:w="140"/>
              <w:left w:type="dxa" w:w="180"/>
              <w:bottom w:type="dxa" w:w="140"/>
              <w:right w:type="dxa" w:w="180"/>
            </w:tcMar>
          </w:tcPr>
          <w:p>
            <w:r>
              <w:rPr>
                <w:rFonts w:ascii="Arial" w:cs="Arial" w:eastAsia="Arial" w:hAnsi="Arial"/>
                <w:b/>
                <w:bCs/>
                <w:color w:val="FFFFFF"/>
                <w:sz w:val="21"/>
                <w:szCs w:val="21"/>
              </w:rPr>
              <w:t xml:space="preserve">AI-Generated Standards Review UI</w:t>
            </w:r>
          </w:p>
        </w:tc>
        <w:tc>
          <w:tcPr>
            <w:tcW w:type="dxa" w:w="6240"/>
            <w:tcBorders>
              <w:top w:val="single" w:color="D1D5DB" w:sz="1"/>
              <w:left w:val="single" w:color="D1D5DB" w:sz="1"/>
              <w:bottom w:val="single" w:color="D1D5DB" w:sz="1"/>
              <w:right w:val="single" w:color="D1D5DB" w:sz="1"/>
            </w:tcBorders>
            <w:tcMar>
              <w:top w:type="dxa" w:w="140"/>
              <w:left w:type="dxa" w:w="200"/>
              <w:bottom w:type="dxa" w:w="140"/>
              <w:right w:type="dxa" w:w="200"/>
            </w:tcMar>
          </w:tcPr>
          <w:p>
            <w:r>
              <w:rPr>
                <w:rFonts w:ascii="Arial" w:cs="Arial" w:eastAsia="Arial" w:hAnsi="Arial"/>
                <w:color w:val="2D2D2D"/>
                <w:sz w:val="20"/>
                <w:szCs w:val="20"/>
              </w:rPr>
              <w:t xml:space="preserve">The core review experience — where AI-extracted provisions and draft compliance standards are presented for human validation. Every AI-generated output is clearly labeled as a draft and fully editable before publishing. Critically, each output is traceable back to the exact contract section it came from, enabling reviewers to verify and build defensible assessments without opening the original document.</w:t>
            </w:r>
          </w:p>
        </w:tc>
      </w:tr>
      <w:tr>
        <w:tc>
          <w:tcPr>
            <w:tcW w:type="dxa" w:w="3120"/>
            <w:tcBorders>
              <w:top w:val="single" w:color="D1D5DB" w:sz="1"/>
              <w:left w:val="single" w:color="D1D5DB" w:sz="1"/>
              <w:bottom w:val="single" w:color="D1D5DB" w:sz="1"/>
              <w:right w:val="single" w:color="D1D5DB" w:sz="1"/>
            </w:tcBorders>
            <w:shd w:fill="2E7D5E" w:val="clear"/>
            <w:tcMar>
              <w:top w:type="dxa" w:w="140"/>
              <w:left w:type="dxa" w:w="180"/>
              <w:bottom w:type="dxa" w:w="140"/>
              <w:right w:type="dxa" w:w="180"/>
            </w:tcMar>
          </w:tcPr>
          <w:p>
            <w:r>
              <w:rPr>
                <w:rFonts w:ascii="Arial" w:cs="Arial" w:eastAsia="Arial" w:hAnsi="Arial"/>
                <w:b/>
                <w:bCs/>
                <w:color w:val="FFFFFF"/>
                <w:sz w:val="21"/>
                <w:szCs w:val="21"/>
              </w:rPr>
              <w:t xml:space="preserve">Compliance Assessment &amp; Dashboard</w:t>
            </w:r>
          </w:p>
        </w:tc>
        <w:tc>
          <w:tcPr>
            <w:tcW w:type="dxa" w:w="6240"/>
            <w:tcBorders>
              <w:top w:val="single" w:color="D1D5DB" w:sz="1"/>
              <w:left w:val="single" w:color="D1D5DB" w:sz="1"/>
              <w:bottom w:val="single" w:color="D1D5DB" w:sz="1"/>
              <w:right w:val="single" w:color="D1D5DB" w:sz="1"/>
            </w:tcBorders>
            <w:tcMar>
              <w:top w:type="dxa" w:w="140"/>
              <w:left w:type="dxa" w:w="200"/>
              <w:bottom w:type="dxa" w:w="140"/>
              <w:right w:type="dxa" w:w="200"/>
            </w:tcMar>
          </w:tcPr>
          <w:p>
            <w:r>
              <w:rPr>
                <w:rFonts w:ascii="Arial" w:cs="Arial" w:eastAsia="Arial" w:hAnsi="Arial"/>
                <w:color w:val="2D2D2D"/>
                <w:sz w:val="20"/>
                <w:szCs w:val="20"/>
              </w:rPr>
              <w:t xml:space="preserve">An oversight view showing compliance outcomes (compliant / non-compliant), assessment reasoning, and citations back to specific contract sections. Designed for scannability and traceability — state administrators need to quickly see where issues exist and why, with enough evidence to act on and defend their decisions. Visualizations support comparison across vendor submissions and highlight discrepancies.</w:t>
            </w:r>
          </w:p>
        </w:tc>
      </w:tr>
    </w:tbl>
    <w:p>
      <w:pPr>
        <w:pBdr>
          <w:bottom w:val="single" w:color="2E7D5E" w:sz="4" w:space="1"/>
        </w:pBdr>
        <w:spacing w:before="200" w:after="200"/>
      </w:pPr>
      <w:r>
        <w:t xml:space="preserve"/>
      </w:r>
    </w:p>
    <w:p>
      <w:pPr>
        <w:pStyle w:val="Heading2"/>
        <w:spacing w:before="320" w:after="120"/>
      </w:pPr>
      <w:r>
        <w:rPr>
          <w:rFonts w:ascii="Arial" w:cs="Arial" w:eastAsia="Arial" w:hAnsi="Arial"/>
          <w:b/>
          <w:bCs/>
          <w:color w:val="1A1A2E"/>
          <w:sz w:val="26"/>
          <w:szCs w:val="26"/>
        </w:rPr>
        <w:t xml:space="preserve">The User Experience</w:t>
      </w:r>
    </w:p>
    <w:p>
      <w:pPr>
        <w:spacing w:before="80" w:after="120"/>
      </w:pPr>
      <w:r>
        <w:rPr>
          <w:rFonts w:ascii="Arial" w:cs="Arial" w:eastAsia="Arial" w:hAnsi="Arial"/>
          <w:b w:val="false"/>
          <w:bCs w:val="false"/>
          <w:i w:val="false"/>
          <w:iCs w:val="false"/>
          <w:color w:val="2D2D2D"/>
          <w:sz w:val="22"/>
          <w:szCs w:val="22"/>
        </w:rPr>
        <w:t xml:space="preserve">Here's how a state contract administrator moves through the tool from end to end: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1D5DB" w:sz="1"/>
              <w:left w:val="single" w:color="D1D5DB" w:sz="1"/>
              <w:bottom w:val="single" w:color="D1D5DB" w:sz="1"/>
              <w:right w:val="single" w:color="D1D5DB" w:sz="1"/>
            </w:tcBorders>
            <w:shd w:fill="2E7D5E"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01</w:t>
            </w:r>
          </w:p>
        </w:tc>
        <w:tc>
          <w:tcPr>
            <w:tcW w:type="dxa" w:w="8160"/>
            <w:tcBorders>
              <w:top w:val="single" w:color="D1D5DB" w:sz="1"/>
              <w:left w:val="single" w:color="D1D5DB" w:sz="1"/>
              <w:bottom w:val="single" w:color="D1D5DB" w:sz="1"/>
              <w:right w:val="single" w:color="D1D5DB" w:sz="1"/>
            </w:tcBorders>
            <w:tcMar>
              <w:top w:type="dxa" w:w="120"/>
              <w:left w:type="dxa" w:w="200"/>
              <w:bottom w:type="dxa" w:w="120"/>
              <w:right w:type="dxa" w:w="200"/>
            </w:tcMar>
          </w:tcPr>
          <w:p>
            <w:r>
              <w:rPr>
                <w:rFonts w:ascii="Arial" w:cs="Arial" w:eastAsia="Arial" w:hAnsi="Arial"/>
                <w:b/>
                <w:bCs/>
                <w:color w:val="1A1A2E"/>
                <w:sz w:val="22"/>
                <w:szCs w:val="22"/>
              </w:rPr>
              <w:t xml:space="preserve">Entry via Contract Monitoring Dashboard</w:t>
            </w:r>
          </w:p>
          <w:p>
            <w:pPr>
              <w:spacing w:before="60"/>
            </w:pPr>
            <w:r>
              <w:rPr>
                <w:rFonts w:ascii="Arial" w:cs="Arial" w:eastAsia="Arial" w:hAnsi="Arial"/>
                <w:color w:val="2D2D2D"/>
                <w:sz w:val="20"/>
                <w:szCs w:val="20"/>
              </w:rPr>
              <w:t xml:space="preserve">The user accesses Compliance.Medicaid.AI from within the HealthPerform platform — positioned as a native capability, not a separate AI tool. The design decision here was intentional: embedding the AI within existing workflows reduces the learning curve and signals that this is an enhancement to how they already work, not a replacement.</w:t>
            </w:r>
          </w:p>
        </w:tc>
      </w:tr>
      <w:tr>
        <w:tc>
          <w:tcPr>
            <w:tcW w:type="dxa" w:w="1200"/>
            <w:tcBorders>
              <w:top w:val="single" w:color="D1D5DB" w:sz="1"/>
              <w:left w:val="single" w:color="D1D5DB" w:sz="1"/>
              <w:bottom w:val="single" w:color="D1D5DB" w:sz="1"/>
              <w:right w:val="single" w:color="D1D5DB" w:sz="1"/>
            </w:tcBorders>
            <w:shd w:fill="2E7D5E"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02</w:t>
            </w:r>
          </w:p>
        </w:tc>
        <w:tc>
          <w:tcPr>
            <w:tcW w:type="dxa" w:w="8160"/>
            <w:tcBorders>
              <w:top w:val="single" w:color="D1D5DB" w:sz="1"/>
              <w:left w:val="single" w:color="D1D5DB" w:sz="1"/>
              <w:bottom w:val="single" w:color="D1D5DB" w:sz="1"/>
              <w:right w:val="single" w:color="D1D5DB" w:sz="1"/>
            </w:tcBorders>
            <w:tcMar>
              <w:top w:type="dxa" w:w="120"/>
              <w:left w:type="dxa" w:w="200"/>
              <w:bottom w:type="dxa" w:w="120"/>
              <w:right w:type="dxa" w:w="200"/>
            </w:tcMar>
          </w:tcPr>
          <w:p>
            <w:r>
              <w:rPr>
                <w:rFonts w:ascii="Arial" w:cs="Arial" w:eastAsia="Arial" w:hAnsi="Arial"/>
                <w:b/>
                <w:bCs/>
                <w:color w:val="1A1A2E"/>
                <w:sz w:val="22"/>
                <w:szCs w:val="22"/>
              </w:rPr>
              <w:t xml:space="preserve">Contract Upload &amp; Ingestion</w:t>
            </w:r>
          </w:p>
          <w:p>
            <w:pPr>
              <w:spacing w:before="60"/>
            </w:pPr>
            <w:r>
              <w:rPr>
                <w:rFonts w:ascii="Arial" w:cs="Arial" w:eastAsia="Arial" w:hAnsi="Arial"/>
                <w:color w:val="2D2D2D"/>
                <w:sz w:val="20"/>
                <w:szCs w:val="20"/>
              </w:rPr>
              <w:t xml:space="preserve">The user selects or uploads a Medicaid contract. The system accepts multiple document formats. The UI reassures the user that the AI will scan and analyze the document — framing the next steps as a review experience rather than a data entry task. This mental model shift is critical: you're no longer reading the contract, you're reviewing what the AI found.</w:t>
            </w:r>
          </w:p>
        </w:tc>
      </w:tr>
      <w:tr>
        <w:tc>
          <w:tcPr>
            <w:tcW w:type="dxa" w:w="1200"/>
            <w:tcBorders>
              <w:top w:val="single" w:color="D1D5DB" w:sz="1"/>
              <w:left w:val="single" w:color="D1D5DB" w:sz="1"/>
              <w:bottom w:val="single" w:color="D1D5DB" w:sz="1"/>
              <w:right w:val="single" w:color="D1D5DB" w:sz="1"/>
            </w:tcBorders>
            <w:shd w:fill="2E7D5E"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03</w:t>
            </w:r>
          </w:p>
        </w:tc>
        <w:tc>
          <w:tcPr>
            <w:tcW w:type="dxa" w:w="8160"/>
            <w:tcBorders>
              <w:top w:val="single" w:color="D1D5DB" w:sz="1"/>
              <w:left w:val="single" w:color="D1D5DB" w:sz="1"/>
              <w:bottom w:val="single" w:color="D1D5DB" w:sz="1"/>
              <w:right w:val="single" w:color="D1D5DB" w:sz="1"/>
            </w:tcBorders>
            <w:tcMar>
              <w:top w:type="dxa" w:w="120"/>
              <w:left w:type="dxa" w:w="200"/>
              <w:bottom w:type="dxa" w:w="120"/>
              <w:right w:type="dxa" w:w="200"/>
            </w:tcMar>
          </w:tcPr>
          <w:p>
            <w:r>
              <w:rPr>
                <w:rFonts w:ascii="Arial" w:cs="Arial" w:eastAsia="Arial" w:hAnsi="Arial"/>
                <w:b/>
                <w:bCs/>
                <w:color w:val="1A1A2E"/>
                <w:sz w:val="22"/>
                <w:szCs w:val="22"/>
              </w:rPr>
              <w:t xml:space="preserve">AI Extraction &amp; Provision Segmentation</w:t>
            </w:r>
          </w:p>
          <w:p>
            <w:pPr>
              <w:spacing w:before="60"/>
            </w:pPr>
            <w:r>
              <w:rPr>
                <w:rFonts w:ascii="Arial" w:cs="Arial" w:eastAsia="Arial" w:hAnsi="Arial"/>
                <w:color w:val="2D2D2D"/>
                <w:sz w:val="20"/>
                <w:szCs w:val="20"/>
              </w:rPr>
              <w:t xml:space="preserve">The AI parses the contract and automatically extracts all monitorable provisions — the specific clauses and requirements the vendor is contractually obligated to meet. This is the core value moment: compressing what was previously days of manual document review into a structured, reviewable output. Each extracted provision is traceable back to the exact section of the original contract it came from.</w:t>
            </w:r>
          </w:p>
        </w:tc>
      </w:tr>
      <w:tr>
        <w:tc>
          <w:tcPr>
            <w:tcW w:type="dxa" w:w="1200"/>
            <w:tcBorders>
              <w:top w:val="single" w:color="D1D5DB" w:sz="1"/>
              <w:left w:val="single" w:color="D1D5DB" w:sz="1"/>
              <w:bottom w:val="single" w:color="D1D5DB" w:sz="1"/>
              <w:right w:val="single" w:color="D1D5DB" w:sz="1"/>
            </w:tcBorders>
            <w:shd w:fill="2E7D5E"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04</w:t>
            </w:r>
          </w:p>
        </w:tc>
        <w:tc>
          <w:tcPr>
            <w:tcW w:type="dxa" w:w="8160"/>
            <w:tcBorders>
              <w:top w:val="single" w:color="D1D5DB" w:sz="1"/>
              <w:left w:val="single" w:color="D1D5DB" w:sz="1"/>
              <w:bottom w:val="single" w:color="D1D5DB" w:sz="1"/>
              <w:right w:val="single" w:color="D1D5DB" w:sz="1"/>
            </w:tcBorders>
            <w:tcMar>
              <w:top w:type="dxa" w:w="120"/>
              <w:left w:type="dxa" w:w="200"/>
              <w:bottom w:type="dxa" w:w="120"/>
              <w:right w:type="dxa" w:w="200"/>
            </w:tcMar>
          </w:tcPr>
          <w:p>
            <w:r>
              <w:rPr>
                <w:rFonts w:ascii="Arial" w:cs="Arial" w:eastAsia="Arial" w:hAnsi="Arial"/>
                <w:b/>
                <w:bCs/>
                <w:color w:val="1A1A2E"/>
                <w:sz w:val="22"/>
                <w:szCs w:val="22"/>
              </w:rPr>
              <w:t xml:space="preserve">Human Review &amp; Validation</w:t>
            </w:r>
          </w:p>
          <w:p>
            <w:pPr>
              <w:spacing w:before="60"/>
            </w:pPr>
            <w:r>
              <w:rPr>
                <w:rFonts w:ascii="Arial" w:cs="Arial" w:eastAsia="Arial" w:hAnsi="Arial"/>
                <w:color w:val="2D2D2D"/>
                <w:sz w:val="20"/>
                <w:szCs w:val="20"/>
              </w:rPr>
              <w:t xml:space="preserve">The reviewer sees AI-generated provisions and draft compliance standards — clearly labeled as AI output, not final determinations. They can edit language, adjust interpretations, or reject suggestions before anything is published. Every affordance in this screen reinforces that the human is in control. AI extracts and drafts; the reviewer validates and decides.</w:t>
            </w:r>
          </w:p>
        </w:tc>
      </w:tr>
      <w:tr>
        <w:tc>
          <w:tcPr>
            <w:tcW w:type="dxa" w:w="1200"/>
            <w:tcBorders>
              <w:top w:val="single" w:color="D1D5DB" w:sz="1"/>
              <w:left w:val="single" w:color="D1D5DB" w:sz="1"/>
              <w:bottom w:val="single" w:color="D1D5DB" w:sz="1"/>
              <w:right w:val="single" w:color="D1D5DB" w:sz="1"/>
            </w:tcBorders>
            <w:shd w:fill="2E7D5E"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05</w:t>
            </w:r>
          </w:p>
        </w:tc>
        <w:tc>
          <w:tcPr>
            <w:tcW w:type="dxa" w:w="8160"/>
            <w:tcBorders>
              <w:top w:val="single" w:color="D1D5DB" w:sz="1"/>
              <w:left w:val="single" w:color="D1D5DB" w:sz="1"/>
              <w:bottom w:val="single" w:color="D1D5DB" w:sz="1"/>
              <w:right w:val="single" w:color="D1D5DB" w:sz="1"/>
            </w:tcBorders>
            <w:tcMar>
              <w:top w:type="dxa" w:w="120"/>
              <w:left w:type="dxa" w:w="200"/>
              <w:bottom w:type="dxa" w:w="120"/>
              <w:right w:type="dxa" w:w="200"/>
            </w:tcMar>
          </w:tcPr>
          <w:p>
            <w:r>
              <w:rPr>
                <w:rFonts w:ascii="Arial" w:cs="Arial" w:eastAsia="Arial" w:hAnsi="Arial"/>
                <w:b/>
                <w:bCs/>
                <w:color w:val="1A1A2E"/>
                <w:sz w:val="22"/>
                <w:szCs w:val="22"/>
              </w:rPr>
              <w:t xml:space="preserve">Compliance Assessment with Citations</w:t>
            </w:r>
          </w:p>
          <w:p>
            <w:pPr>
              <w:spacing w:before="60"/>
            </w:pPr>
            <w:r>
              <w:rPr>
                <w:rFonts w:ascii="Arial" w:cs="Arial" w:eastAsia="Arial" w:hAnsi="Arial"/>
                <w:color w:val="2D2D2D"/>
                <w:sz w:val="20"/>
                <w:szCs w:val="20"/>
              </w:rPr>
              <w:t xml:space="preserve">As vendor-submitted documentation is reviewed, the system evaluates it against published standards and surfaces a compliance outcome — compliant or non-compliant — with citations back to the exact contract language that supports the finding. This directly solves one of the most painful parts of the original process: reviewers no longer manually connect vendor submissions to contract requirements. The evidence is surfaced for them, making assessments faster and more defensible.</w:t>
            </w:r>
          </w:p>
        </w:tc>
      </w:tr>
      <w:tr>
        <w:tc>
          <w:tcPr>
            <w:tcW w:type="dxa" w:w="1200"/>
            <w:tcBorders>
              <w:top w:val="single" w:color="D1D5DB" w:sz="1"/>
              <w:left w:val="single" w:color="D1D5DB" w:sz="1"/>
              <w:bottom w:val="single" w:color="D1D5DB" w:sz="1"/>
              <w:right w:val="single" w:color="D1D5DB" w:sz="1"/>
            </w:tcBorders>
            <w:shd w:fill="2E7D5E"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06</w:t>
            </w:r>
          </w:p>
        </w:tc>
        <w:tc>
          <w:tcPr>
            <w:tcW w:type="dxa" w:w="8160"/>
            <w:tcBorders>
              <w:top w:val="single" w:color="D1D5DB" w:sz="1"/>
              <w:left w:val="single" w:color="D1D5DB" w:sz="1"/>
              <w:bottom w:val="single" w:color="D1D5DB" w:sz="1"/>
              <w:right w:val="single" w:color="D1D5DB" w:sz="1"/>
            </w:tcBorders>
            <w:tcMar>
              <w:top w:type="dxa" w:w="120"/>
              <w:left w:type="dxa" w:w="200"/>
              <w:bottom w:type="dxa" w:w="120"/>
              <w:right w:type="dxa" w:w="200"/>
            </w:tcMar>
          </w:tcPr>
          <w:p>
            <w:r>
              <w:rPr>
                <w:rFonts w:ascii="Arial" w:cs="Arial" w:eastAsia="Arial" w:hAnsi="Arial"/>
                <w:b/>
                <w:bCs/>
                <w:color w:val="1A1A2E"/>
                <w:sz w:val="22"/>
                <w:szCs w:val="22"/>
              </w:rPr>
              <w:t xml:space="preserve">Final Determination</w:t>
            </w:r>
          </w:p>
          <w:p>
            <w:pPr>
              <w:spacing w:before="60"/>
            </w:pPr>
            <w:r>
              <w:rPr>
                <w:rFonts w:ascii="Arial" w:cs="Arial" w:eastAsia="Arial" w:hAnsi="Arial"/>
                <w:color w:val="2D2D2D"/>
                <w:sz w:val="20"/>
                <w:szCs w:val="20"/>
              </w:rPr>
              <w:t xml:space="preserve">The reviewer confirms or overrides the AI-suggested compliance outcome. Final authority always rests with the human — a non-negotiable design principle in a regulatory environment where accountability and auditability are requirements, not preferences.</w:t>
            </w:r>
          </w:p>
        </w:tc>
      </w:tr>
    </w:tbl>
    <w:p>
      <w:pPr>
        <w:pBdr>
          <w:bottom w:val="single" w:color="2E7D5E" w:sz="4" w:space="1"/>
        </w:pBdr>
        <w:spacing w:before="200" w:after="200"/>
      </w:pPr>
      <w:r>
        <w:t xml:space="preserve"/>
      </w:r>
    </w:p>
    <w:p>
      <w:pPr>
        <w:pStyle w:val="Heading2"/>
        <w:spacing w:before="320" w:after="120"/>
      </w:pPr>
      <w:r>
        <w:rPr>
          <w:rFonts w:ascii="Arial" w:cs="Arial" w:eastAsia="Arial" w:hAnsi="Arial"/>
          <w:b/>
          <w:bCs/>
          <w:color w:val="1A1A2E"/>
          <w:sz w:val="26"/>
          <w:szCs w:val="26"/>
        </w:rPr>
        <w:t xml:space="preserve">Design Principles</w:t>
      </w:r>
    </w:p>
    <w:p>
      <w:pPr>
        <w:spacing w:before="80" w:after="120"/>
      </w:pPr>
      <w:r>
        <w:rPr>
          <w:rFonts w:ascii="Arial" w:cs="Arial" w:eastAsia="Arial" w:hAnsi="Arial"/>
          <w:b w:val="false"/>
          <w:bCs w:val="false"/>
          <w:i w:val="false"/>
          <w:iCs w:val="false"/>
          <w:color w:val="2D2D2D"/>
          <w:sz w:val="22"/>
          <w:szCs w:val="22"/>
        </w:rPr>
        <w:t xml:space="preserve">Four principles shaped every design decision on this project: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0F7F4" w:val="clear"/>
            <w:tcMar>
              <w:top w:type="dxa" w:w="160"/>
              <w:left w:type="dxa" w:w="200"/>
              <w:bottom w:type="dxa" w:w="160"/>
              <w:right w:type="dxa" w:w="200"/>
            </w:tcMar>
          </w:tcPr>
          <w:p>
            <w:r>
              <w:rPr>
                <w:rFonts w:ascii="Arial" w:cs="Arial" w:eastAsia="Arial" w:hAnsi="Arial"/>
                <w:b/>
                <w:bCs/>
                <w:color w:val="1A1A2E"/>
                <w:sz w:val="22"/>
                <w:szCs w:val="22"/>
              </w:rPr>
              <w:t xml:space="preserve">Human-in-the-Loop by Default</w:t>
            </w:r>
          </w:p>
          <w:p>
            <w:pPr>
              <w:spacing w:before="80"/>
            </w:pPr>
            <w:r>
              <w:rPr>
                <w:rFonts w:ascii="Arial" w:cs="Arial" w:eastAsia="Arial" w:hAnsi="Arial"/>
                <w:color w:val="2D2D2D"/>
                <w:sz w:val="20"/>
                <w:szCs w:val="20"/>
              </w:rPr>
              <w:t xml:space="preserve">AI proposes, humans decide. Every generated output is framed as a draft. Every critical action requires a human confirmation. This wasn't a feature — it was the foundational design constraint that all other decisions flowed from.</w:t>
            </w:r>
          </w:p>
        </w:tc>
        <w:tc>
          <w:tcPr>
            <w:tcW w:type="dxa" w:w="4680"/>
            <w:tcBorders>
              <w:top w:val="single" w:color="D1D5DB" w:sz="1"/>
              <w:left w:val="single" w:color="D1D5DB" w:sz="1"/>
              <w:bottom w:val="single" w:color="D1D5DB" w:sz="1"/>
              <w:right w:val="single" w:color="D1D5DB" w:sz="1"/>
            </w:tcBorders>
            <w:shd w:fill="F0F7F4" w:val="clear"/>
            <w:tcMar>
              <w:top w:type="dxa" w:w="160"/>
              <w:left w:type="dxa" w:w="200"/>
              <w:bottom w:type="dxa" w:w="160"/>
              <w:right w:type="dxa" w:w="200"/>
            </w:tcMar>
          </w:tcPr>
          <w:p>
            <w:r>
              <w:rPr>
                <w:rFonts w:ascii="Arial" w:cs="Arial" w:eastAsia="Arial" w:hAnsi="Arial"/>
                <w:b/>
                <w:bCs/>
                <w:color w:val="1A1A2E"/>
                <w:sz w:val="22"/>
                <w:szCs w:val="22"/>
              </w:rPr>
              <w:t xml:space="preserve">Transparency &amp; Explainability</w:t>
            </w:r>
          </w:p>
          <w:p>
            <w:pPr>
              <w:spacing w:before="80"/>
            </w:pPr>
            <w:r>
              <w:rPr>
                <w:rFonts w:ascii="Arial" w:cs="Arial" w:eastAsia="Arial" w:hAnsi="Arial"/>
                <w:color w:val="2D2D2D"/>
                <w:sz w:val="20"/>
                <w:szCs w:val="20"/>
              </w:rPr>
              <w:t xml:space="preserve">Users needed to understand where AI outputs came from and how compliance recommendations were reached. The UI emphasized traceability back to contract language and evidence — essential for regulatory trust and audit readiness.</w:t>
            </w:r>
          </w:p>
        </w:tc>
      </w:tr>
      <w:tr>
        <w:tc>
          <w:tcPr>
            <w:tcW w:type="dxa" w:w="4680"/>
            <w:tcBorders>
              <w:top w:val="single" w:color="D1D5DB" w:sz="1"/>
              <w:left w:val="single" w:color="D1D5DB" w:sz="1"/>
              <w:bottom w:val="single" w:color="D1D5DB" w:sz="1"/>
              <w:right w:val="single" w:color="D1D5DB" w:sz="1"/>
            </w:tcBorders>
            <w:shd w:fill="F0F7F4" w:val="clear"/>
            <w:tcMar>
              <w:top w:type="dxa" w:w="160"/>
              <w:left w:type="dxa" w:w="200"/>
              <w:bottom w:type="dxa" w:w="160"/>
              <w:right w:type="dxa" w:w="200"/>
            </w:tcMar>
          </w:tcPr>
          <w:p>
            <w:r>
              <w:rPr>
                <w:rFonts w:ascii="Arial" w:cs="Arial" w:eastAsia="Arial" w:hAnsi="Arial"/>
                <w:b/>
                <w:bCs/>
                <w:color w:val="1A1A2E"/>
                <w:sz w:val="22"/>
                <w:szCs w:val="22"/>
              </w:rPr>
              <w:t xml:space="preserve">Reduction of Cognitive Load</w:t>
            </w:r>
          </w:p>
          <w:p>
            <w:pPr>
              <w:spacing w:before="80"/>
            </w:pPr>
            <w:r>
              <w:rPr>
                <w:rFonts w:ascii="Arial" w:cs="Arial" w:eastAsia="Arial" w:hAnsi="Arial"/>
                <w:color w:val="2D2D2D"/>
                <w:sz w:val="20"/>
                <w:szCs w:val="20"/>
              </w:rPr>
              <w:t xml:space="preserve">The experience shifts users from authoring and parsing dense contract documents toward reviewing, validating, and deciding. This is higher-value work that better matches their expertise — and makes the AI's contribution feel like genuine assistance rather than just automation.</w:t>
            </w:r>
          </w:p>
        </w:tc>
        <w:tc>
          <w:tcPr>
            <w:tcW w:type="dxa" w:w="4680"/>
            <w:tcBorders>
              <w:top w:val="single" w:color="D1D5DB" w:sz="1"/>
              <w:left w:val="single" w:color="D1D5DB" w:sz="1"/>
              <w:bottom w:val="single" w:color="D1D5DB" w:sz="1"/>
              <w:right w:val="single" w:color="D1D5DB" w:sz="1"/>
            </w:tcBorders>
            <w:shd w:fill="F0F7F4" w:val="clear"/>
            <w:tcMar>
              <w:top w:type="dxa" w:w="160"/>
              <w:left w:type="dxa" w:w="200"/>
              <w:bottom w:type="dxa" w:w="160"/>
              <w:right w:type="dxa" w:w="200"/>
            </w:tcMar>
          </w:tcPr>
          <w:p>
            <w:r>
              <w:rPr>
                <w:rFonts w:ascii="Arial" w:cs="Arial" w:eastAsia="Arial" w:hAnsi="Arial"/>
                <w:b/>
                <w:bCs/>
                <w:color w:val="1A1A2E"/>
                <w:sz w:val="22"/>
                <w:szCs w:val="22"/>
              </w:rPr>
              <w:t xml:space="preserve">Seamless Platform Integration</w:t>
            </w:r>
          </w:p>
          <w:p>
            <w:pPr>
              <w:spacing w:before="80"/>
            </w:pPr>
            <w:r>
              <w:rPr>
                <w:rFonts w:ascii="Arial" w:cs="Arial" w:eastAsia="Arial" w:hAnsi="Arial"/>
                <w:color w:val="2D2D2D"/>
                <w:sz w:val="20"/>
                <w:szCs w:val="20"/>
              </w:rPr>
              <w:t xml:space="preserve">Rather than introducing a standalone AI tool, Compliance.Medicaid.AI was designed to feel native to HealthPerform's existing contract monitoring workflows. Familiarity reduces friction and builds trust — especially for government users approaching AI with appropriate caution.</w:t>
            </w:r>
          </w:p>
        </w:tc>
      </w:tr>
    </w:tbl>
    <w:p>
      <w:pPr>
        <w:pBdr>
          <w:bottom w:val="single" w:color="2E7D5E" w:sz="4" w:space="1"/>
        </w:pBdr>
        <w:spacing w:before="200" w:after="200"/>
      </w:pPr>
      <w:r>
        <w:t xml:space="preserve"/>
      </w:r>
    </w:p>
    <w:p>
      <w:pPr>
        <w:pStyle w:val="Heading2"/>
        <w:spacing w:before="320" w:after="120"/>
      </w:pPr>
      <w:r>
        <w:rPr>
          <w:rFonts w:ascii="Arial" w:cs="Arial" w:eastAsia="Arial" w:hAnsi="Arial"/>
          <w:b/>
          <w:bCs/>
          <w:color w:val="1A1A2E"/>
          <w:sz w:val="26"/>
          <w:szCs w:val="26"/>
        </w:rPr>
        <w:t xml:space="preserve">Beyond the Screen: The Demo Video</w:t>
      </w:r>
    </w:p>
    <w:p>
      <w:pPr>
        <w:spacing w:before="80" w:after="120"/>
      </w:pPr>
      <w:r>
        <w:rPr>
          <w:rFonts w:ascii="Arial" w:cs="Arial" w:eastAsia="Arial" w:hAnsi="Arial"/>
          <w:b w:val="false"/>
          <w:bCs w:val="false"/>
          <w:i w:val="false"/>
          <w:iCs w:val="false"/>
          <w:color w:val="2D2D2D"/>
          <w:sz w:val="22"/>
          <w:szCs w:val="22"/>
        </w:rPr>
        <w:t xml:space="preserve">One of my most distinctive contributions on this project was producing the demo video that brought the tool to life for external audiences. This wasn't a screen recording — it was a produced asset built in Premiere Pro and After Effects, designed to communicate the product's value proposition clearly and compellingly to non-technical stakeholders, state officials, and conference audiences.</w:t>
      </w:r>
    </w:p>
    <w:p>
      <w:pPr>
        <w:spacing w:before="0" w:after="80"/>
      </w:pPr>
      <w:r>
        <w:t xml:space="preserve"/>
      </w:r>
    </w:p>
    <w:p>
      <w:pPr>
        <w:spacing w:before="80" w:after="120"/>
      </w:pPr>
      <w:r>
        <w:rPr>
          <w:rFonts w:ascii="Arial" w:cs="Arial" w:eastAsia="Arial" w:hAnsi="Arial"/>
          <w:b w:val="false"/>
          <w:bCs w:val="false"/>
          <w:i w:val="false"/>
          <w:iCs w:val="false"/>
          <w:color w:val="2D2D2D"/>
          <w:sz w:val="22"/>
          <w:szCs w:val="22"/>
        </w:rPr>
        <w:t xml:space="preserve">The video became a primary asset for the initiative:</w:t>
      </w:r>
    </w:p>
    <w:p>
      <w:pPr>
        <w:pStyle w:val="ListParagraph"/>
        <w:numPr>
          <w:ilvl w:val="0"/>
          <w:numId w:val="2"/>
        </w:numPr>
        <w:spacing w:before="60" w:after="60"/>
      </w:pPr>
      <w:r>
        <w:rPr>
          <w:rFonts w:ascii="Arial" w:cs="Arial" w:eastAsia="Arial" w:hAnsi="Arial"/>
          <w:color w:val="2D2D2D"/>
          <w:sz w:val="22"/>
          <w:szCs w:val="22"/>
        </w:rPr>
        <w:t xml:space="preserve">Featured at MESC 2025 (Medicaid Enterprise Systems Conference) — one of the premier national conferences for state Medicaid program leaders and technology partners</w:t>
      </w:r>
    </w:p>
    <w:p>
      <w:pPr>
        <w:pStyle w:val="ListParagraph"/>
        <w:numPr>
          <w:ilvl w:val="0"/>
          <w:numId w:val="2"/>
        </w:numPr>
        <w:spacing w:before="60" w:after="60"/>
      </w:pPr>
      <w:r>
        <w:rPr>
          <w:rFonts w:ascii="Arial" w:cs="Arial" w:eastAsia="Arial" w:hAnsi="Arial"/>
          <w:color w:val="2D2D2D"/>
          <w:sz w:val="22"/>
          <w:szCs w:val="22"/>
        </w:rPr>
        <w:t xml:space="preserve">Used at Deloitte's conference demo booth for live client engagement</w:t>
      </w:r>
    </w:p>
    <w:p>
      <w:pPr>
        <w:pStyle w:val="ListParagraph"/>
        <w:numPr>
          <w:ilvl w:val="0"/>
          <w:numId w:val="2"/>
        </w:numPr>
        <w:spacing w:before="60" w:after="60"/>
      </w:pPr>
      <w:r>
        <w:rPr>
          <w:rFonts w:ascii="Arial" w:cs="Arial" w:eastAsia="Arial" w:hAnsi="Arial"/>
          <w:color w:val="2D2D2D"/>
          <w:sz w:val="22"/>
          <w:szCs w:val="22"/>
        </w:rPr>
        <w:t xml:space="preserve">Requested for additional one-off state demos beyond the conference — confirmed via internal communications</w:t>
      </w:r>
    </w:p>
    <w:p>
      <w:pPr>
        <w:pStyle w:val="ListParagraph"/>
        <w:numPr>
          <w:ilvl w:val="0"/>
          <w:numId w:val="2"/>
        </w:numPr>
        <w:spacing w:before="60" w:after="60"/>
      </w:pPr>
      <w:r>
        <w:rPr>
          <w:rFonts w:ascii="Arial" w:cs="Arial" w:eastAsia="Arial" w:hAnsi="Arial"/>
          <w:color w:val="2D2D2D"/>
          <w:sz w:val="22"/>
          <w:szCs w:val="22"/>
        </w:rPr>
        <w:t xml:space="preserve">Submitted to Deloitte's 2025 Digital Health Video Symposium</w:t>
      </w:r>
    </w:p>
    <w:p>
      <w:pPr>
        <w:spacing w:before="0" w:after="80"/>
      </w:pPr>
      <w:r>
        <w:t xml:space="preserve"/>
      </w:r>
    </w:p>
    <w:p>
      <w:pPr>
        <w:spacing w:before="80" w:after="120"/>
      </w:pPr>
      <w:r>
        <w:rPr>
          <w:rFonts w:ascii="Arial" w:cs="Arial" w:eastAsia="Arial" w:hAnsi="Arial"/>
          <w:b w:val="false"/>
          <w:bCs w:val="false"/>
          <w:i w:val="false"/>
          <w:iCs w:val="false"/>
          <w:color w:val="2D2D2D"/>
          <w:sz w:val="22"/>
          <w:szCs w:val="22"/>
        </w:rPr>
        <w:t xml:space="preserve">Producing this video required me to think like a product marketer as much as a UX designer — translating complex AI functionality into a story that state government officials could immediately connect to their real operational pain points. The combination of motion design skills and UX storytelling is something few designers bring together, and it directly extended the reach and impact of the product work.</w:t>
      </w:r>
    </w:p>
    <w:p>
      <w:pPr>
        <w:pBdr>
          <w:bottom w:val="single" w:color="2E7D5E" w:sz="4" w:space="1"/>
        </w:pBdr>
        <w:spacing w:before="200" w:after="200"/>
      </w:pPr>
      <w:r>
        <w:t xml:space="preserve"/>
      </w:r>
    </w:p>
    <w:p>
      <w:pPr>
        <w:pStyle w:val="Heading2"/>
        <w:spacing w:before="320" w:after="120"/>
      </w:pPr>
      <w:r>
        <w:rPr>
          <w:rFonts w:ascii="Arial" w:cs="Arial" w:eastAsia="Arial" w:hAnsi="Arial"/>
          <w:b/>
          <w:bCs/>
          <w:color w:val="1A1A2E"/>
          <w:sz w:val="26"/>
          <w:szCs w:val="26"/>
        </w:rPr>
        <w:t xml:space="preserve">Market Validation</w:t>
      </w:r>
    </w:p>
    <w:p>
      <w:pPr>
        <w:spacing w:before="80" w:after="120"/>
      </w:pPr>
      <w:r>
        <w:rPr>
          <w:rFonts w:ascii="Arial" w:cs="Arial" w:eastAsia="Arial" w:hAnsi="Arial"/>
          <w:b w:val="false"/>
          <w:bCs w:val="false"/>
          <w:i w:val="false"/>
          <w:iCs w:val="false"/>
          <w:color w:val="2D2D2D"/>
          <w:sz w:val="22"/>
          <w:szCs w:val="22"/>
        </w:rPr>
        <w:t xml:space="preserve">The tool received meaningful external validation at MESC 2025 — not from a casual observer, but from a senior state Medicaid official with direct domain expertise:</w:t>
      </w:r>
    </w:p>
    <w:p>
      <w:pPr>
        <w:spacing w:before="0" w:after="80"/>
      </w:pPr>
      <w:r>
        <w:t xml:space="preserve"/>
      </w:r>
    </w:p>
    <w:p>
      <w:pPr>
        <w:spacing w:before="120" w:after="120"/>
        <w:ind w:left="720" w:right="720"/>
      </w:pPr>
      <w:r>
        <w:rPr>
          <w:rFonts w:ascii="Arial" w:cs="Arial" w:eastAsia="Arial" w:hAnsi="Arial"/>
          <w:b/>
          <w:bCs/>
          <w:i/>
          <w:iCs/>
          <w:color w:val="1A1A2E"/>
          <w:sz w:val="26"/>
          <w:szCs w:val="26"/>
        </w:rPr>
        <w:t xml:space="preserve">"We absolutely need something like this for MCO management."</w:t>
      </w:r>
    </w:p>
    <w:p>
      <w:pPr>
        <w:spacing w:before="60" w:after="160"/>
        <w:ind w:left="720"/>
      </w:pPr>
      <w:r>
        <w:rPr>
          <w:rFonts w:ascii="Arial" w:cs="Arial" w:eastAsia="Arial" w:hAnsi="Arial"/>
          <w:color w:val="6B7280"/>
          <w:sz w:val="20"/>
          <w:szCs w:val="20"/>
        </w:rPr>
        <w:t xml:space="preserve">— Louisiana Medicaid Director, MESC 2025</w:t>
      </w:r>
    </w:p>
    <w:p>
      <w:pPr>
        <w:spacing w:before="80" w:after="120"/>
      </w:pPr>
      <w:r>
        <w:rPr>
          <w:rFonts w:ascii="Arial" w:cs="Arial" w:eastAsia="Arial" w:hAnsi="Arial"/>
          <w:b w:val="false"/>
          <w:bCs w:val="false"/>
          <w:i w:val="false"/>
          <w:iCs w:val="false"/>
          <w:color w:val="2D2D2D"/>
          <w:sz w:val="22"/>
          <w:szCs w:val="22"/>
        </w:rPr>
        <w:t xml:space="preserve">This kind of validation matters in the context of an MVP initiative. The tool had not yet been sold or deployed — but it resonated immediately with a real decision-maker who understood both the problem space and the regulatory stakes. That's the clearest possible signal that the design was communicating the right story to the right audience.</w:t>
      </w:r>
    </w:p>
    <w:p>
      <w:pPr>
        <w:pBdr>
          <w:bottom w:val="single" w:color="2E7D5E" w:sz="4" w:space="1"/>
        </w:pBdr>
        <w:spacing w:before="200" w:after="200"/>
      </w:pPr>
      <w:r>
        <w:t xml:space="preserve"/>
      </w:r>
    </w:p>
    <w:p>
      <w:pPr>
        <w:pStyle w:val="Heading2"/>
        <w:spacing w:before="320" w:after="120"/>
      </w:pPr>
      <w:r>
        <w:rPr>
          <w:rFonts w:ascii="Arial" w:cs="Arial" w:eastAsia="Arial" w:hAnsi="Arial"/>
          <w:b/>
          <w:bCs/>
          <w:color w:val="1A1A2E"/>
          <w:sz w:val="26"/>
          <w:szCs w:val="26"/>
        </w:rPr>
        <w:t xml:space="preserve">Reflection</w:t>
      </w:r>
    </w:p>
    <w:p>
      <w:pPr>
        <w:spacing w:before="80" w:after="120"/>
      </w:pPr>
      <w:r>
        <w:rPr>
          <w:rFonts w:ascii="Arial" w:cs="Arial" w:eastAsia="Arial" w:hAnsi="Arial"/>
          <w:b w:val="false"/>
          <w:bCs w:val="false"/>
          <w:i w:val="false"/>
          <w:iCs w:val="false"/>
          <w:color w:val="2D2D2D"/>
          <w:sz w:val="22"/>
          <w:szCs w:val="22"/>
        </w:rPr>
        <w:t xml:space="preserve">This project was a different kind of challenge than my long-running client engagement work. There was no established process to follow, no iterative feedback loop with a client over months. It was fast, solo, and high-visibility — the design had to be conference-ready and conviction-worthy from the start.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0F7F4" w:val="clear"/>
            <w:tcMar>
              <w:top w:type="dxa" w:w="160"/>
              <w:left w:type="dxa" w:w="200"/>
              <w:bottom w:type="dxa" w:w="160"/>
              <w:right w:type="dxa" w:w="200"/>
            </w:tcMar>
          </w:tcPr>
          <w:p>
            <w:r>
              <w:rPr>
                <w:rFonts w:ascii="Arial" w:cs="Arial" w:eastAsia="Arial" w:hAnsi="Arial"/>
                <w:b/>
                <w:bCs/>
                <w:color w:val="1A1A2E"/>
                <w:sz w:val="22"/>
                <w:szCs w:val="22"/>
              </w:rPr>
              <w:t xml:space="preserve">What I'd do differently</w:t>
            </w:r>
          </w:p>
          <w:p>
            <w:pPr>
              <w:spacing w:before="80"/>
            </w:pPr>
            <w:r>
              <w:rPr>
                <w:rFonts w:ascii="Arial" w:cs="Arial" w:eastAsia="Arial" w:hAnsi="Arial"/>
                <w:color w:val="2D2D2D"/>
                <w:sz w:val="20"/>
                <w:szCs w:val="20"/>
              </w:rPr>
              <w:t xml:space="preserve">With more time, I would have done lightweight user research with actual state compliance administrators before finalizing the standards review UI. The human-in-the-loop principle was grounded in best practices and domain knowledge — but validating the specific editing and review interactions with real users would have strengthened confidence in the design decisions.</w:t>
            </w:r>
          </w:p>
        </w:tc>
        <w:tc>
          <w:tcPr>
            <w:tcW w:type="dxa" w:w="4680"/>
            <w:tcBorders>
              <w:top w:val="single" w:color="D1D5DB" w:sz="1"/>
              <w:left w:val="single" w:color="D1D5DB" w:sz="1"/>
              <w:bottom w:val="single" w:color="D1D5DB" w:sz="1"/>
              <w:right w:val="single" w:color="D1D5DB" w:sz="1"/>
            </w:tcBorders>
            <w:shd w:fill="F0F7F4" w:val="clear"/>
            <w:tcMar>
              <w:top w:type="dxa" w:w="160"/>
              <w:left w:type="dxa" w:w="200"/>
              <w:bottom w:type="dxa" w:w="160"/>
              <w:right w:type="dxa" w:w="200"/>
            </w:tcMar>
          </w:tcPr>
          <w:p>
            <w:r>
              <w:rPr>
                <w:rFonts w:ascii="Arial" w:cs="Arial" w:eastAsia="Arial" w:hAnsi="Arial"/>
                <w:b/>
                <w:bCs/>
                <w:color w:val="1A1A2E"/>
                <w:sz w:val="22"/>
                <w:szCs w:val="22"/>
              </w:rPr>
              <w:t xml:space="preserve">What this taught me</w:t>
            </w:r>
          </w:p>
          <w:p>
            <w:pPr>
              <w:spacing w:before="80"/>
            </w:pPr>
            <w:r>
              <w:rPr>
                <w:rFonts w:ascii="Arial" w:cs="Arial" w:eastAsia="Arial" w:hAnsi="Arial"/>
                <w:color w:val="2D2D2D"/>
                <w:sz w:val="20"/>
                <w:szCs w:val="20"/>
              </w:rPr>
              <w:t xml:space="preserve">Designing AI experiences for regulated environments requires a fundamentally different design philosophy than standard product work. The goal isn't to make the AI feel powerful — it's to make the human feel confident. Trust is the product. That reframe changed how I think about every AI design problem.</w:t>
            </w:r>
          </w:p>
        </w:tc>
      </w:tr>
    </w:tbl>
    <w:p>
      <w:pPr>
        <w:spacing w:before="0" w:after="200"/>
      </w:pPr>
      <w:r>
        <w:t xml:space="preserve"/>
      </w:r>
    </w:p>
    <w:p>
      <w:pPr>
        <w:jc w:val="center"/>
      </w:pPr>
      <w:r>
        <w:rPr>
          <w:rFonts w:ascii="Arial" w:cs="Arial" w:eastAsia="Arial" w:hAnsi="Arial"/>
          <w:i/>
          <w:iCs/>
          <w:color w:val="6B7280"/>
          <w:sz w:val="18"/>
          <w:szCs w:val="18"/>
        </w:rPr>
        <w:t xml:space="preserve">— Sara Williams · sara@msswilliams.com · linkedin.com/in/sara-williams-46a36b198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2026-03-20T01:26:49.596Z</dcterms:created>
  <dcterms:modified xsi:type="dcterms:W3CDTF">2026-03-20T01:26:49.597Z</dcterms:modified>
</cp:coreProperties>
</file>

<file path=docProps/custom.xml><?xml version="1.0" encoding="utf-8"?>
<Properties xmlns="http://schemas.openxmlformats.org/officeDocument/2006/custom-properties" xmlns:vt="http://schemas.openxmlformats.org/officeDocument/2006/docPropsVTypes"/>
</file>