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Full 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[36–40]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learning behavior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regularly take time to figure out ways to improve our team's work processes.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tends to handle differences of opinion privately or off-line, rather than addressing them directly as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members go out and get all the information they possibly can from others, such as customers, or other parts of the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frequently seeks new information that leads us to make important changes.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this team, someone always makes sure that we stop to reflect on the team's work process.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this team often speak up to test assumptions about issues under discussion.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invite people from outside the team to present information or have discussions with us.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performance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Recently, this team seems to be "slipping" a bit in its level of performance and accomplishments.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Those who receive or use the work this team does often have complaints about our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quality of work provided by this team is improving over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Critical quality errors occur frequently in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Others in the company who interact with this team often complain about how it functions.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inattention to collective results</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Lencioni dimension. The slot is left blank on purpose; no researcher-made or ill-fitting substitute (such as individual group-orientation scales) has been put in it.]</w:t>
            </w:r>
          </w:p>
        </w:tc>
      </w:tr>
    </w:tbl>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Goal similarity, conflict resolution and liking (Jehn):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As a work unit, we have similar goals.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main goals of my work unit are the same for all members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(my work unit) all agree on what is important to our group.</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the specific work being done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conflicts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who should do what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like the other members of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other people in my work unit are my friends.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is little group spirit in our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My fellow work unit members are satisfied with being a member of this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Intent to remain (adapted from Jehn, 1995; "work unit" changed to "firm"):</w:t>
      </w:r>
    </w:p>
    <w:p>
      <w:pPr>
        <w:bidi w:val="false"/>
        <w:spacing w:after="100" w:line="300"/>
      </w:pPr>
      <w:r>
        <w:rPr>
          <w:rFonts w:ascii="Arial" w:cs="Arial" w:eastAsia="Arial" w:hAnsi="Arial"/>
          <w:b/>
          <w:bCs/>
          <w:sz w:val="22"/>
          <w:szCs w:val="22"/>
          <w:rtl w:val="false"/>
        </w:rPr>
        <w:t xml:space="preserve">IR1. How long do you expect to stay in this firm?</w:t>
      </w:r>
    </w:p>
    <w:p>
      <w:pPr>
        <w:bidi w:val="false"/>
        <w:spacing w:after="100" w:line="300"/>
      </w:pPr>
      <w:r>
        <w:rPr>
          <w:rFonts w:ascii="Arial" w:cs="Arial" w:eastAsia="Arial" w:hAnsi="Arial"/>
          <w:sz w:val="22"/>
          <w:szCs w:val="22"/>
          <w:rtl w:val="false"/>
        </w:rPr>
        <w:t xml:space="preserve">☐ Less than 1 year  ☐ 1–2 years  ☐ 3–5 years  ☐ More than 5 years</w:t>
      </w:r>
    </w:p>
    <w:p>
      <w:pPr>
        <w:bidi w:val="false"/>
        <w:spacing w:after="100" w:line="300"/>
      </w:pPr>
      <w:r>
        <w:rPr>
          <w:rFonts w:ascii="Arial" w:cs="Arial" w:eastAsia="Arial" w:hAnsi="Arial"/>
          <w:b/>
          <w:bCs/>
          <w:sz w:val="22"/>
          <w:szCs w:val="22"/>
          <w:rtl w:val="false"/>
        </w:rPr>
        <w:t xml:space="preserve">IR2. If you have your own way, will you be working in this same firm three years from now?</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IR3. To what extent have you thought seriously about changing firms since beginning to work in your current firm?</w:t>
      </w:r>
    </w:p>
    <w:p>
      <w:pPr>
        <w:bidi w:val="false"/>
        <w:spacing w:after="100" w:line="300"/>
      </w:pPr>
      <w:r>
        <w:rPr>
          <w:rFonts w:ascii="Arial" w:cs="Arial" w:eastAsia="Arial" w:hAnsi="Arial"/>
          <w:sz w:val="22"/>
          <w:szCs w:val="22"/>
          <w:rtl w:val="false"/>
        </w:rPr>
        <w:t xml:space="preserve">☐ Not at all  ☐ A little  ☐ Somewhat  ☐ A lot  ☐ Very much</w:t>
      </w: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 slot: Psychological Capital (PCQ-24) — requires a licence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Psychological Capital Questionnaire (Luthans, Avolio, Avey &amp; Norman, 2007) has 24 items: six for each of four dimensions — self-efficacy, hope, resilience and optimism. The instrument is copyrighted (Mind Garden) and needs a licence for use and for reproduction in an online or paper questionnaire. The item text is deliberately not reproduced here and no researcher-made item has been substituted. After the licence is obtained, insert the licensed wording (codes PCQ1–PCQ24). Scale: 6-point, strongly disagree to strongly agree (from my knowledge; confirm against the licence materials).]</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7-point scale (1 = strongly disagree, 7 = strongly agree), items averaged into composite scores — verified against the Methods section of the paper (your images). The sample in the paper was 603 Ontario nurses; transfer to auditing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report the adaptation from nursing to auditing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(Intent to Remain,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"work unit" → "firm" is our adaptation; origin: a three-item version of Kraut's (1975) tenure-intention measure. Response format of item 1 not in the text (ours); item 2 yes/no; item 3 asterisked (reverse-scored)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formats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response format not in the text (5-point agreement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resolution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Liking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.73)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LK3 asterisked (reverse);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(your text): 7-point. Reverse-keying of TL2 is not stated (only the observer items are marked "reverse scored"). TL4 is cut off by "…" in the text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TL2 direction and the full TL4</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 (self-report)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TP1, TP2, TP4, TP5 are negatively worded but no reverse mark is shown in the text. An outcome of team quality, not Lencioni's "results" orientation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directions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capital (PCQ-24)</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Luthans, Avolio, Avey &amp; Norman (2007); Mind Garden instrument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Items NOT entered: the instrument is copyrighted and needs a licence. Structure: 4 dimensions × 6 items (self-efficacy, hope, resilience, optimism). 6-point scale (my knowledge, unverified). The licence terms (including whether it is free for academic research) came from a secondary source and must be asked of Mind Garden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Request the licence; do not reproduce the items in the final questionnaire or the paper appendix without it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 conflict resolution, liking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LK3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 of TL2 not stated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TP1,2,4,5 probably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Mixed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capital</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PCQ1–PCQ24 (after licence)</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6-pt (unverified)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Moderator for the "matched buffering" hypothesis (burnout → DAB)</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all additions the questionnaire has about 192 items (with the 24 PCQ items once licensed) and takes 36–40 minutes, which is not workable for auditors in peak season. Suggestion: pilot the full version to see real timing, and use a short form (about 117 items, 18–21 minutes) for the main collection. Cut in this order: (1) continuance commitment, occupation and organization (12 items); (2) moral-identity symbolization (5); (3) client-related burnout (6); (4) team learning (7); (5) team performance (5); (6) liking (4); (7) intent to remain (3); (8) leader coaching (3); (9) conflict resolution (3); (10) goal similarity (3). Keep affective and normative commitment, since Tsunogaya found these two reduce DAB. If Paper 2 matters more than Paper 1, cut more of the team blocks and keep client-related burnout.</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2026-10-08T18:47:09.981Z</dcterms:created>
  <dcterms:modified xsi:type="dcterms:W3CDTF">2026-10-08T18:47:09.981Z</dcterms:modified>
</cp:coreProperties>
</file>

<file path=docProps/custom.xml><?xml version="1.0" encoding="utf-8"?>
<Properties xmlns="http://schemas.openxmlformats.org/officeDocument/2006/custom-properties" xmlns:vt="http://schemas.openxmlformats.org/officeDocument/2006/docPropsVTypes"/>
</file>