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Short version 3.0 (English) — October 2026 — for main data collection</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[18–21]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r>
        <w:br w:type="page"/>
      </w:r>
    </w:p>
    <w:p>
      <w:pPr>
        <w:pStyle w:val="Heading2"/>
        <w:keepNext/>
        <w:bidi w:val="false"/>
        <w:spacing w:after="120" w:before="280"/>
      </w:pPr>
      <w:r>
        <w:rPr>
          <w:rFonts w:ascii="Arial" w:cs="Arial" w:eastAsia="Arial" w:hAnsi="Arial"/>
          <w:b/>
          <w:bCs/>
          <w:color w:val="2E5597"/>
          <w:sz w:val="25"/>
          <w:szCs w:val="25"/>
          <w:rtl w:val="false"/>
        </w:rPr>
        <w:t xml:space="preserve">Time budget on the reference engagement</w:t>
      </w:r>
    </w:p>
    <w:p>
      <w:pPr>
        <w:bidi w:val="false"/>
        <w:spacing w:after="100" w:line="300"/>
      </w:pPr>
      <w:r>
        <w:rPr>
          <w:rFonts w:ascii="Arial" w:cs="Arial" w:eastAsia="Arial" w:hAnsi="Arial"/>
          <w:b/>
          <w:bCs/>
          <w:sz w:val="22"/>
          <w:szCs w:val="22"/>
          <w:rtl w:val="false"/>
        </w:rPr>
        <w:t xml:space="preserve">BT1. In general, were the time budgets for the jobs you worked on in the reference engagement:</w:t>
      </w:r>
    </w:p>
    <w:p>
      <w:pPr>
        <w:bidi w:val="false"/>
        <w:spacing w:after="100" w:line="300"/>
      </w:pPr>
      <w:r>
        <w:rPr>
          <w:rFonts w:ascii="Arial" w:cs="Arial" w:eastAsia="Arial" w:hAnsi="Arial"/>
          <w:sz w:val="22"/>
          <w:szCs w:val="22"/>
          <w:rtl w:val="false"/>
        </w:rPr>
        <w:t xml:space="preserve">☐ Very easy to attain  ☐ Attainable with reasonable effort  ☐ Attainable with considerable effort  ☐ Very tight, practically unattainable  ☐ Impossible to achieve</w:t>
      </w:r>
    </w:p>
    <w:p>
      <w:pPr>
        <w:bidi w:val="false"/>
        <w:spacing w:after="100" w:line="300"/>
      </w:pPr>
      <w:r>
        <w:rPr>
          <w:rFonts w:ascii="Arial" w:cs="Arial" w:eastAsia="Arial" w:hAnsi="Arial"/>
          <w:b/>
          <w:bCs/>
          <w:sz w:val="22"/>
          <w:szCs w:val="22"/>
          <w:rtl w:val="false"/>
        </w:rPr>
        <w:t xml:space="preserve">BT2. How often do you achieve your time budgets?</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b/>
          <w:bCs/>
          <w:sz w:val="22"/>
          <w:szCs w:val="22"/>
          <w:rtl w:val="false"/>
        </w:rPr>
        <w:t xml:space="preserve">BT3. If you did not under-report any time, how often would you meet budget?</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sz w:val="20"/>
          <w:szCs w:val="20"/>
          <w:rtl w:val="false"/>
        </w:rPr>
        <w:t xml:space="preserve">To what extent do each of the following influence the time budgets which are set for your clients? 1 = Not at all … 5 = Very great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Last year's reported actual</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Estimated time to complete audit programme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Fees expected by clients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direction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clear what this team is supposed to accomplish.</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spent time making sure every team member understands the team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has invested plenty of time to clarify our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Accountability in the team (1 = Strongly disagree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accountable to each other as a team for our performance.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required to justify or explain our performance relative to team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hold each other accountable for doing our individual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take responsibility as a group for all of our decisions.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meetings we often explain to each other why we do certain things.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monitor our team performance against our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keep each other informed of our progress.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can count on members to deliver what they promise.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Placeholder: inattention to collective results</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published instrument was found for this Lencioni dimension. The slot is left blank on purpose; no researcher-made or ill-fitting substitute (such as individual group-orientation scales) has been put in it.]</w:t>
            </w:r>
          </w:p>
        </w:tc>
      </w:tr>
    </w:tbl>
    <w:p>
      <w:pPr>
        <w:spacing w:after="80"/>
      </w:pPr>
    </w:p>
    <w:p>
      <w:pPr>
        <w:bidi w:val="false"/>
        <w:spacing w:after="100" w:line="300"/>
      </w:pPr>
      <w:r>
        <w:rPr>
          <w:rFonts w:ascii="Arial" w:cs="Arial" w:eastAsia="Arial" w:hAnsi="Arial"/>
          <w:sz w:val="20"/>
          <w:szCs w:val="20"/>
          <w:rtl w:val="false"/>
        </w:rPr>
        <w:t xml:space="preserve">Norms about conflict in the team: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dealt with openly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my work unit try to avoid conflict at all costs.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conflict arises in my work unit, the people involved initiate steps to resolve the conflict immediately.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detrimental to getting the work done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displays (i.e., crying, yelling) are accepted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are encouraged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Differences of opinions about job responsibilities are avoided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4 = Neither … 7 = Strongly agree</w:t>
      </w:r>
    </w:p>
    <w:p>
      <w:pPr>
        <w:bidi w:val="false"/>
        <w:spacing w:after="100" w:line="300"/>
      </w:pPr>
      <w:r>
        <w:rPr>
          <w:rFonts w:ascii="Arial" w:cs="Arial" w:eastAsia="Arial" w:hAnsi="Arial"/>
          <w:b/>
          <w:bCs/>
          <w:sz w:val="20"/>
          <w:szCs w:val="20"/>
          <w:rtl w:val="false"/>
        </w:rPr>
        <w:t xml:space="preserve">Occupational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believe people who have been trained in a profession have a responsibility to stay in that profession for a reasonable period of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a responsibility to the auditing profession to continue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that it would be right to leave auditing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in auditing because of a sense of loyalty to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with my current employer.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it would be right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deserves my loyalty.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not leave my organization right now because I have a sense of obligation to the people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owe a great deal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Answer the first three questions by degree and the next four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Is your work emotionally exhausting?</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burnt out because of your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your work frustrate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worn out at the end of the working day?</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exhausted in the morning at the thought of another day at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every working hour is tiring for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have enough energy for family and friends during leisure time?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 in order to meet budget.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worked on my personal time without recording the hours.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shifted part of my time to non-chargeable codes.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3 conditions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 and social pressure (adapted from Lord &amp; DeZoort, 2001)</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three conditions: no social pressure (first five paragraphs only); conformity pressure (colleague paragraph); obedience pressure (partner paragraph). The no-pressure condition is my reading of the design; the text you sent showed only the two pressure groups. Amounts and years are adjusted for Iran.</w:t>
            </w:r>
          </w:p>
        </w:tc>
      </w:tr>
    </w:tbl>
    <w:p>
      <w:pPr>
        <w:bidi w:val="false"/>
        <w:spacing w:after="100" w:line="300"/>
      </w:pPr>
      <w:r>
        <w:rPr>
          <w:rFonts w:ascii="Arial" w:cs="Arial" w:eastAsia="Arial" w:hAnsi="Arial"/>
          <w:sz w:val="22"/>
          <w:szCs w:val="22"/>
          <w:rtl w:val="false"/>
        </w:rPr>
        <w:t xml:space="preserve">You are an audit senior at a large audit firm and your career has been advancing rapidly. You expect to have an excellent chance of being promoted to manager next year, which would be at least 1 year ahead of your peers. To replace another senior who has been assigned to a new engagement, you have been assigned the fieldwork responsibilities for this year's audit of Gregg Technologies, Inc. ("Gregg"), a publicly held manufacturer of scientific computers. You have not worked previously on Gregg's audit team. Although it may seem unusual, because of your experience and ability you are now the highest-level non-partner assigned to the Gregg audit. Your duties include planning and coordinating the audit, supervising the audit staff, and communicating with Gregg management.</w:t>
      </w:r>
    </w:p>
    <w:p>
      <w:pPr>
        <w:bidi w:val="false"/>
        <w:spacing w:after="100" w:line="300"/>
      </w:pPr>
      <w:r>
        <w:rPr>
          <w:rFonts w:ascii="Arial" w:cs="Arial" w:eastAsia="Arial" w:hAnsi="Arial"/>
          <w:sz w:val="22"/>
          <w:szCs w:val="22"/>
          <w:rtl w:val="false"/>
        </w:rPr>
        <w:t xml:space="preserve">During the audit you attempt to verify the existence and valuation of 25,000 million rials of assets described on Gregg's books as "Assets in Process." The Assets in Process account is used by Gregg to group together the costs of functionally related equipment acquired by Gregg until all the fixed assets are acquired. It is Gregg's practice to transfer the accumulated cost of the equipment to a fixed-asset account, "Equipment," and commence recording depreciation on the equipment only when it is placed in service.</w:t>
      </w:r>
    </w:p>
    <w:p>
      <w:pPr>
        <w:bidi w:val="false"/>
        <w:spacing w:after="100" w:line="300"/>
      </w:pPr>
      <w:r>
        <w:rPr>
          <w:rFonts w:ascii="Arial" w:cs="Arial" w:eastAsia="Arial" w:hAnsi="Arial"/>
          <w:sz w:val="22"/>
          <w:szCs w:val="22"/>
          <w:rtl w:val="false"/>
        </w:rPr>
        <w:t xml:space="preserve">During the audit you are told by Gregg production engineers that the equipment (Assets in Process) in question had been purchased and placed in service at the beginning of the fiscal year five years ago, and that the equipment had a 5-year useful life. However, you find that no depreciation has been recorded during the 5 years since the acquisition and placement of the equipment. Although workpapers from prior audits reflected the existence and cost of the assets, when you attempt to verify the existence and cost of the equipment, Gregg employees are unable to describe the equipment in detail or to provide you with invoices supporting the original purchase and cost of the equipment. Moreover, Gregg management is unable to physically locate the equipment in question. As a result, you conclude and document in the workpapers that the equipment in question cannot be physically located, is not identifiable from Gregg's books and records, and should have already been fully depreciated if, in fact, the equipment exists. You proposed an audit adjustment to write off the Assets in Process in question as an expense in the amount of 25,000 million rials. Planning materiality for the audit was 5% of income. Gregg's unadjusted net income after all other adjustments, but before considering the assets currently recorded in the Assets in Process account, is 100,000 million rials. Thus, the proposed adjustment would reduce Gregg's income from 100,000 to 75,000 million rials.</w:t>
      </w:r>
    </w:p>
    <w:p>
      <w:pPr>
        <w:bidi w:val="false"/>
        <w:spacing w:after="100" w:line="300"/>
      </w:pPr>
      <w:r>
        <w:rPr>
          <w:rFonts w:ascii="Arial" w:cs="Arial" w:eastAsia="Arial" w:hAnsi="Arial"/>
          <w:sz w:val="22"/>
          <w:szCs w:val="22"/>
          <w:rtl w:val="false"/>
        </w:rPr>
        <w:t xml:space="preserve">Gregg's CFO strongly disagrees with your recommendation to write off the Assets in Process in question. The CFO has attacked the competence of you and your staff, and threatened to replace your firm as Gregg's auditor. The CFO insists that the equipment is there but cannot be separately identified because it was incorporated into an existing production line two years ago when the company moved to its current production facility. Gregg's CFO proposes to shift the Assets in Process balance of 25,000 million rials to the Equipment account and to record 5,000 million rials of depreciation expense this year, with the remaining balance depreciated straight-line over the next four years.</w:t>
      </w:r>
    </w:p>
    <w:p>
      <w:pPr>
        <w:bidi w:val="false"/>
        <w:spacing w:after="100" w:line="300"/>
      </w:pPr>
      <w:r>
        <w:rPr>
          <w:rFonts w:ascii="Arial" w:cs="Arial" w:eastAsia="Arial" w:hAnsi="Arial"/>
          <w:sz w:val="22"/>
          <w:szCs w:val="22"/>
          <w:rtl w:val="false"/>
        </w:rPr>
        <w:t xml:space="preserve">[Conformity-pressure group only] The senior who was responsible for Gregg's audit last year is a colleague with whom you started your career at the firm. You decided to call this peer to ask about the equipment balance because this person knows the client well. Despite agreeing with the audit evidence and the documented conclusions of you and your staff, the senior suggested the circumstances were ambiguous enough to justify a compromise given the concern about losing the client. You are also told that the balance sitting in Assets in Process couldn't be verified last year, but that the client was adamant about its existence, and that it was finally considered immaterial to income. The senior also expressed concern about the career implications associated with being the one who contributed to the loss of Gregg as a client. Ultimately, the senior suggested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4 years. The senior advised you to sign off on workpapers reflecting a net Equipment balance of 20,000 million rials.</w:t>
      </w:r>
    </w:p>
    <w:p>
      <w:pPr>
        <w:bidi w:val="false"/>
        <w:spacing w:after="100" w:line="300"/>
      </w:pPr>
      <w:r>
        <w:rPr>
          <w:rFonts w:ascii="Arial" w:cs="Arial" w:eastAsia="Arial" w:hAnsi="Arial"/>
          <w:sz w:val="22"/>
          <w:szCs w:val="22"/>
          <w:rtl w:val="false"/>
        </w:rPr>
        <w:t xml:space="preserve">[Obedience-pressure group only] The partner from the previous year's audit of Gregg is no longer with your firm. During the audit, the new partner in charge on the engagement held several discussions with Gregg's CFO about the Assets in Process in question. Despite agreeing with the audit evidence and the documented conclusions of you and your staff, the audit partner suggests the circumstances are ambiguous enough to justify a compromise given the concern about losing the client. The partner tells you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four years. Consequently, the partner instructs you to sign off on workpapers reflecting a net Equipment balance of 20,000 million rials.</w:t>
      </w:r>
    </w:p>
    <w:p>
      <w:pPr>
        <w:bidi w:val="false"/>
        <w:spacing w:after="100" w:line="300"/>
      </w:pPr>
      <w:r>
        <w:rPr>
          <w:rFonts w:ascii="Arial" w:cs="Arial" w:eastAsia="Arial" w:hAnsi="Arial"/>
          <w:b/>
          <w:bCs/>
          <w:sz w:val="22"/>
          <w:szCs w:val="22"/>
          <w:rtl w:val="false"/>
        </w:rPr>
        <w:t xml:space="preserve">Instructions: you may look back to any of the preceding paragraphs to answer the following question. Without considering tax effects, what net Equipment balance for the assets originally recorded as "Assets in Process" would you sign off on in this year's workpapers (i.e., net of this year's depreciation expense or other write-offs)?   V2: ______ million rials</w:t>
      </w:r>
    </w:p>
    <w:p>
      <w:pPr>
        <w:bidi w:val="false"/>
        <w:spacing w:after="100" w:line="300"/>
      </w:pPr>
      <w:r>
        <w:rPr>
          <w:rFonts w:ascii="Arial" w:cs="Arial" w:eastAsia="Arial" w:hAnsi="Arial"/>
          <w:sz w:val="20"/>
          <w:szCs w:val="20"/>
          <w:rtl w:val="false"/>
        </w:rPr>
        <w:t xml:space="preserve">Manipulation checks (1 = Not at all … 7 = Very): V2m1: How much pressure did you feel to accept the CFO's proposal?  V2m2: Who recommended accepting the proposal? ☐ Nobody  ☐ A peer senior  ☐ The partner</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1–3)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(your image): 6+6+6 items; "nursing" replaced by "auditing". Reverse: OC2, OC4, OC5, OCC5, ONM2. 7-point scale (1 = strongly disagree, 7 = strongly agree), items averaged into composite scores — verified against the Methods section of the paper (your images). The sample in the paper was 603 Ontario nurses; transfer to auditing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 report the adaptation from nursing to auditing</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4–6)</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6+6+6 items. Reverse: AC3, AC4, AC5, ANM1</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Appendix questions 6 and 7 (based on Alderman &amp; Deitrick 1982; Kelley &amp; Margheim 1987, 1990). The same behaviours are used by Paino, Thani &amp; Syed Ahmad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The percentages in your image (37, 41, 29, 33, 26 and 28%) match Otley &amp; Pierce's text exactly, so the image comes from that paper. Scale Nearly always = 5 … Never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Cite Paino as a later application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Under-reporting of time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VIII (after Kelley &amp; Seiler 1982) and the dysfunctional-behaviour section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Structure VERIFIED: URT measured by a direct question and a question about "seniors in general"; two Table VIII responses ("working on personal time", "shift time to non-chargeable") are table labels. Full wording of DB6, DB7, PN6 is mine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wording to paper; 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paper's appendix (your text): 7 items, reverse keys (1, 3, 5), 7-point scale from "very inaccurate" to "very accurate". team → audit team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same 7-point scale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Matches the Lencioni "commitment/clarity" dimension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Table 1</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Eight items on the presence of conflict (4 relationship + 4 task), 5-point, 1 = None to 5 = A lot; the scale and alphas (.92 relationship, .87 task) verified against the text of the paper. The four relationship items come from your report; I have not seen Table 1 myself</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Table 1</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(Conflict Norms, alpha .74)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7 items; asterisk (reverse) on items 2, 3, 4, 7. Based on Cosier &amp; Dalton's (1990) openness scale, adapted to the group level; response format not given (5-point agreement assumed). Direct coverage of Lencioni "fear of conflict"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the response scale; re-check whether item 3 is reversed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low score = avoidance of accountability)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Stewart, Snyder &amp; Kou (2023), Table 1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per your report: 8 items verbatim from Table 1 (CC BY 4.0), 7-point strongly disagree to strongly agree, no reverse items, alpha .90 (n = 70). The validation study with senior managers used a 5-point scale. We read the score in reverse; the items are not reworded. This is team accountability, not a validated Lencioni "avoidance of accountability" scale; the items do not directly measure confronting a colleague about poor performance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Name the construct "team accountability (reversed)"; check the item sources in the paper's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of the 2005 paper (your text): 7 items, response type per item (EX1–EX3 intensity; EX4–EX7 frequency), EX7 reversed, scoring 0–100 (alpha .87). Do not rename it "emotional exhaustion"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terms of use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Appendix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each of our eight items is verbatim and is the first starred item in its mechanism. Bold marking is not visible in the pasted text, so the MD-8 identification rests on the one-item-per-mechanism structure. 7-point, strongly disagree to strongly 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Permission/notify the authors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original paper (Table 3, p. 1428): 10 final items. Internalization (MI1–MI5; alpha .78) and symbolization (MIS1–MIS5; alpha .69, low). 5-point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symbolization separately</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and conformity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A (scenario)</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manipulated by scenario, not a scale. The full "Gregg" scenario with two pressure conditions (colleague = conformity; partner = obedience) is reproduced in Situation 2; DV is the net Equipment balance signed off. Amounts and years adjusted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No-pressure condition is our assumption; 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Commitment (OCQ, organizational and professional)</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15+15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B: 15 items each, 7-point. Not used in our questionnaire (verified Meyer et al. items used instead)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Swap in if wanted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II (Q1 after Kelley &amp; Seiler 1982 and Kelley &amp; Margheim 1990; Q2–Q3 their own)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wording and options (5 to 1). Correlations 0.64–0.67; composite alpha 0.85 (per your text). Q3 presupposes under-reporting and is sensitive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changed from "last year" to "reference engagement";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time budgets (client fee expectation)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question and three options, 1–5. "Fees expected by clients" can indicate client pressure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Useful for Paper 2</w:t>
            </w:r>
          </w:p>
        </w:tc>
      </w:tr>
    </w:tbl>
    <w:p>
      <w:pPr>
        <w:bidi w:val="false"/>
        <w:spacing w:after="100" w:line="300"/>
      </w:pPr>
      <w:r>
        <w:rPr>
          <w:rFonts w:ascii="Arial" w:cs="Arial" w:eastAsia="Arial" w:hAnsi="Arial"/>
          <w:i/>
          <w:iCs/>
          <w:sz w:val="22"/>
          <w:szCs w:val="22"/>
          <w:rtl w:val="false"/>
        </w:rPr>
        <w:t xml:space="preserve">Reverse-keyed items: OC2, OC4, OC5; AC3, AC4, AC5; TS1, TS3, TS5; CN2, CN3, CN4, CN7; MI3, MI4; EX7.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Coverage of Lencioni's dimensions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Lencioni dimension</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Published instrument in the questionnaire</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Status</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Absence of trust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 (Edmondson, 7 items)</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Fear of conflict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(Jehn, 7) and conflict resolution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Lack of commitment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Clear direction (Edmondson, 3) and goal similarity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Well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Avoidance of accountability</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(Stewart et al. 2023, 8 items; low score = avoidance)</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Partial coverage</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results</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(left blank)</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published instrument found; considered and set aside: Group Orientation Scale (individual trait), goal interdependence (item text not found)</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(fear of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CN2,3,4,7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(low = avoidance)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reverse items; read the total in reverse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OCC5; ONM2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ANM1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 1–5 ≈ 0–100</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 (Situation 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0–100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Sign-off judgement (Situation 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Amount (million rials)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Lower = more resistance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 (internalization), MIS1–MIS5 (symbolization)</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 composite (reported alpha .85); BT1: 5 = easy … 1 = impossible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budgets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FI3 = fee-expectation pressure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Short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short version (about 117 items, 18–21 minutes) is for the main data collection. Compared with the full version these are removed: continuance commitment, occupation and organization (12 items); moral-identity symbolization (5); client-related burnout (6); intent to remain (3); leader coaching (3); goal similarity (3); conflict resolution (3); liking (4); team learning (7); team performance (5); psychological capital PCQ-24 (24, once licensed). Appendix tables are filtered for the removed rows; the commitment rows (which still mention continuance) and the Lencioni coverage table are identical to the full version.</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2026-10-08T18:47:10.494Z</dcterms:created>
  <dcterms:modified xsi:type="dcterms:W3CDTF">2026-10-08T18:47:10.494Z</dcterms:modified>
</cp:coreProperties>
</file>

<file path=docProps/custom.xml><?xml version="1.0" encoding="utf-8"?>
<Properties xmlns="http://schemas.openxmlformats.org/officeDocument/2006/custom-properties" xmlns:vt="http://schemas.openxmlformats.org/officeDocument/2006/docPropsVTypes"/>
</file>