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center"/>
      </w:pPr>
      <w:r>
        <w:rPr>
          <w:b w:val="0"/>
          <w:color w:val="5A5A5A"/>
          <w:sz w:val="19"/>
        </w:rPr>
        <w:t>Paper 1: Introduction, Theoretical Background and Methodology</w:t>
      </w:r>
    </w:p>
    <w:p>
      <w:pPr>
        <w:spacing w:after="200" w:line="288" w:lineRule="auto"/>
        <w:jc w:val="center"/>
      </w:pPr>
      <w:r>
        <w:rPr>
          <w:b/>
          <w:color w:val="1F3864"/>
          <w:sz w:val="26"/>
        </w:rPr>
        <w:t>Working title: Components of cyber risk assessment in auditing: A two-panel Delphi study in Iran</w:t>
      </w:r>
    </w:p>
    <w:p>
      <w:pPr>
        <w:spacing w:after="140" w:line="288" w:lineRule="auto"/>
        <w:jc w:val="left"/>
      </w:pPr>
      <w:r>
        <w:rPr>
          <w:b/>
          <w:color w:val="1F3864"/>
          <w:sz w:val="30"/>
        </w:rPr>
        <w:t>1. Introduction</w:t>
      </w:r>
    </w:p>
    <w:p>
      <w:pPr>
        <w:spacing w:after="140" w:line="360" w:lineRule="auto"/>
        <w:jc w:val="both"/>
      </w:pPr>
      <w:r>
        <w:rPr>
          <w:b w:val="0"/>
        </w:rPr>
        <w:t>An audit opinion is a statement about numbers; a cyber incident is an event in systems. The distance between the two is short, and it is shrinking. Every figure in a set of financial statements has passed through applications, interfaces and databases that an adversary can alter, encrypt or exfiltrate, and most of the internal controls an auditor might rely on are performed, supported or monitored by information technology (IT). Cyber risk therefore reaches the audit through three channels: the reliability of the information the auditor examines, the reliability of the controls the auditor may rely on, and the entity's continuing ability to operate, which bears on going-concern and disclosure judgments.</w:t>
      </w:r>
    </w:p>
    <w:p>
      <w:pPr>
        <w:spacing w:after="140" w:line="360" w:lineRule="auto"/>
        <w:jc w:val="both"/>
      </w:pPr>
      <w:r>
        <w:rPr>
          <w:b w:val="0"/>
        </w:rPr>
        <w:t>Standard setters have recognized these channels. ISA 315 (Revised 2019), effective for periods beginning on or after 15 December 2021, requires the auditor to understand the entity's IT environment, to identify the IT applications and general IT controls that matter for information processing, and to identify and assess the risks arising from IT as part of assessing the risks of material misstatement (IAASB, 2019). The revision separates the assessment of inherent risk from that of control risk, introduces inherent risk factors such as complexity, subjectivity and change, and treats risk as a spectrum; where the auditor does not plan to test the operating effectiveness of controls, the risk of material misstatement equals inherent risk. A decision not to rely on controls therefore does not remove the IT environment from the risk assessment. Internal auditing has moved in parallel: the Global Internal Audit Standards took effect on 9 January 2025 (IIA, 2024), and the Cybersecurity Topical Requirement, issued on 5 February 2025 and effective from 5 February 2026, applies to any engagement with a cybersecurity component (IIA, 2025).</w:t>
      </w:r>
    </w:p>
    <w:p>
      <w:pPr>
        <w:spacing w:after="140" w:line="360" w:lineRule="auto"/>
        <w:jc w:val="both"/>
      </w:pPr>
      <w:r>
        <w:rPr>
          <w:b w:val="0"/>
        </w:rPr>
        <w:t>What the standards do not supply is the content of a cyber risk assessment. They tell the auditor what to understand; they do not say which threats, vulnerabilities, control capabilities and governance arrangements make up the assessment. That content is borrowed from frameworks written for a different purpose. NIST CSF 2.0 organizes cybersecurity outcomes into six functions and, in its latest version, elevates governance to a function of its own (NIST, 2024). ISO/IEC 27005:2022 realigns information security risk management with ISO/IEC 27001:2022 and ISO 31000:2018, replaces 'impact' with 'consequence', and introduces risk scenarios alongside the contrast between event-based and asset-based identification (ISO/IEC, 2022). The AICPA's description criteria allow an entity to communicate its cybersecurity risk management program, including its governance structure and risk assessment process, in a voluntary examination engagement (AICPA, 2017). Each of these serves an entity that wishes to manage, or to demonstrate that it manages, cyber risk.</w:t>
      </w:r>
    </w:p>
    <w:p>
      <w:pPr>
        <w:spacing w:after="140" w:line="360" w:lineRule="auto"/>
        <w:jc w:val="both"/>
      </w:pPr>
      <w:r>
        <w:rPr>
          <w:b w:val="0"/>
        </w:rPr>
        <w:t>Borrowing creates a translation problem that the literature has not named. The auditor's risk is a risk to the fair presentation of financial statements, located at the level of assertions, classes of transactions and the IT applications that process them. The entity's cyber risk is a risk to security objectives, located at the level of assets, scenarios and organizational capabilities. Between the two lie three translations: of objective (from confidentiality, integrity and availability to fair presentation), of unit (from asset or scenario to assertion) and of evidence (from the entity's description of its program to evidence the auditor obtains and evaluates). In our reading, the profession has no agreed account of these translations, so each auditor makes them privately, and assessments may differ across auditors, firms and settings for reasons that no standard explains.</w:t>
      </w:r>
    </w:p>
    <w:p>
      <w:pPr>
        <w:spacing w:after="140" w:line="360" w:lineRule="auto"/>
        <w:jc w:val="both"/>
      </w:pPr>
      <w:r>
        <w:rPr>
          <w:b w:val="0"/>
        </w:rPr>
        <w:t>The empirical literature can be read as three waves of questions that circle this problem without isolating it. The first asked what auditors do with IT risk. Hermanson et al. (2000), surveying more than one hundred internal audit directors, found attention concentrated on traditional IT risks (safeguarding of assets, application processing and data integrity) with system development and acquisition receiving less, and Bedard et al. (2005) examined how information systems risk enters audit planning. The second wave asked how assurance over cybersecurity should be organized and what explains how much of it is done. Kahyaoğlu and Çalıyurt (2018) derived an assurance process from four frameworks (COBIT, ISO, AICPA and NIST) and argued for a central role for internal audit; Islam et al. (2018) related the extent of cybersecurity audit to characteristics of the internal audit function, governance and the risk function; and Steinbart et al. (2018) started from the observation that empirical evidence on internal audit's contribution to information security was scant. The third wave asked how good the audit is and why. Slapničar et al. (2022) measured cybersecurity audit effectiveness through planning, performing and reporting, Vuko et al. (2024) examined its drivers through a neo-institutional lens, and Li et al. (2020) asked whether external auditors respond to cyber incidents through audit fees.</w:t>
      </w:r>
    </w:p>
    <w:p>
      <w:pPr>
        <w:spacing w:after="140" w:line="360" w:lineRule="auto"/>
        <w:jc w:val="both"/>
      </w:pPr>
      <w:r>
        <w:rPr>
          <w:b w:val="0"/>
        </w:rPr>
        <w:t>The third wave contains the clue. Slapničar et al. (2022) report a mean index of 58 on a 100-point scale and a strong association between planning and performing, but a weaker association of both with reporting to the board; their index tracked the maturity of cyber risk management as expected, yet not the probability of a successful attack. This can be read as a statement about the construct rather than about effort: either what is measured does not capture what makes an assessment good, or the outcome that would validate it is too rare and too poorly observed to serve as a criterion. In either case the field cannot yet say which components an effective assessment must contain, and so cannot evaluate, teach or standardize it.</w:t>
      </w:r>
    </w:p>
    <w:p>
      <w:pPr>
        <w:spacing w:after="140" w:line="360" w:lineRule="auto"/>
        <w:jc w:val="both"/>
      </w:pPr>
      <w:r>
        <w:rPr>
          <w:b w:val="0"/>
        </w:rPr>
        <w:t>A parallel literature on risk assessment methods arrives at a complementary difficulty. Methods differ in how completely they cover risk identification, estimation and evaluation (Wangen et al., 2018); decision-analytic and probabilistic models have been proposed to integrate threat, vulnerability and consequence (Ganin et al., 2020; Wang et al., 2020); and framework-based views have been criticized for offering a static snapshot that misses organizational and threat dynamics (Armenia et al., 2021). Yet quantification is bounded by data: a systematic review of 5,219 studies identified only 79 datasets (Cremer et al., 2022). In most audit settings, then, the assessment of cyber risk is, and will remain, a structured professional judgment, and the quality of a judgment depends on what is being judged. The auditing literature studies how much assessment is done and by whom; the methods literature studies how risk can be modelled; neither specifies the set of components that a judgment-based assessment by an auditor should cover.</w:t>
      </w:r>
    </w:p>
    <w:p>
      <w:pPr>
        <w:spacing w:after="140" w:line="360" w:lineRule="auto"/>
        <w:jc w:val="both"/>
      </w:pPr>
      <w:r>
        <w:rPr>
          <w:b w:val="0"/>
        </w:rPr>
        <w:t>Two further features sharpen the problem. The first is that the question is inherently two-sided. The entity holds knowledge of its systems; the auditor holds the responsibility to form an opinion; and each faces different information, incentives and constraints. Where the two agree on what matters, reliance, communication and coordination become feasible; where they diverge, an assessment gap opens that no single-sided study can reveal. Prior studies have sampled one side or a mixture of roles: internal audit directors in Hermanson et al. (2000), auditors and chief audit executives in Slapničar et al. (2022), and internal audit functions in Islam et al. (2018). To our knowledge, none elicits both sides on a common set of components.</w:t>
      </w:r>
    </w:p>
    <w:p>
      <w:pPr>
        <w:spacing w:after="140" w:line="360" w:lineRule="auto"/>
        <w:jc w:val="both"/>
      </w:pPr>
      <w:r>
        <w:rPr>
          <w:b w:val="0"/>
        </w:rPr>
        <w:t>The second feature is context. Institutional theory holds that the adoption of standards responds to coercive, mimetic and normative pressures (DiMaggio &amp; Powell, 1983), and contingency theory holds that the usefulness of control practices depends on organizational circumstances (Donaldson, 2001). Components validated in settings with mature IT audit professions, available specialists, established attestation instruments and routinely disclosed incidents carry hidden assumptions about enabling conditions. Where those conditions differ, a component may remain important yet become infeasible, or feasible only in altered form, which means that importance and feasibility must be assessed separately. Iranian entities and auditors operate under regulatory, infrastructure and sanctions conditions that differ from those in which most of the evidence above was gathered. To the best of our knowledge, no study has examined, from both sides, which components make up the assessment of cyber risk in audits in Iran.</w:t>
      </w:r>
    </w:p>
    <w:p>
      <w:pPr>
        <w:spacing w:after="140" w:line="360" w:lineRule="auto"/>
        <w:jc w:val="both"/>
      </w:pPr>
      <w:r>
        <w:rPr>
          <w:b w:val="0"/>
        </w:rPr>
        <w:t>These observations converge on a single gap: the construct of cyber risk assessment in an audit is under-specified (there is no agreed set of components), one-sided (it has been examined from one vantage point at a time) and context-untested (it is assumed to transfer). We address the three limbs in sequence, guided by three questions. RQ1: Which components of cyber risk assessment in auditing appear in international frameworks, auditing standards and prior research? RQ2: Which of these components do Iranian experts consider important and feasible, and which local components do they add? RQ3: How do the perspectives of audited entities and auditors differ in the importance they attach to the components? Each design choice answers one limb. A systematic synthesis and mapping against AICPA, NIST, ISO and auditing-standard sources addresses under-specification and yields 30 candidate components in seven dimensions. Two expert panels, one from audited entities and one from auditors, rating the same components address one-sidedness. Separate ratings of importance and feasibility, together with open questions, address context. A Delphi design is chosen because the scarcity of data (Cremer et al., 2022) leaves informed consensus as the best available criterion for validating a construct whose components cannot yet be tested against outcomes.</w:t>
      </w:r>
    </w:p>
    <w:p>
      <w:pPr>
        <w:spacing w:after="140" w:line="360" w:lineRule="auto"/>
        <w:jc w:val="both"/>
      </w:pPr>
      <w:r>
        <w:rPr>
          <w:b w:val="0"/>
          <w:color w:val="C00000"/>
        </w:rPr>
        <w:t>[Insert two or three sentences summarizing the principal findings once the analysis is complete: the components that reached consensus, those added by the experts, the components rated important but infeasible, and the largest gaps between the two panels.]</w:t>
      </w:r>
    </w:p>
    <w:p>
      <w:pPr>
        <w:spacing w:after="140" w:line="360" w:lineRule="auto"/>
        <w:jc w:val="both"/>
      </w:pPr>
      <w:r>
        <w:rPr>
          <w:b w:val="0"/>
        </w:rPr>
        <w:t>The study makes four contributions. First, it names and structures the translation problem: it organizes cyber risk assessment in an audit into a risk model, a management cycle and an assurance layer, and locates each component within them. Second, it provides the first two-sided evidence on what the entity and the auditor each consider part of the assessment, and shows where they converge and diverge. Third, it separates importance from feasibility in a setting where enabling conditions differ from those assumed by most prior work, which turns the findings into a guide for where standards, training and regulation should invest. Fourth, it delivers a validated component set that serves as the measurement foundation for scale development and for follow-up research testing structural relations among the components. For auditors and audit firms the components give a structured basis for planning cyber risk assessments; for entities, a view of what auditors are likely to examine; for regulators and professional bodies, evidence for training, guidance and standard setting.</w:t>
      </w:r>
    </w:p>
    <w:p>
      <w:pPr>
        <w:spacing w:after="140" w:line="360" w:lineRule="auto"/>
        <w:jc w:val="both"/>
      </w:pPr>
      <w:r>
        <w:rPr>
          <w:b w:val="0"/>
        </w:rPr>
        <w:t>The stakes are practical as well as scholarly. Until the construct is specified, the effectiveness of cyber risk assessment cannot be measured, collaboration between auditors and specialists cannot be designed, and standards cannot be calibrated to the settings in which they are applied. This paper specifies the construct, tests it with the people who must live with it, and shows where the profession and the entities it audits disagree about what matters. The remainder of the paper is organized as follows. Section 2 develops the theoretical background and the candidate components. Section 3 describes the research design, the expert panels and the consensus criteria. Section 4 reports the results, including the comparison of the two panels. Section 5 discusses the findings, their implications and limitations, and directions for future research.</w:t>
      </w:r>
    </w:p>
    <w:p>
      <w:pPr>
        <w:spacing w:after="140" w:line="288" w:lineRule="auto"/>
        <w:jc w:val="left"/>
      </w:pPr>
      <w:r>
        <w:rPr>
          <w:b/>
          <w:color w:val="1F3864"/>
          <w:sz w:val="30"/>
        </w:rPr>
        <w:t>2. Theoretical Background and Propositions</w:t>
      </w:r>
    </w:p>
    <w:p>
      <w:pPr>
        <w:spacing w:after="140" w:line="336" w:lineRule="auto"/>
        <w:jc w:val="both"/>
      </w:pPr>
      <w:r>
        <w:rPr>
          <w:b w:val="0"/>
        </w:rPr>
        <w:t>Theory has three jobs in this study. It must define the object, a cyber risk assessment carried out by an auditor, precisely enough for the object to be decomposed into components. It must explain why those components should hang together, so that a list becomes a structure that can be tested. And it must explain why the vantage point of the observer and the setting of the assessment should change what is seen. We take the jobs in turn; the propositions follow from the answers.</w:t>
      </w:r>
    </w:p>
    <w:p>
      <w:pPr>
        <w:spacing w:after="100" w:line="288" w:lineRule="auto"/>
        <w:jc w:val="left"/>
      </w:pPr>
      <w:r>
        <w:rPr>
          <w:b/>
          <w:color w:val="1F3864"/>
          <w:sz w:val="25"/>
        </w:rPr>
        <w:t>2.1 Defining the object: risk, audit risk and cyber risk</w:t>
      </w:r>
    </w:p>
    <w:p>
      <w:pPr>
        <w:spacing w:after="140" w:line="336" w:lineRule="auto"/>
        <w:jc w:val="both"/>
      </w:pPr>
      <w:r>
        <w:rPr>
          <w:b w:val="0"/>
        </w:rPr>
        <w:t>In the vocabulary of ISO 31000, risk is the effect of uncertainty on objectives, and ISO/IEC 27005:2022 expresses that effect as a consequence for information security objectives (ISO, 2018; ISO/IEC, 2022). The auditor's objectives are different. The auditor seeks reasonable assurance that the financial statements are free of material misstatement, and the audit risk model expresses the risk of failing to obtain it as a function of the risk of material misstatement, which combines inherent and control risk, and of detection risk. In our reading, cyber risk can enter this model at two points. It can raise inherent risk, because the IT environment adds complexity and change to the processes that produce assertions, two of the inherent risk factors named in ISA 315 (Revised 2019) (IAASB, 2019). And it can affect control risk, because the controls an auditor relies on depend on general IT controls that must themselves be understood and evaluated. A third entry, through the entity's ability to keep operating and to disclose incidents appropriately, reaches going-concern and disclosure judgments rather than misstatement at assertion level.</w:t>
      </w:r>
    </w:p>
    <w:p>
      <w:pPr>
        <w:spacing w:after="140" w:line="336" w:lineRule="auto"/>
        <w:jc w:val="both"/>
      </w:pPr>
      <w:r>
        <w:rPr>
          <w:b w:val="0"/>
        </w:rPr>
        <w:t>We therefore define cyber risk assessment in an audit as the set of activities by which an auditor, working directly or through specialists and entity-prepared information, understands the entity's IT environment, identifies and evaluates cyber-related risks to the reliability of financial reporting and to the controls relied upon, forms and documents a judgment about residual risk, and communicates it to those who must act on it. Three features of this definition do the theoretical work. The assessor is not the owner of the system, which makes the assessment a problem of information asymmetry. The output is a judgment rather than a measurement, a consequence of data scarcity that limits quantification (Cremer et al., 2022), which makes its quality depend on the inputs to the judgment. And the activity is a chain of reliance on specialists, on entity descriptions and on third-party reports, which makes capability and collaboration part of the construct rather than mere context.</w:t>
      </w:r>
    </w:p>
    <w:p>
      <w:pPr>
        <w:spacing w:after="100" w:line="288" w:lineRule="auto"/>
        <w:jc w:val="left"/>
      </w:pPr>
      <w:r>
        <w:rPr>
          <w:b/>
          <w:color w:val="1F3864"/>
          <w:sz w:val="25"/>
        </w:rPr>
        <w:t>2.2 Structure: three layers and seven dimensions</w:t>
      </w:r>
    </w:p>
    <w:p>
      <w:pPr>
        <w:spacing w:after="140" w:line="336" w:lineRule="auto"/>
        <w:jc w:val="both"/>
      </w:pPr>
      <w:r>
        <w:rPr>
          <w:b w:val="0"/>
        </w:rPr>
        <w:t>A construct defined this way needs structure, and the literature supplies three layers. The risk-model layer concerns how threat, vulnerability and consequence are identified, estimated and evaluated. Its literature shows that methods differ in coverage (Wangen et al., 2018), that decision-analytic and probabilistic models can integrate the triplet (Ganin et al., 2020; Wang et al., 2020), and that investment in protection should be guided by expected loss (Gordon &amp; Loeb, 2002). The management-cycle layer concerns how risk is treated, monitored, responded to and learned from; it is where frameworks such as NIST CSF 2.0 spend most of their effort and where static views are criticized for missing dynamics (Armenia et al., 2021). The assurance layer concerns criteria, evidence, testing, judgment, reporting and accountability, which Slapničar et al. (2022) operationalize as planning, performing and reporting, and which ISA 315 and the IIA standards regulate.</w:t>
      </w:r>
    </w:p>
    <w:p>
      <w:pPr>
        <w:spacing w:after="140" w:line="336" w:lineRule="auto"/>
        <w:jc w:val="both"/>
      </w:pPr>
      <w:r>
        <w:rPr>
          <w:b w:val="0"/>
        </w:rPr>
        <w:t>Requiring each layer to be covered from both vantage points yields 30 components in seven dimensions (Table A1). Governance and strategy (C01–C03) captures what NIST CSF 2.0 now treats as a function of its own and what research links to cybersecurity audit: board governance, audit committee involvement and the risk function (Islam et al., 2018), and board-level technology committees, whose maturity is associated with reported breaches in opposite directions (Higgs et al., 2016). The risk assessment process (C04–C08) covers assets, threats, vulnerabilities, analysis and change; it is the best-documented dimension, anchored in Hermanson et al. (2000) on traditional IT risks and in the methods literature above. Control and risk treatment (C09–C15) covers implementation, access, data, infrastructure, development and change, awareness and third parties; the standards are rich here and audit-specific research is thin. Monitoring and response (C16–C18) covers monitoring, incident response and continuity, where the dynamic view of Armenia et al. (2021) and the detection-and-response signal in Higgs et al. (2016) apply. Compliance, improvement and reporting (C19–C21) covers legal requirements, effectiveness evaluation and reporting, anchored in institutional pressures (Vuko et al., 2024), reporting to the board (Slapničar et al., 2022) and disclosure (Sari et al., 2023). The two auditor-specific dimensions cover the auditor's own process (A01–A04: understanding the IT environment, linking cyber risk to material misstatement, evaluating IT general controls and evaluating electronic evidence) and the conditions of reliance, competence and reporting (A05–A09: service-organization reports, competence and experts, effect of incidents on the financial statements, communication with those charged with governance, and professional judgment).</w:t>
      </w:r>
    </w:p>
    <w:p>
      <w:pPr>
        <w:spacing w:after="140" w:line="336" w:lineRule="auto"/>
        <w:jc w:val="both"/>
      </w:pPr>
      <w:r>
        <w:rPr>
          <w:b w:val="0"/>
        </w:rPr>
        <w:t>The evidence profile is uneven, and the unevenness is informative. Of the 30 components, 21 are supported by at least one study whose details we could confirm, and nine rest on standards and guidance alone: policies and strategy (C02), context and scope (C03), access control (C10), network and physical security (C12), awareness (C14), third-party risk (C15), continuity (C18), electronic audit evidence (A04) and professional judgment (A09). Twelve components belong to the audited entity's perspective, nine to the auditor's and nine are shared (Table A1). The standards-only components mark where the construct depends on professional guidance rather than evidence, and where expert validation matters most; the shared components mark the interface at which the two vantage points must be reconciled. Both observations generate propositions below.</w:t>
      </w:r>
    </w:p>
    <w:p>
      <w:pPr>
        <w:spacing w:after="100" w:line="288" w:lineRule="auto"/>
        <w:jc w:val="left"/>
      </w:pPr>
      <w:r>
        <w:rPr>
          <w:b/>
          <w:color w:val="1F3864"/>
          <w:sz w:val="25"/>
        </w:rPr>
        <w:t>2.3 Mechanisms: what each theory explains</w:t>
      </w:r>
    </w:p>
    <w:p>
      <w:pPr>
        <w:spacing w:after="140" w:line="336" w:lineRule="auto"/>
        <w:jc w:val="both"/>
      </w:pPr>
      <w:r>
        <w:rPr>
          <w:b w:val="0"/>
        </w:rPr>
        <w:t>The audit risk model and risk-based auditing explain the chain that organizes the study: information about the entity and its IT environment is turned into an assessment of risk, and the assessment determines the response. The quality of what the auditor identifies and evaluates should therefore determine the quality of the judgment about risk, and the quality of that judgment should determine what is communicated and done. That chain is tested in a companion structural study; here it serves to organize the components and to motivate the propositions below.</w:t>
      </w:r>
    </w:p>
    <w:p>
      <w:pPr>
        <w:spacing w:after="140" w:line="336" w:lineRule="auto"/>
        <w:jc w:val="both"/>
      </w:pPr>
      <w:r>
        <w:rPr>
          <w:b w:val="0"/>
        </w:rPr>
        <w:t>Agency theory explains why the vantage point matters. In Jensen and Meckling's (1976) account, monitoring and bonding arise because principals cannot costlessly observe agents; auditing is one such device. In cyber risk the asymmetry is acute: the entity knows its systems, the auditor must form an opinion about them. Reliance on specialists and on entity-prepared descriptions is the price of that asymmetry, and where the two sides weigh components differently, the difference marks where the monitoring relationship is under strain.</w:t>
      </w:r>
    </w:p>
    <w:p>
      <w:pPr>
        <w:spacing w:after="140" w:line="336" w:lineRule="auto"/>
        <w:jc w:val="both"/>
      </w:pPr>
      <w:r>
        <w:rPr>
          <w:b w:val="0"/>
        </w:rPr>
        <w:t>The resource-based view and dynamic capabilities explain why competence, collaboration and learning belong to the construct. Resources that are valuable, rare and hard to imitate sustain performance (Barney, 1991), and capabilities to integrate, build and reconfigure competences allow adaptation to changing environments (Teece et al., 1997). An auditor's technical competence, the working relationship with specialists and the ability to learn from incidents are capabilities in exactly this sense.</w:t>
      </w:r>
    </w:p>
    <w:p>
      <w:pPr>
        <w:spacing w:after="140" w:line="336" w:lineRule="auto"/>
        <w:jc w:val="both"/>
      </w:pPr>
      <w:r>
        <w:rPr>
          <w:b w:val="0"/>
        </w:rPr>
        <w:t>Institutional and contingency theories explain why context matters. The adoption of standards responds to coercive, mimetic and normative pressures (DiMaggio &amp; Powell, 1983), and the effectiveness of a practice depends on its fit with organizational circumstances (Donaldson, 2001). Vuko et al. (2024) apply the institutional lens to cybersecurity audit effectiveness. Together the theories predict that a component can be important yet infeasible where enabling conditions are absent, which is why importance and feasibility are assessed separately.</w:t>
      </w:r>
    </w:p>
    <w:p>
      <w:pPr>
        <w:spacing w:after="140" w:line="336" w:lineRule="auto"/>
        <w:jc w:val="both"/>
      </w:pPr>
      <w:r>
        <w:rPr>
          <w:b w:val="0"/>
        </w:rPr>
        <w:t>The economics of security investment explains why residual-risk judgment has a prioritizing function. Gordon and Loeb (2002) show that the optimal investment in protecting an information set is generally a fraction of the expected loss and that moderately vulnerable information sets may merit more protection than extremely vulnerable ones. An assessment that ranks risks and distinguishes inherent from residual risk is what makes such trade-offs possible.</w:t>
      </w:r>
    </w:p>
    <w:p>
      <w:pPr>
        <w:spacing w:after="100" w:line="288" w:lineRule="auto"/>
        <w:jc w:val="left"/>
      </w:pPr>
      <w:r>
        <w:rPr>
          <w:b/>
          <w:color w:val="1F3864"/>
          <w:sz w:val="25"/>
        </w:rPr>
        <w:t>2.4 Propositions for the Delphi study</w:t>
      </w:r>
    </w:p>
    <w:p>
      <w:pPr>
        <w:spacing w:after="140" w:line="336" w:lineRule="auto"/>
        <w:jc w:val="both"/>
      </w:pPr>
      <w:r>
        <w:rPr>
          <w:b w:val="0"/>
        </w:rPr>
        <w:t>The Delphi study tests no statistical hypotheses. It is guided by four propositions that follow from the theory and the evidence profile; they fix how the components are validated.</w:t>
      </w:r>
    </w:p>
    <w:p>
      <w:pPr>
        <w:spacing w:after="80" w:line="336" w:lineRule="auto"/>
        <w:jc w:val="both"/>
      </w:pPr>
      <w:r>
        <w:rPr>
          <w:b w:val="0"/>
        </w:rPr>
        <w:t>• P1 (evidence convergence). Components supported by both standards and prior research will reach consensus earlier and with less dispersion than components that rest on standards alone. Converging sources are more likely to be part of a shared professional vocabulary, whereas standards-only components depend on how far guidance has been absorbed into practice (institutional theory).</w:t>
      </w:r>
    </w:p>
    <w:p>
      <w:pPr>
        <w:spacing w:after="80" w:line="336" w:lineRule="auto"/>
        <w:jc w:val="both"/>
      </w:pPr>
      <w:r>
        <w:rPr>
          <w:b w:val="0"/>
        </w:rPr>
        <w:t>• P2 (vantage-point salience). Each panel will rate most highly the components closest to its own work: the entity panel those in control and treatment (C09–C15), the auditor panel those in the auditor-specific dimensions (A01–A09). Role salience and information asymmetry shape what each side sees as central (agency theory; capabilities).</w:t>
      </w:r>
    </w:p>
    <w:p>
      <w:pPr>
        <w:spacing w:after="80" w:line="336" w:lineRule="auto"/>
        <w:jc w:val="both"/>
      </w:pPr>
      <w:r>
        <w:rPr>
          <w:b w:val="0"/>
        </w:rPr>
        <w:t>• P3 (importance–feasibility gap). Feasibility ratings will fall below importance ratings most for components that depend on enabling conditions outside the assessor's control: third-party risk (C15), continuous monitoring (C16), reliance on service-organization reports (A05) and use of experts (A06) (contingency and institutional theory).</w:t>
      </w:r>
    </w:p>
    <w:p>
      <w:pPr>
        <w:spacing w:after="80" w:line="336" w:lineRule="auto"/>
        <w:jc w:val="both"/>
      </w:pPr>
      <w:r>
        <w:rPr>
          <w:b w:val="0"/>
        </w:rPr>
        <w:t>• P4 (translation gap). Disagreement between panels will be largest for components at the interface between the entity's risk and the auditor's risk: risk analysis and evaluation (C07), cyber fraud risk and change (C08) and the effect on material misstatement (A02). The two sides differ in objective, unit and evidence, so the same words carry different meanings.</w:t>
      </w:r>
    </w:p>
    <w:p>
      <w:pPr>
        <w:spacing w:after="40"/>
      </w:pPr>
    </w:p>
    <w:p>
      <w:pPr>
        <w:spacing w:after="140" w:line="336" w:lineRule="auto"/>
        <w:jc w:val="both"/>
      </w:pPr>
      <w:r>
        <w:rPr>
          <w:b w:val="0"/>
        </w:rPr>
        <w:t>Theory thus yields, for the Delphi study, a definition of the object, a structure for its components and four propositions about where consensus will form and where the two vantage points will part. Whatever the experts decide, the result will be informative: convergence would show that the construct is shared across the profession, and divergence would locate the places where it is not.</w:t>
      </w:r>
    </w:p>
    <w:p>
      <w:pPr>
        <w:spacing w:after="140" w:line="288" w:lineRule="auto"/>
        <w:jc w:val="left"/>
      </w:pPr>
      <w:r>
        <w:rPr>
          <w:b/>
          <w:color w:val="1F3864"/>
          <w:sz w:val="30"/>
        </w:rPr>
        <w:t>3. Methodology</w:t>
      </w:r>
    </w:p>
    <w:p>
      <w:pPr>
        <w:spacing w:after="100" w:line="288" w:lineRule="auto"/>
        <w:jc w:val="left"/>
      </w:pPr>
      <w:r>
        <w:rPr>
          <w:b/>
          <w:color w:val="1F3864"/>
          <w:sz w:val="25"/>
        </w:rPr>
        <w:t>3.1 Research design and rationale</w:t>
      </w:r>
    </w:p>
    <w:p>
      <w:pPr>
        <w:spacing w:after="140" w:line="336" w:lineRule="auto"/>
        <w:jc w:val="both"/>
      </w:pPr>
      <w:r>
        <w:rPr>
          <w:b w:val="0"/>
        </w:rPr>
        <w:t>The study follows an exploratory sequential design in two stages. Stage 1 identifies and structures candidate components by synthesizing the literature and mapping it against the sources that regulate or guide the practice. Stage 2 validates and localizes the components in a Delphi study with two expert panels. The Delphi method suits the problem for three reasons that follow from the introduction. First, the construct is under-specified, so the question is which components belong to it, a question of content that informed judgment can answer (Okoli &amp; Pawlowski, 2004; Skulmoski et al., 2007). Second, data against which components could be tested are scarce (Cremer et al., 2022), so there is no outcome criterion to validate against. Third, the question is two-sided, which calls for two independently constituted panels that rate the same items. We follow the CREDES guidance for conducting and reporting Delphi studies (Jünger et al., 2017) and specify the consensus criteria in advance, because Diamond et al. (2014) found that many published Delphi studies claim consensus without having defined it beforehand.</w:t>
      </w:r>
    </w:p>
    <w:p>
      <w:pPr>
        <w:spacing w:after="100" w:line="288" w:lineRule="auto"/>
        <w:jc w:val="left"/>
      </w:pPr>
      <w:r>
        <w:rPr>
          <w:b/>
          <w:color w:val="1F3864"/>
          <w:sz w:val="25"/>
        </w:rPr>
        <w:t>3.2 Stage 1: Identification of candidate components</w:t>
      </w:r>
    </w:p>
    <w:p>
      <w:pPr>
        <w:spacing w:after="140" w:line="336" w:lineRule="auto"/>
        <w:jc w:val="both"/>
      </w:pPr>
      <w:r>
        <w:rPr>
          <w:b w:val="0"/>
        </w:rPr>
        <w:t>Sources were of two kinds. Research sources were peer-reviewed studies retrieved from Scopus, Web of Science and publisher platforms (ScienceDirect, Emerald, Wiley, Taylor &amp; Francis) and from the Persian databases SID, Magiran, ISC and Civilica, published between 2000 and [search date] in English or Persian. The search string combined terms for cyber or information security risk, for auditing or assurance, and for assessment, framework, component or factor, and was adapted to each database; backward and forward citation chasing supplemented it. Normative sources were the official texts of the AICPA Trust Services Criteria and SOC for Cybersecurity description criteria, NIST CSF 2.0 and the related NIST publications, ISO/IEC 27001, 27002 and 27005 (2022 editions) and ISO 31000, ISA 315 (Revised 2019) and related ISAs, and the IIA Global Internal Audit Standards and Cybersecurity Topical Requirement.</w:t>
      </w:r>
    </w:p>
    <w:p>
      <w:pPr>
        <w:spacing w:after="140" w:line="336" w:lineRule="auto"/>
        <w:jc w:val="both"/>
      </w:pPr>
      <w:r>
        <w:rPr>
          <w:b w:val="0"/>
        </w:rPr>
        <w:t>Two researchers screened titles and abstracts and then full texts independently against inclusion criteria (relevance to cyber or information security risk assessment, control evaluation or assurance in an audit or comparable assurance context); inter-rater agreement is reported as Cohen's kappa and disagreements were resolved by discussion. The process is reported with a PRISMA 2020 flow diagram (Page et al., 2021), adapted because the review serves to identify components rather than to estimate an effect. Components and their definitions were extracted into a coding form together with the perspective (audited entity, auditor or both) and the source.</w:t>
      </w:r>
    </w:p>
    <w:p>
      <w:pPr>
        <w:spacing w:after="140" w:line="336" w:lineRule="auto"/>
        <w:jc w:val="both"/>
      </w:pPr>
      <w:r>
        <w:rPr>
          <w:b w:val="0"/>
        </w:rPr>
        <w:t>Mapping proceeded in a component-by-source matrix. Two researchers independently coded each source against each candidate component and resolved differences by consensus. We applied three synthesis rules: synonyms were merged, compound components were split, and a component was retained as a candidate only if at least two independent source families supported it (for example, two standard families, or a standard and a study). Each component was labelled S+R if at least one study supported it in addition to standards, and S if it rested on standards and guidance alone. The result is 30 candidate components in seven dimensions: 12 belonging to the audited entity's perspective, 9 to the auditor's and 9 shared (Table A1). Evidence labels were not shown to panelists, to avoid anchoring.</w:t>
      </w:r>
    </w:p>
    <w:p>
      <w:pPr>
        <w:spacing w:after="100" w:line="288" w:lineRule="auto"/>
        <w:jc w:val="left"/>
      </w:pPr>
      <w:r>
        <w:rPr>
          <w:b/>
          <w:color w:val="1F3864"/>
          <w:sz w:val="25"/>
        </w:rPr>
        <w:t>3.3 Stage 2: Expert panels</w:t>
      </w:r>
    </w:p>
    <w:p>
      <w:pPr>
        <w:spacing w:after="140" w:line="336" w:lineRule="auto"/>
        <w:jc w:val="both"/>
      </w:pPr>
      <w:r>
        <w:rPr>
          <w:b w:val="0"/>
        </w:rPr>
        <w:t>Two panels were constituted. Panel A represents the audited entity (information security managers, IT managers, internal auditors and risk managers); Panel B represents auditors (independent auditors, including IT audit specialists in audit firms). Eligibility required at least five years of experience relevant to cyber risk assessment or IT audit and involvement in a cyber-related assessment or audit within the last three years; recognized certifications (for example CISA, CISM or ISO/IEC 27001 Lead Auditor) were considered in the same way as experience. Experts were recruited by purposive sampling supplemented by referral, with deliberate variation in sector and organization size, and invitations were issued by an independent coordinator. Delphi guidance stresses expertise and heterogeneity over panel size (Okoli &amp; Pawlowski, 2004; Skulmoski et al., 2007). Each panel comprises 20 experts, 40 in total. The size follows from the small population of qualified experts in Iran and from the design: with 20 experts per panel each expert carries 5 percentage points of agreement, so the 75 per cent consensus threshold corresponds to 15 experts, and comparisons between panels are balanced. We invite more than 20 experts per panel to reach this number, aim to retain at least 80 per cent (16 experts) in every round, do not replace dropouts, and report the numbers invited, participating and retained and the response rate for each round.</w:t>
      </w:r>
    </w:p>
    <w:p>
      <w:pPr>
        <w:spacing w:after="100" w:line="288" w:lineRule="auto"/>
        <w:jc w:val="left"/>
      </w:pPr>
      <w:r>
        <w:rPr>
          <w:b/>
          <w:color w:val="1F3864"/>
          <w:sz w:val="25"/>
        </w:rPr>
        <w:t>3.4 Instrument and rounds</w:t>
      </w:r>
    </w:p>
    <w:p>
      <w:pPr>
        <w:spacing w:after="140" w:line="336" w:lineRule="auto"/>
        <w:jc w:val="both"/>
      </w:pPr>
      <w:r>
        <w:rPr>
          <w:b w:val="0"/>
        </w:rPr>
        <w:t>The Round 1 questionnaire presents each of the 30 components once, with a short operational definition, and asks the expert two questions on five-point scales: importance (How important is this component for a cyber risk assessment in an audit to be considered adequate? 1 = not important to 5 = extremely important) and feasibility (How feasible is it to carry out this component under current conditions in Iran? 1 = not feasible to 5 = fully feasible). Each component is therefore rated twice, giving 60 ratings per expert, and each rating is followed by an optional comment. Open questions invite additional components, merging or removal, local requirements and obstacles. The instrument was prepared in Persian and English, translated and back-translated (Brislin, 1970), and pretested with five experts outside the panels for clarity and face validity.</w:t>
      </w:r>
    </w:p>
    <w:p>
      <w:pPr>
        <w:spacing w:after="140" w:line="336" w:lineRule="auto"/>
        <w:jc w:val="both"/>
      </w:pPr>
      <w:r>
        <w:rPr>
          <w:b w:val="0"/>
        </w:rPr>
        <w:t>Round 2 returns to each expert the panel's median, interquartile range and percentage agreement for every component, the expert's own earlier rating, and anonymized summaries of comments, and asks for re-rating of components without consensus, of revised or merged components and of newly proposed components. In Round 2 experts also assign each retained component to one of six constructs (threat and vulnerability identification, control maturity and effectiveness evaluation, auditor–specialist collaboration and competence, residual-risk judgment, continuous monitoring and learning, and process effectiveness) or to 'other'; this classification provides the measurement basis for the follow-up structural study. A third round is held only if components remain unresolved. The study stops when consensus is reached for at least 90 per cent of components, when agreement changes by no more than 10 percentage points between successive rounds, or after three rounds, whichever comes first.</w:t>
      </w:r>
    </w:p>
    <w:p>
      <w:pPr>
        <w:spacing w:after="100" w:line="288" w:lineRule="auto"/>
        <w:jc w:val="left"/>
      </w:pPr>
      <w:r>
        <w:rPr>
          <w:b/>
          <w:color w:val="1F3864"/>
          <w:sz w:val="25"/>
        </w:rPr>
        <w:t>3.5 Consensus and decision rules</w:t>
      </w:r>
    </w:p>
    <w:p>
      <w:pPr>
        <w:spacing w:after="140" w:line="336" w:lineRule="auto"/>
        <w:jc w:val="both"/>
      </w:pPr>
      <w:r>
        <w:rPr>
          <w:b w:val="0"/>
        </w:rPr>
        <w:t>The consensus criteria and the decision for each component were fixed before data collection (Table 1). Consensus on importance requires that at least 75 per cent of a panel (15 of the 20 experts) rate the component 4 or 5, with a median of at least 4 and an interquartile range of at most 1; 75 per cent is the most common cut-off among published Delphi studies that define consensus (Diamond et al., 2014). Decisions are made component by component and panel by panel, so that no component is removed because one panel rates it low. A component is dropped only when both panels agree it is not important. The percentage rating 4 or 5 is also expressed as a content validity ratio, CVR = 2p − 1, where p is the proportion rating 4 or 5 (Lawshe, 1975); a proportion of 75 per cent corresponds to a CVR of 0.50. CVR values are reported descriptively, against Lawshe's critical value for a panel of 20, noting that this table has been criticized.</w:t>
      </w:r>
    </w:p>
    <w:p>
      <w:pPr>
        <w:spacing w:after="60" w:line="264" w:lineRule="auto"/>
        <w:jc w:val="left"/>
      </w:pPr>
      <w:r>
        <w:rPr>
          <w:b/>
          <w:sz w:val="21"/>
        </w:rPr>
        <w:t>Table 1. Delphi decision rules</w:t>
      </w:r>
    </w:p>
    <w:tbl>
      <w:tblPr>
        <w:tblStyle w:val="TableGrid"/>
        <w:tblW w:type="auto" w:w="0"/>
        <w:tblLayout w:type="fixed"/>
        <w:tblLook w:firstColumn="1" w:firstRow="1" w:lastColumn="0" w:lastRow="0" w:noHBand="0" w:noVBand="1" w:val="04A0"/>
      </w:tblPr>
      <w:tblGrid>
        <w:gridCol w:w="2154"/>
        <w:gridCol w:w="4309"/>
        <w:gridCol w:w="2721"/>
      </w:tblGrid>
      <w:tr>
        <w:tc>
          <w:tcPr>
            <w:tcW w:type="dxa" w:w="2154"/>
            <w:shd w:val="clear" w:color="auto" w:fill="1F3864"/>
          </w:tcPr>
          <w:p>
            <w:pPr>
              <w:jc w:val="left"/>
            </w:pPr>
            <w:r/>
            <w:r>
              <w:rPr>
                <w:b/>
                <w:color w:val="FFFFFF"/>
                <w:sz w:val="17"/>
              </w:rPr>
              <w:t>Decision</w:t>
            </w:r>
          </w:p>
        </w:tc>
        <w:tc>
          <w:tcPr>
            <w:tcW w:type="dxa" w:w="4309"/>
            <w:shd w:val="clear" w:color="auto" w:fill="1F3864"/>
          </w:tcPr>
          <w:p>
            <w:pPr>
              <w:jc w:val="left"/>
            </w:pPr>
            <w:r/>
            <w:r>
              <w:rPr>
                <w:b/>
                <w:color w:val="FFFFFF"/>
                <w:sz w:val="17"/>
              </w:rPr>
              <w:t>Criterion</w:t>
            </w:r>
          </w:p>
        </w:tc>
        <w:tc>
          <w:tcPr>
            <w:tcW w:type="dxa" w:w="2721"/>
            <w:shd w:val="clear" w:color="auto" w:fill="1F3864"/>
          </w:tcPr>
          <w:p>
            <w:pPr>
              <w:jc w:val="left"/>
            </w:pPr>
            <w:r/>
            <w:r>
              <w:rPr>
                <w:b/>
                <w:color w:val="FFFFFF"/>
                <w:sz w:val="17"/>
              </w:rPr>
              <w:t>Consequence</w:t>
            </w:r>
          </w:p>
        </w:tc>
      </w:tr>
      <w:tr>
        <w:tc>
          <w:tcPr>
            <w:tcW w:type="dxa" w:w="2154"/>
          </w:tcPr>
          <w:p>
            <w:pPr>
              <w:jc w:val="left"/>
            </w:pPr>
            <w:r/>
            <w:r>
              <w:rPr>
                <w:b w:val="0"/>
                <w:sz w:val="17"/>
              </w:rPr>
              <w:t>Retain (shared consensus)</w:t>
            </w:r>
          </w:p>
        </w:tc>
        <w:tc>
          <w:tcPr>
            <w:tcW w:type="dxa" w:w="4309"/>
          </w:tcPr>
          <w:p>
            <w:pPr>
              <w:jc w:val="left"/>
            </w:pPr>
            <w:r/>
            <w:r>
              <w:rPr>
                <w:b w:val="0"/>
                <w:sz w:val="17"/>
              </w:rPr>
              <w:t>In both panels: at least 75% rate importance 4–5, median ≥ 4, IQR ≤ 1, and agreement stable in the final round</w:t>
            </w:r>
          </w:p>
        </w:tc>
        <w:tc>
          <w:tcPr>
            <w:tcW w:type="dxa" w:w="2721"/>
          </w:tcPr>
          <w:p>
            <w:pPr>
              <w:jc w:val="left"/>
            </w:pPr>
            <w:r/>
            <w:r>
              <w:rPr>
                <w:b w:val="0"/>
                <w:sz w:val="17"/>
              </w:rPr>
              <w:t>Kept in the model</w:t>
            </w:r>
          </w:p>
        </w:tc>
      </w:tr>
      <w:tr>
        <w:tc>
          <w:tcPr>
            <w:tcW w:type="dxa" w:w="2154"/>
          </w:tcPr>
          <w:p>
            <w:pPr>
              <w:jc w:val="left"/>
            </w:pPr>
            <w:r/>
            <w:r>
              <w:rPr>
                <w:b w:val="0"/>
                <w:sz w:val="17"/>
              </w:rPr>
              <w:t>Retain, perspective-specific</w:t>
            </w:r>
          </w:p>
        </w:tc>
        <w:tc>
          <w:tcPr>
            <w:tcW w:type="dxa" w:w="4309"/>
          </w:tcPr>
          <w:p>
            <w:pPr>
              <w:jc w:val="left"/>
            </w:pPr>
            <w:r/>
            <w:r>
              <w:rPr>
                <w:b w:val="0"/>
                <w:sz w:val="17"/>
              </w:rPr>
              <w:t>Criteria met in one panel only</w:t>
            </w:r>
          </w:p>
        </w:tc>
        <w:tc>
          <w:tcPr>
            <w:tcW w:type="dxa" w:w="2721"/>
          </w:tcPr>
          <w:p>
            <w:pPr>
              <w:jc w:val="left"/>
            </w:pPr>
            <w:r/>
            <w:r>
              <w:rPr>
                <w:b w:val="0"/>
                <w:sz w:val="17"/>
              </w:rPr>
              <w:t>Kept; the other panel's lower rating is reported as a finding</w:t>
            </w:r>
          </w:p>
        </w:tc>
      </w:tr>
      <w:tr>
        <w:tc>
          <w:tcPr>
            <w:tcW w:type="dxa" w:w="2154"/>
          </w:tcPr>
          <w:p>
            <w:pPr>
              <w:jc w:val="left"/>
            </w:pPr>
            <w:r/>
            <w:r>
              <w:rPr>
                <w:b w:val="0"/>
                <w:sz w:val="17"/>
              </w:rPr>
              <w:t>Retain, context-dependent</w:t>
            </w:r>
          </w:p>
        </w:tc>
        <w:tc>
          <w:tcPr>
            <w:tcW w:type="dxa" w:w="4309"/>
          </w:tcPr>
          <w:p>
            <w:pPr>
              <w:jc w:val="left"/>
            </w:pPr>
            <w:r/>
            <w:r>
              <w:rPr>
                <w:b w:val="0"/>
                <w:sz w:val="17"/>
              </w:rPr>
              <w:t>Importance consensus, but feasibility below 75% rating 4–5 or median ≤ 3</w:t>
            </w:r>
          </w:p>
        </w:tc>
        <w:tc>
          <w:tcPr>
            <w:tcW w:type="dxa" w:w="2721"/>
          </w:tcPr>
          <w:p>
            <w:pPr>
              <w:jc w:val="left"/>
            </w:pPr>
            <w:r/>
            <w:r>
              <w:rPr>
                <w:b w:val="0"/>
                <w:sz w:val="17"/>
              </w:rPr>
              <w:t>Kept as important but difficult to implement</w:t>
            </w:r>
          </w:p>
        </w:tc>
      </w:tr>
      <w:tr>
        <w:tc>
          <w:tcPr>
            <w:tcW w:type="dxa" w:w="2154"/>
          </w:tcPr>
          <w:p>
            <w:pPr>
              <w:jc w:val="left"/>
            </w:pPr>
            <w:r/>
            <w:r>
              <w:rPr>
                <w:b w:val="0"/>
                <w:sz w:val="17"/>
              </w:rPr>
              <w:t>Revise or merge</w:t>
            </w:r>
          </w:p>
        </w:tc>
        <w:tc>
          <w:tcPr>
            <w:tcW w:type="dxa" w:w="4309"/>
          </w:tcPr>
          <w:p>
            <w:pPr>
              <w:jc w:val="left"/>
            </w:pPr>
            <w:r/>
            <w:r>
              <w:rPr>
                <w:b w:val="0"/>
                <w:sz w:val="17"/>
              </w:rPr>
              <w:t>No consensus after Round 2 and comments point to wording problems, overlap or compound content</w:t>
            </w:r>
          </w:p>
        </w:tc>
        <w:tc>
          <w:tcPr>
            <w:tcW w:type="dxa" w:w="2721"/>
          </w:tcPr>
          <w:p>
            <w:pPr>
              <w:jc w:val="left"/>
            </w:pPr>
            <w:r/>
            <w:r>
              <w:rPr>
                <w:b w:val="0"/>
                <w:sz w:val="17"/>
              </w:rPr>
              <w:t>Reworded or merged component re-rated once</w:t>
            </w:r>
          </w:p>
        </w:tc>
      </w:tr>
      <w:tr>
        <w:tc>
          <w:tcPr>
            <w:tcW w:type="dxa" w:w="2154"/>
          </w:tcPr>
          <w:p>
            <w:pPr>
              <w:jc w:val="left"/>
            </w:pPr>
            <w:r/>
            <w:r>
              <w:rPr>
                <w:b w:val="0"/>
                <w:sz w:val="17"/>
              </w:rPr>
              <w:t>Add</w:t>
            </w:r>
          </w:p>
        </w:tc>
        <w:tc>
          <w:tcPr>
            <w:tcW w:type="dxa" w:w="4309"/>
          </w:tcPr>
          <w:p>
            <w:pPr>
              <w:jc w:val="left"/>
            </w:pPr>
            <w:r/>
            <w:r>
              <w:rPr>
                <w:b w:val="0"/>
                <w:sz w:val="17"/>
              </w:rPr>
              <w:t>New component proposed by at least 3 experts across the two panels</w:t>
            </w:r>
          </w:p>
        </w:tc>
        <w:tc>
          <w:tcPr>
            <w:tcW w:type="dxa" w:w="2721"/>
          </w:tcPr>
          <w:p>
            <w:pPr>
              <w:jc w:val="left"/>
            </w:pPr>
            <w:r/>
            <w:r>
              <w:rPr>
                <w:b w:val="0"/>
                <w:sz w:val="17"/>
              </w:rPr>
              <w:t>Rated in the next round</w:t>
            </w:r>
          </w:p>
        </w:tc>
      </w:tr>
      <w:tr>
        <w:tc>
          <w:tcPr>
            <w:tcW w:type="dxa" w:w="2154"/>
          </w:tcPr>
          <w:p>
            <w:pPr>
              <w:jc w:val="left"/>
            </w:pPr>
            <w:r/>
            <w:r>
              <w:rPr>
                <w:b w:val="0"/>
                <w:sz w:val="17"/>
              </w:rPr>
              <w:t>Drop</w:t>
            </w:r>
          </w:p>
        </w:tc>
        <w:tc>
          <w:tcPr>
            <w:tcW w:type="dxa" w:w="4309"/>
          </w:tcPr>
          <w:p>
            <w:pPr>
              <w:jc w:val="left"/>
            </w:pPr>
            <w:r/>
            <w:r>
              <w:rPr>
                <w:b w:val="0"/>
                <w:sz w:val="17"/>
              </w:rPr>
              <w:t>Final round: median ≤ 3 and fewer than 50% rating 4–5 in both panels</w:t>
            </w:r>
          </w:p>
        </w:tc>
        <w:tc>
          <w:tcPr>
            <w:tcW w:type="dxa" w:w="2721"/>
          </w:tcPr>
          <w:p>
            <w:pPr>
              <w:jc w:val="left"/>
            </w:pPr>
            <w:r/>
            <w:r>
              <w:rPr>
                <w:b w:val="0"/>
                <w:sz w:val="17"/>
              </w:rPr>
              <w:t>Removed and reported with reasons</w:t>
            </w:r>
          </w:p>
        </w:tc>
      </w:tr>
    </w:tbl>
    <w:p/>
    <w:p>
      <w:pPr>
        <w:spacing w:after="140" w:line="336" w:lineRule="auto"/>
        <w:jc w:val="both"/>
      </w:pPr>
      <w:r>
        <w:rPr>
          <w:b w:val="0"/>
        </w:rPr>
        <w:t>The 30 components are therefore candidates, not a fixed instrument. After the Delphi study the final set may be smaller (components dropped or merged), larger (components added by experts) or restructured (components reclassified), and components retained as perspective-specific or context-dependent remain in the model with that label, because divergence between panels and between importance and feasibility is one of the findings.</w:t>
      </w:r>
    </w:p>
    <w:p>
      <w:pPr>
        <w:spacing w:after="100" w:line="288" w:lineRule="auto"/>
        <w:jc w:val="left"/>
      </w:pPr>
      <w:r>
        <w:rPr>
          <w:b/>
          <w:color w:val="1F3864"/>
          <w:sz w:val="25"/>
        </w:rPr>
        <w:t>3.6 Analysis</w:t>
      </w:r>
    </w:p>
    <w:p>
      <w:pPr>
        <w:spacing w:after="140" w:line="336" w:lineRule="auto"/>
        <w:jc w:val="both"/>
      </w:pPr>
      <w:r>
        <w:rPr>
          <w:b w:val="0"/>
        </w:rPr>
        <w:t>For each round, panel and component we report the number of respondents, median, interquartile range, percentage rating 4 or 5 and mean (descriptively), and for each panel Kendall's W as a measure of concordance and the round-to-round change in agreement as a measure of stability. Open responses were content analysed by two coders using a codebook derived from the seven dimensions and six constructs and extended inductively, with agreement reported by Cohen's kappa. Differences between panels (RQ3) are tested for each component on the final-round importance and feasibility ratings with Mann–Whitney U tests and effect size r, with Holm correction across the 30 comparisons per rating type; the importance–feasibility gap within each panel is tested with Wilcoxon signed-rank tests. The four propositions are examined as follows (Table 2). With 20 experts per panel, a Mann–Whitney comparison can detect only large standardized differences (about 0.9 at 80% power, before correction for multiple comparisons), so all tests are exploratory, we report effect sizes with bootstrap confidence intervals, and we do not rely on p-values alone.</w:t>
      </w:r>
    </w:p>
    <w:p>
      <w:pPr>
        <w:spacing w:after="60" w:line="264" w:lineRule="auto"/>
        <w:jc w:val="left"/>
      </w:pPr>
      <w:r>
        <w:rPr>
          <w:b/>
          <w:sz w:val="21"/>
        </w:rPr>
        <w:t>Table 2. Analysis plan</w:t>
      </w:r>
    </w:p>
    <w:tbl>
      <w:tblPr>
        <w:tblStyle w:val="TableGrid"/>
        <w:tblW w:type="auto" w:w="0"/>
        <w:tblLayout w:type="fixed"/>
        <w:tblLook w:firstColumn="1" w:firstRow="1" w:lastColumn="0" w:lastRow="0" w:noHBand="0" w:noVBand="1" w:val="04A0"/>
      </w:tblPr>
      <w:tblGrid>
        <w:gridCol w:w="2154"/>
        <w:gridCol w:w="4309"/>
        <w:gridCol w:w="2721"/>
      </w:tblGrid>
      <w:tr>
        <w:tc>
          <w:tcPr>
            <w:tcW w:type="dxa" w:w="2154"/>
            <w:shd w:val="clear" w:color="auto" w:fill="1F3864"/>
          </w:tcPr>
          <w:p>
            <w:pPr>
              <w:jc w:val="left"/>
            </w:pPr>
            <w:r/>
            <w:r>
              <w:rPr>
                <w:b/>
                <w:color w:val="FFFFFF"/>
                <w:sz w:val="17"/>
              </w:rPr>
              <w:t>Question or proposition</w:t>
            </w:r>
          </w:p>
        </w:tc>
        <w:tc>
          <w:tcPr>
            <w:tcW w:type="dxa" w:w="4309"/>
            <w:shd w:val="clear" w:color="auto" w:fill="1F3864"/>
          </w:tcPr>
          <w:p>
            <w:pPr>
              <w:jc w:val="left"/>
            </w:pPr>
            <w:r/>
            <w:r>
              <w:rPr>
                <w:b/>
                <w:color w:val="FFFFFF"/>
                <w:sz w:val="17"/>
              </w:rPr>
              <w:t>Data</w:t>
            </w:r>
          </w:p>
        </w:tc>
        <w:tc>
          <w:tcPr>
            <w:tcW w:type="dxa" w:w="2721"/>
            <w:shd w:val="clear" w:color="auto" w:fill="1F3864"/>
          </w:tcPr>
          <w:p>
            <w:pPr>
              <w:jc w:val="left"/>
            </w:pPr>
            <w:r/>
            <w:r>
              <w:rPr>
                <w:b/>
                <w:color w:val="FFFFFF"/>
                <w:sz w:val="17"/>
              </w:rPr>
              <w:t>Test</w:t>
            </w:r>
          </w:p>
        </w:tc>
      </w:tr>
      <w:tr>
        <w:tc>
          <w:tcPr>
            <w:tcW w:type="dxa" w:w="2154"/>
          </w:tcPr>
          <w:p>
            <w:pPr>
              <w:jc w:val="left"/>
            </w:pPr>
            <w:r/>
            <w:r>
              <w:rPr>
                <w:b w:val="0"/>
                <w:sz w:val="17"/>
              </w:rPr>
              <w:t>RQ1</w:t>
            </w:r>
          </w:p>
        </w:tc>
        <w:tc>
          <w:tcPr>
            <w:tcW w:type="dxa" w:w="4309"/>
          </w:tcPr>
          <w:p>
            <w:pPr>
              <w:jc w:val="left"/>
            </w:pPr>
            <w:r/>
            <w:r>
              <w:rPr>
                <w:b w:val="0"/>
                <w:sz w:val="17"/>
              </w:rPr>
              <w:t>Stage 1 matrix and PRISMA flow</w:t>
            </w:r>
          </w:p>
        </w:tc>
        <w:tc>
          <w:tcPr>
            <w:tcW w:type="dxa" w:w="2721"/>
          </w:tcPr>
          <w:p>
            <w:pPr>
              <w:jc w:val="left"/>
            </w:pPr>
            <w:r/>
            <w:r>
              <w:rPr>
                <w:b w:val="0"/>
                <w:sz w:val="17"/>
              </w:rPr>
              <w:t>Descriptive; kappa for coders</w:t>
            </w:r>
          </w:p>
        </w:tc>
      </w:tr>
      <w:tr>
        <w:tc>
          <w:tcPr>
            <w:tcW w:type="dxa" w:w="2154"/>
          </w:tcPr>
          <w:p>
            <w:pPr>
              <w:jc w:val="left"/>
            </w:pPr>
            <w:r/>
            <w:r>
              <w:rPr>
                <w:b w:val="0"/>
                <w:sz w:val="17"/>
              </w:rPr>
              <w:t>RQ2</w:t>
            </w:r>
          </w:p>
        </w:tc>
        <w:tc>
          <w:tcPr>
            <w:tcW w:type="dxa" w:w="4309"/>
          </w:tcPr>
          <w:p>
            <w:pPr>
              <w:jc w:val="left"/>
            </w:pPr>
            <w:r/>
            <w:r>
              <w:rPr>
                <w:b w:val="0"/>
                <w:sz w:val="17"/>
              </w:rPr>
              <w:t>Importance and feasibility ratings; open comments</w:t>
            </w:r>
          </w:p>
        </w:tc>
        <w:tc>
          <w:tcPr>
            <w:tcW w:type="dxa" w:w="2721"/>
          </w:tcPr>
          <w:p>
            <w:pPr>
              <w:jc w:val="left"/>
            </w:pPr>
            <w:r/>
            <w:r>
              <w:rPr>
                <w:b w:val="0"/>
                <w:sz w:val="17"/>
              </w:rPr>
              <w:t>Decision rules (Table 1); content analysis</w:t>
            </w:r>
          </w:p>
        </w:tc>
      </w:tr>
      <w:tr>
        <w:tc>
          <w:tcPr>
            <w:tcW w:type="dxa" w:w="2154"/>
          </w:tcPr>
          <w:p>
            <w:pPr>
              <w:jc w:val="left"/>
            </w:pPr>
            <w:r/>
            <w:r>
              <w:rPr>
                <w:b w:val="0"/>
                <w:sz w:val="17"/>
              </w:rPr>
              <w:t>RQ3</w:t>
            </w:r>
          </w:p>
        </w:tc>
        <w:tc>
          <w:tcPr>
            <w:tcW w:type="dxa" w:w="4309"/>
          </w:tcPr>
          <w:p>
            <w:pPr>
              <w:jc w:val="left"/>
            </w:pPr>
            <w:r/>
            <w:r>
              <w:rPr>
                <w:b w:val="0"/>
                <w:sz w:val="17"/>
              </w:rPr>
              <w:t>Final-round ratings by panel</w:t>
            </w:r>
          </w:p>
        </w:tc>
        <w:tc>
          <w:tcPr>
            <w:tcW w:type="dxa" w:w="2721"/>
          </w:tcPr>
          <w:p>
            <w:pPr>
              <w:jc w:val="left"/>
            </w:pPr>
            <w:r/>
            <w:r>
              <w:rPr>
                <w:b w:val="0"/>
                <w:sz w:val="17"/>
              </w:rPr>
              <w:t>Mann–Whitney U, effect size r, Holm correction</w:t>
            </w:r>
          </w:p>
        </w:tc>
      </w:tr>
      <w:tr>
        <w:tc>
          <w:tcPr>
            <w:tcW w:type="dxa" w:w="2154"/>
          </w:tcPr>
          <w:p>
            <w:pPr>
              <w:jc w:val="left"/>
            </w:pPr>
            <w:r/>
            <w:r>
              <w:rPr>
                <w:b w:val="0"/>
                <w:sz w:val="17"/>
              </w:rPr>
              <w:t>P1 (evidence convergence)</w:t>
            </w:r>
          </w:p>
        </w:tc>
        <w:tc>
          <w:tcPr>
            <w:tcW w:type="dxa" w:w="4309"/>
          </w:tcPr>
          <w:p>
            <w:pPr>
              <w:jc w:val="left"/>
            </w:pPr>
            <w:r/>
            <w:r>
              <w:rPr>
                <w:b w:val="0"/>
                <w:sz w:val="17"/>
              </w:rPr>
              <w:t>Rounds to consensus and IQR for S+R versus S components</w:t>
            </w:r>
          </w:p>
        </w:tc>
        <w:tc>
          <w:tcPr>
            <w:tcW w:type="dxa" w:w="2721"/>
          </w:tcPr>
          <w:p>
            <w:pPr>
              <w:jc w:val="left"/>
            </w:pPr>
            <w:r/>
            <w:r>
              <w:rPr>
                <w:b w:val="0"/>
                <w:sz w:val="17"/>
              </w:rPr>
              <w:t>Mann–Whitney U or Fisher's exact test</w:t>
            </w:r>
          </w:p>
        </w:tc>
      </w:tr>
      <w:tr>
        <w:tc>
          <w:tcPr>
            <w:tcW w:type="dxa" w:w="2154"/>
          </w:tcPr>
          <w:p>
            <w:pPr>
              <w:jc w:val="left"/>
            </w:pPr>
            <w:r/>
            <w:r>
              <w:rPr>
                <w:b w:val="0"/>
                <w:sz w:val="17"/>
              </w:rPr>
              <w:t>P2 (vantage-point salience)</w:t>
            </w:r>
          </w:p>
        </w:tc>
        <w:tc>
          <w:tcPr>
            <w:tcW w:type="dxa" w:w="4309"/>
          </w:tcPr>
          <w:p>
            <w:pPr>
              <w:jc w:val="left"/>
            </w:pPr>
            <w:r/>
            <w:r>
              <w:rPr>
                <w:b w:val="0"/>
                <w:sz w:val="17"/>
              </w:rPr>
              <w:t>Dimension-level medians by panel (C09–C15 for Panel A; A01–A09 for Panel B)</w:t>
            </w:r>
          </w:p>
        </w:tc>
        <w:tc>
          <w:tcPr>
            <w:tcW w:type="dxa" w:w="2721"/>
          </w:tcPr>
          <w:p>
            <w:pPr>
              <w:jc w:val="left"/>
            </w:pPr>
            <w:r/>
            <w:r>
              <w:rPr>
                <w:b w:val="0"/>
                <w:sz w:val="17"/>
              </w:rPr>
              <w:t>Wilcoxon signed-rank within panel; Mann–Whitney U between panels</w:t>
            </w:r>
          </w:p>
        </w:tc>
      </w:tr>
      <w:tr>
        <w:tc>
          <w:tcPr>
            <w:tcW w:type="dxa" w:w="2154"/>
          </w:tcPr>
          <w:p>
            <w:pPr>
              <w:jc w:val="left"/>
            </w:pPr>
            <w:r/>
            <w:r>
              <w:rPr>
                <w:b w:val="0"/>
                <w:sz w:val="17"/>
              </w:rPr>
              <w:t>P3 (importance–feasibility gap)</w:t>
            </w:r>
          </w:p>
        </w:tc>
        <w:tc>
          <w:tcPr>
            <w:tcW w:type="dxa" w:w="4309"/>
          </w:tcPr>
          <w:p>
            <w:pPr>
              <w:jc w:val="left"/>
            </w:pPr>
            <w:r/>
            <w:r>
              <w:rPr>
                <w:b w:val="0"/>
                <w:sz w:val="17"/>
              </w:rPr>
              <w:t>Gap = importance − feasibility for C15, C16, A05, A06 versus other components</w:t>
            </w:r>
          </w:p>
        </w:tc>
        <w:tc>
          <w:tcPr>
            <w:tcW w:type="dxa" w:w="2721"/>
          </w:tcPr>
          <w:p>
            <w:pPr>
              <w:jc w:val="left"/>
            </w:pPr>
            <w:r/>
            <w:r>
              <w:rPr>
                <w:b w:val="0"/>
                <w:sz w:val="17"/>
              </w:rPr>
              <w:t>Mann–Whitney U on component-level gaps</w:t>
            </w:r>
          </w:p>
        </w:tc>
      </w:tr>
      <w:tr>
        <w:tc>
          <w:tcPr>
            <w:tcW w:type="dxa" w:w="2154"/>
          </w:tcPr>
          <w:p>
            <w:pPr>
              <w:jc w:val="left"/>
            </w:pPr>
            <w:r/>
            <w:r>
              <w:rPr>
                <w:b w:val="0"/>
                <w:sz w:val="17"/>
              </w:rPr>
              <w:t>P4 (translation gap)</w:t>
            </w:r>
          </w:p>
        </w:tc>
        <w:tc>
          <w:tcPr>
            <w:tcW w:type="dxa" w:w="4309"/>
          </w:tcPr>
          <w:p>
            <w:pPr>
              <w:jc w:val="left"/>
            </w:pPr>
            <w:r/>
            <w:r>
              <w:rPr>
                <w:b w:val="0"/>
                <w:sz w:val="17"/>
              </w:rPr>
              <w:t>Absolute between-panel median difference for C07, C08, A02 versus other components</w:t>
            </w:r>
          </w:p>
        </w:tc>
        <w:tc>
          <w:tcPr>
            <w:tcW w:type="dxa" w:w="2721"/>
          </w:tcPr>
          <w:p>
            <w:pPr>
              <w:jc w:val="left"/>
            </w:pPr>
            <w:r/>
            <w:r>
              <w:rPr>
                <w:b w:val="0"/>
                <w:sz w:val="17"/>
              </w:rPr>
              <w:t>Exact permutation test</w:t>
            </w:r>
          </w:p>
        </w:tc>
      </w:tr>
    </w:tbl>
    <w:p/>
    <w:p>
      <w:pPr>
        <w:spacing w:after="140" w:line="336" w:lineRule="auto"/>
        <w:jc w:val="both"/>
      </w:pPr>
      <w:r>
        <w:rPr>
          <w:b w:val="0"/>
        </w:rPr>
        <w:t>Sensitivity analyses recompute the decisions (a) excluding experts who responded only in Round 1, (b) using the stricter threshold of a rating of 5 only, and (c) pooling the two panels, and we report any component whose decision changes.</w:t>
      </w:r>
    </w:p>
    <w:p>
      <w:pPr>
        <w:spacing w:after="100" w:line="288" w:lineRule="auto"/>
        <w:jc w:val="left"/>
      </w:pPr>
      <w:r>
        <w:rPr>
          <w:b/>
          <w:color w:val="1F3864"/>
          <w:sz w:val="25"/>
        </w:rPr>
        <w:t>3.7 Rigour and reporting</w:t>
      </w:r>
    </w:p>
    <w:p>
      <w:pPr>
        <w:spacing w:after="140" w:line="336" w:lineRule="auto"/>
        <w:jc w:val="both"/>
      </w:pPr>
      <w:r>
        <w:rPr>
          <w:b w:val="0"/>
        </w:rPr>
        <w:t>Anonymity among experts, an independent coordinator, controlled feedback and the concealment of evidence labels guard against dominance and anchoring. We keep an audit trail of every change to wording, merging or addition between rounds, include a statement of researcher positionality, and follow the CREDES checklist for reporting (Jünger et al., 2017) and PRISMA 2020 for Stage 1 (Page et al., 2021).</w:t>
      </w:r>
    </w:p>
    <w:p>
      <w:pPr>
        <w:spacing w:after="100" w:line="288" w:lineRule="auto"/>
        <w:jc w:val="left"/>
      </w:pPr>
      <w:r>
        <w:rPr>
          <w:b/>
          <w:color w:val="1F3864"/>
          <w:sz w:val="25"/>
        </w:rPr>
        <w:t>3.8 Ethics and data management</w:t>
      </w:r>
    </w:p>
    <w:p>
      <w:pPr>
        <w:spacing w:after="140" w:line="336" w:lineRule="auto"/>
        <w:jc w:val="both"/>
      </w:pPr>
      <w:r>
        <w:rPr>
          <w:b w:val="0"/>
        </w:rPr>
        <w:t>Participation was voluntary with written informed consent and the right to withdraw. Responses were identified only by codes, the key was stored separately, and data are held on an encrypted drive for five years. The study is an independent research article and was not submitted to an institutional ethics committee; we applied the usual protections for survey research with professionals: informed consent on the first page of the questionnaire, voluntary participation, confidentiality, secure storage and no collection of sensitive personal data. Generative AI tools were used only for language editing and the authors verified all content and references.</w:t>
      </w:r>
    </w:p>
    <w:p>
      <w:pPr>
        <w:spacing w:after="140" w:line="288" w:lineRule="auto"/>
        <w:jc w:val="left"/>
      </w:pPr>
      <w:r>
        <w:rPr>
          <w:b/>
          <w:color w:val="1F3864"/>
          <w:sz w:val="26"/>
        </w:rPr>
        <w:t>References</w:t>
      </w:r>
    </w:p>
    <w:p>
      <w:pPr>
        <w:spacing w:after="60" w:line="264" w:lineRule="auto"/>
        <w:ind w:left="567" w:hanging="567"/>
        <w:jc w:val="left"/>
      </w:pPr>
      <w:r>
        <w:rPr>
          <w:b w:val="0"/>
          <w:sz w:val="20"/>
        </w:rPr>
        <w:t>AICPA. (2017). 2017 Trust Services Criteria for Security, Availability, Processing Integrity, Confidentiality, and Privacy (With Revised Points of Focus—2022). TSP Section 100. American Institute of Certified Public Accountants.</w:t>
      </w:r>
    </w:p>
    <w:p>
      <w:pPr>
        <w:spacing w:after="60" w:line="264" w:lineRule="auto"/>
        <w:ind w:left="567" w:hanging="567"/>
        <w:jc w:val="left"/>
      </w:pPr>
      <w:r>
        <w:rPr>
          <w:b w:val="0"/>
          <w:sz w:val="20"/>
        </w:rPr>
        <w:t>AICPA. (2017). Description criteria for management's description of an entity's cybersecurity risk management program (DC section 100). American Institute of Certified Public Accountants.</w:t>
      </w:r>
    </w:p>
    <w:p>
      <w:pPr>
        <w:spacing w:after="60" w:line="264" w:lineRule="auto"/>
        <w:ind w:left="567" w:hanging="567"/>
        <w:jc w:val="left"/>
      </w:pPr>
      <w:r>
        <w:rPr>
          <w:b w:val="0"/>
          <w:sz w:val="20"/>
        </w:rPr>
        <w:t>AICPA. (2018). Description criteria for a description of a service organization's system in a SOC 2 report (DC section 200) (with revised implementation guidance—2022). American Institute of Certified Public Accountants.</w:t>
      </w:r>
    </w:p>
    <w:p>
      <w:pPr>
        <w:spacing w:after="60" w:line="264" w:lineRule="auto"/>
        <w:ind w:left="567" w:hanging="567"/>
        <w:jc w:val="left"/>
      </w:pPr>
      <w:r>
        <w:rPr>
          <w:b w:val="0"/>
          <w:sz w:val="20"/>
        </w:rPr>
        <w:t>AICPA. AU-C Section 315, Understanding the entity and its environment and assessing the risks of material misstatement (current edition). American Institute of Certified Public Accountants.</w:t>
      </w:r>
    </w:p>
    <w:p>
      <w:pPr>
        <w:spacing w:after="60" w:line="264" w:lineRule="auto"/>
        <w:ind w:left="567" w:hanging="567"/>
        <w:jc w:val="left"/>
      </w:pPr>
      <w:r>
        <w:rPr>
          <w:b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sz w:val="20"/>
        </w:rPr>
        <w:t>Barney, J. (1991). Firm resources and sustained competitive advantage. Journal of Management, 17(1), 99–120.</w:t>
      </w:r>
    </w:p>
    <w:p>
      <w:pPr>
        <w:spacing w:after="60" w:line="264" w:lineRule="auto"/>
        <w:ind w:left="567" w:hanging="567"/>
        <w:jc w:val="left"/>
      </w:pPr>
      <w:r>
        <w:rPr>
          <w:b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sz w:val="20"/>
        </w:rPr>
        <w:t>Brislin, R. W. (1970). Back-translation for cross-cultural research. Journal of Cross-Cultural Psychology, 1(3), 185–216.</w:t>
      </w:r>
    </w:p>
    <w:p>
      <w:pPr>
        <w:spacing w:after="60" w:line="264" w:lineRule="auto"/>
        <w:ind w:left="567" w:hanging="567"/>
        <w:jc w:val="left"/>
      </w:pPr>
      <w:r>
        <w:rPr>
          <w:b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line="264" w:lineRule="auto"/>
        <w:ind w:left="567" w:hanging="567"/>
        <w:jc w:val="left"/>
      </w:pPr>
      <w:r>
        <w:rPr>
          <w:b w:val="0"/>
          <w:sz w:val="20"/>
        </w:rPr>
        <w:t>Diamond, I. R., Grant, R. C., Feldman, B. M., Pencharz, P. B., Ling, S. C., Moore, A. M., &amp; Wales, P. W. (2014). Defining consensus: A systematic review recommends methodologic criteria for reporting of Delphi studies. Journal of Clinical Epidemiology, 67(4), 401–409. https://doi.org/10.1016/j.jclinepi.2013.12.002</w:t>
      </w:r>
    </w:p>
    <w:p>
      <w:pPr>
        <w:spacing w:after="60" w:line="264" w:lineRule="auto"/>
        <w:ind w:left="567" w:hanging="567"/>
        <w:jc w:val="left"/>
      </w:pPr>
      <w:r>
        <w:rPr>
          <w:b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sz w:val="20"/>
        </w:rPr>
        <w:t>Donaldson, L. (2001). The contingency theory of organizations. Sage.</w:t>
      </w:r>
    </w:p>
    <w:p>
      <w:pPr>
        <w:spacing w:after="60" w:line="264" w:lineRule="auto"/>
        <w:ind w:left="567" w:hanging="567"/>
        <w:jc w:val="left"/>
      </w:pPr>
      <w:r>
        <w:rPr>
          <w:b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sz w:val="20"/>
        </w:rPr>
        <w:t>Higgs, J. L., Pinsker, R. E., Smith, T. J., &amp; Young, G. R. (2016). The relationship between board-level technology committees and reported security breaches. Journal of Information Systems, 30(3), 79–98. https://doi.org/10.2308/isys-51402</w:t>
      </w:r>
    </w:p>
    <w:p>
      <w:pPr>
        <w:spacing w:after="60" w:line="264" w:lineRule="auto"/>
        <w:ind w:left="567" w:hanging="567"/>
        <w:jc w:val="left"/>
      </w:pPr>
      <w:r>
        <w:rPr>
          <w:b w:val="0"/>
          <w:sz w:val="20"/>
        </w:rPr>
        <w:t>IAASB. (2019). International Standard on Auditing 315 (Revised 2019): Identifying and assessing the risks of material misstatement. International Auditing and Assurance Standards Board.</w:t>
      </w:r>
    </w:p>
    <w:p>
      <w:pPr>
        <w:spacing w:after="60" w:line="264" w:lineRule="auto"/>
        <w:ind w:left="567" w:hanging="567"/>
        <w:jc w:val="left"/>
      </w:pPr>
      <w:r>
        <w:rPr>
          <w:b w:val="0"/>
          <w:sz w:val="20"/>
        </w:rPr>
        <w:t>IAASB. International Standard on Auditing 200: Overall objectives of the independent auditor and the conduct of an audit in accordance with International Standards on Auditing (current edition). International Auditing and Assurance Standards Board.</w:t>
      </w:r>
    </w:p>
    <w:p>
      <w:pPr>
        <w:spacing w:after="60" w:line="264" w:lineRule="auto"/>
        <w:ind w:left="567" w:hanging="567"/>
        <w:jc w:val="left"/>
      </w:pPr>
      <w:r>
        <w:rPr>
          <w:b w:val="0"/>
          <w:sz w:val="20"/>
        </w:rPr>
        <w:t>IAASB. International Standard on Auditing 220 (Revised): Quality management for an audit of financial statements (current edition). International Auditing and Assurance Standards Board.</w:t>
      </w:r>
    </w:p>
    <w:p>
      <w:pPr>
        <w:spacing w:after="60" w:line="264" w:lineRule="auto"/>
        <w:ind w:left="567" w:hanging="567"/>
        <w:jc w:val="left"/>
      </w:pPr>
      <w:r>
        <w:rPr>
          <w:b w:val="0"/>
          <w:sz w:val="20"/>
        </w:rPr>
        <w:t>IAASB. International Standard on Auditing 230: Audit documentation (current edition). International Auditing and Assurance Standards Board.</w:t>
      </w:r>
    </w:p>
    <w:p>
      <w:pPr>
        <w:spacing w:after="60" w:line="264" w:lineRule="auto"/>
        <w:ind w:left="567" w:hanging="567"/>
        <w:jc w:val="left"/>
      </w:pPr>
      <w:r>
        <w:rPr>
          <w:b w:val="0"/>
          <w:sz w:val="20"/>
        </w:rPr>
        <w:t>IAASB. International Standard on Auditing 240: The auditor's responsibilities relating to fraud in an audit of financial statements (current edition). International Auditing and Assurance Standards Board.</w:t>
      </w:r>
    </w:p>
    <w:p>
      <w:pPr>
        <w:spacing w:after="60" w:line="264" w:lineRule="auto"/>
        <w:ind w:left="567" w:hanging="567"/>
        <w:jc w:val="left"/>
      </w:pPr>
      <w:r>
        <w:rPr>
          <w:b w:val="0"/>
          <w:sz w:val="20"/>
        </w:rPr>
        <w:t>IAASB. International Standard on Auditing 250 (Revised): Consideration of laws and regulations in an audit of financial statements (current edition). International Auditing and Assurance Standards Board.</w:t>
      </w:r>
    </w:p>
    <w:p>
      <w:pPr>
        <w:spacing w:after="60" w:line="264" w:lineRule="auto"/>
        <w:ind w:left="567" w:hanging="567"/>
        <w:jc w:val="left"/>
      </w:pPr>
      <w:r>
        <w:rPr>
          <w:b w:val="0"/>
          <w:sz w:val="20"/>
        </w:rPr>
        <w:t>IAASB. International Standard on Auditing 260 (Revised): Communication with those charged with governance (current edition). International Auditing and Assurance Standards Board.</w:t>
      </w:r>
    </w:p>
    <w:p>
      <w:pPr>
        <w:spacing w:after="60" w:line="264" w:lineRule="auto"/>
        <w:ind w:left="567" w:hanging="567"/>
        <w:jc w:val="left"/>
      </w:pPr>
      <w:r>
        <w:rPr>
          <w:b w:val="0"/>
          <w:sz w:val="20"/>
        </w:rPr>
        <w:t>IAASB. International Standard on Auditing 265: Communicating deficiencies in internal control to those charged with governance and management (current edition). International Auditing and Assurance Standards Board.</w:t>
      </w:r>
    </w:p>
    <w:p>
      <w:pPr>
        <w:spacing w:after="60" w:line="264" w:lineRule="auto"/>
        <w:ind w:left="567" w:hanging="567"/>
        <w:jc w:val="left"/>
      </w:pPr>
      <w:r>
        <w:rPr>
          <w:b w:val="0"/>
          <w:sz w:val="20"/>
        </w:rPr>
        <w:t>IAASB. International Standard on Auditing 330: The auditor's responses to assessed risks (current edition). International Auditing and Assurance Standards Board.</w:t>
      </w:r>
    </w:p>
    <w:p>
      <w:pPr>
        <w:spacing w:after="60" w:line="264" w:lineRule="auto"/>
        <w:ind w:left="567" w:hanging="567"/>
        <w:jc w:val="left"/>
      </w:pPr>
      <w:r>
        <w:rPr>
          <w:b w:val="0"/>
          <w:sz w:val="20"/>
        </w:rPr>
        <w:t>IAASB. International Standard on Auditing 402: Audit considerations relating to an entity using a service organization (current edition). International Auditing and Assurance Standards Board.</w:t>
      </w:r>
    </w:p>
    <w:p>
      <w:pPr>
        <w:spacing w:after="60" w:line="264" w:lineRule="auto"/>
        <w:ind w:left="567" w:hanging="567"/>
        <w:jc w:val="left"/>
      </w:pPr>
      <w:r>
        <w:rPr>
          <w:b w:val="0"/>
          <w:sz w:val="20"/>
        </w:rPr>
        <w:t>IAASB. International Standard on Auditing 450: Evaluation of misstatements identified during the audit (current edition). International Auditing and Assurance Standards Board.</w:t>
      </w:r>
    </w:p>
    <w:p>
      <w:pPr>
        <w:spacing w:after="60" w:line="264" w:lineRule="auto"/>
        <w:ind w:left="567" w:hanging="567"/>
        <w:jc w:val="left"/>
      </w:pPr>
      <w:r>
        <w:rPr>
          <w:b w:val="0"/>
          <w:sz w:val="20"/>
        </w:rPr>
        <w:t>IAASB. International Standard on Auditing 500: Audit evidence (current edition). International Auditing and Assurance Standards Board.</w:t>
      </w:r>
    </w:p>
    <w:p>
      <w:pPr>
        <w:spacing w:after="60" w:line="264" w:lineRule="auto"/>
        <w:ind w:left="567" w:hanging="567"/>
        <w:jc w:val="left"/>
      </w:pPr>
      <w:r>
        <w:rPr>
          <w:b w:val="0"/>
          <w:sz w:val="20"/>
        </w:rPr>
        <w:t>IAASB. International Standard on Auditing 560: Subsequent events (current edition). International Auditing and Assurance Standards Board.</w:t>
      </w:r>
    </w:p>
    <w:p>
      <w:pPr>
        <w:spacing w:after="60" w:line="264" w:lineRule="auto"/>
        <w:ind w:left="567" w:hanging="567"/>
        <w:jc w:val="left"/>
      </w:pPr>
      <w:r>
        <w:rPr>
          <w:b w:val="0"/>
          <w:sz w:val="20"/>
        </w:rPr>
        <w:t>IAASB. International Standard on Auditing 570 (Revised): Going concern (current edition). International Auditing and Assurance Standards Board.</w:t>
      </w:r>
    </w:p>
    <w:p>
      <w:pPr>
        <w:spacing w:after="60" w:line="264" w:lineRule="auto"/>
        <w:ind w:left="567" w:hanging="567"/>
        <w:jc w:val="left"/>
      </w:pPr>
      <w:r>
        <w:rPr>
          <w:b w:val="0"/>
          <w:sz w:val="20"/>
        </w:rPr>
        <w:t>IAASB. International Standard on Auditing 620: Using the work of an auditor's expert (current edition). International Auditing and Assurance Standards Board.</w:t>
      </w:r>
    </w:p>
    <w:p>
      <w:pPr>
        <w:spacing w:after="60" w:line="264" w:lineRule="auto"/>
        <w:ind w:left="567" w:hanging="567"/>
        <w:jc w:val="left"/>
      </w:pPr>
      <w:r>
        <w:rPr>
          <w:b w:val="0"/>
          <w:sz w:val="20"/>
        </w:rPr>
        <w:t>IAASB. International Standard on Quality Management 1 (ISQM 1): Quality management for firms that perform audits or reviews of financial statements, or other assurance or related services engagements (current edition). International Auditing and Assurance Standards Board.</w:t>
      </w:r>
    </w:p>
    <w:p>
      <w:pPr>
        <w:spacing w:after="60" w:line="264" w:lineRule="auto"/>
        <w:ind w:left="567" w:hanging="567"/>
        <w:jc w:val="left"/>
      </w:pPr>
      <w:r>
        <w:rPr>
          <w:b w:val="0"/>
          <w:sz w:val="20"/>
        </w:rPr>
        <w:t>IEC/ISO. (2019). IEC 31010:2019 Risk management — Risk assessment techniques. International Electrotechnical Commission / International Organization for Standardization.</w:t>
      </w:r>
    </w:p>
    <w:p>
      <w:pPr>
        <w:spacing w:after="60" w:line="264" w:lineRule="auto"/>
        <w:ind w:left="567" w:hanging="567"/>
        <w:jc w:val="left"/>
      </w:pPr>
      <w:r>
        <w:rPr>
          <w:b w:val="0"/>
          <w:sz w:val="20"/>
        </w:rPr>
        <w:t>IIA. (2024). Global Internal Audit Standards. Institute of Internal Auditors.</w:t>
      </w:r>
    </w:p>
    <w:p>
      <w:pPr>
        <w:spacing w:after="60" w:line="264" w:lineRule="auto"/>
        <w:ind w:left="567" w:hanging="567"/>
        <w:jc w:val="left"/>
      </w:pPr>
      <w:r>
        <w:rPr>
          <w:b w:val="0"/>
          <w:sz w:val="20"/>
        </w:rPr>
        <w:t>IIA. (2025). Cybersecurity topical requirement. Institute of Internal Auditors.</w:t>
      </w:r>
    </w:p>
    <w:p>
      <w:pPr>
        <w:spacing w:after="60" w:line="264" w:lineRule="auto"/>
        <w:ind w:left="567" w:hanging="567"/>
        <w:jc w:val="left"/>
      </w:pPr>
      <w:r>
        <w:rPr>
          <w:b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sz w:val="20"/>
        </w:rPr>
        <w:t>ISO. (2018). ISO 31000:2018 Risk management — Guidelines. International Organization for Standardization.</w:t>
      </w:r>
    </w:p>
    <w:p>
      <w:pPr>
        <w:spacing w:after="60" w:line="264" w:lineRule="auto"/>
        <w:ind w:left="567" w:hanging="567"/>
        <w:jc w:val="left"/>
      </w:pPr>
      <w:r>
        <w:rPr>
          <w:b w:val="0"/>
          <w:sz w:val="20"/>
        </w:rPr>
        <w:t>ISO. ISO 22301: Security and resilience — Business continuity management systems — Requirements (current edition). International Organization for Standardization.</w:t>
      </w:r>
    </w:p>
    <w:p>
      <w:pPr>
        <w:spacing w:after="60" w:line="264" w:lineRule="auto"/>
        <w:ind w:left="567" w:hanging="567"/>
        <w:jc w:val="left"/>
      </w:pPr>
      <w:r>
        <w:rPr>
          <w:b w:val="0"/>
          <w:sz w:val="20"/>
        </w:rPr>
        <w:t>ISO/IEC. (2022). ISO/IEC 27001:2022 Information security, cybersecurity and privacy protection — Information security management systems — Requirements. International Organization for Standardization.</w:t>
      </w:r>
    </w:p>
    <w:p>
      <w:pPr>
        <w:spacing w:after="60" w:line="264" w:lineRule="auto"/>
        <w:ind w:left="567" w:hanging="567"/>
        <w:jc w:val="left"/>
      </w:pPr>
      <w:r>
        <w:rPr>
          <w:b w:val="0"/>
          <w:sz w:val="20"/>
        </w:rPr>
        <w:t>ISO/IEC. (2022). ISO/IEC 27002:2022 Information security, cybersecurity and privacy protection — Information security controls. International Organization for Standardization.</w:t>
      </w:r>
    </w:p>
    <w:p>
      <w:pPr>
        <w:spacing w:after="60" w:line="264" w:lineRule="auto"/>
        <w:ind w:left="567" w:hanging="567"/>
        <w:jc w:val="left"/>
      </w:pPr>
      <w:r>
        <w:rPr>
          <w:b w:val="0"/>
          <w:sz w:val="20"/>
        </w:rPr>
        <w:t>ISO/IEC. (2022). ISO/IEC 27005:2022 Information security, cybersecurity and privacy protection — Guidance on managing information security risks (4th ed.). International Organization for Standardization.</w:t>
      </w:r>
    </w:p>
    <w:p>
      <w:pPr>
        <w:spacing w:after="60" w:line="264" w:lineRule="auto"/>
        <w:ind w:left="567" w:hanging="567"/>
        <w:jc w:val="left"/>
      </w:pPr>
      <w:r>
        <w:rPr>
          <w:b w:val="0"/>
          <w:sz w:val="20"/>
        </w:rPr>
        <w:t>ISO/IEC. ISO/IEC 27031: Guidelines for information and communication technology readiness for business continuity (current edition). International Organization for Standardization.</w:t>
      </w:r>
    </w:p>
    <w:p>
      <w:pPr>
        <w:spacing w:after="60" w:line="264" w:lineRule="auto"/>
        <w:ind w:left="567" w:hanging="567"/>
        <w:jc w:val="left"/>
      </w:pPr>
      <w:r>
        <w:rPr>
          <w:b w:val="0"/>
          <w:sz w:val="20"/>
        </w:rPr>
        <w:t>ISO/IEC. ISO/IEC 27033: Network security (multi-part; current editions). International Organization for Standardization.</w:t>
      </w:r>
    </w:p>
    <w:p>
      <w:pPr>
        <w:spacing w:after="60" w:line="264" w:lineRule="auto"/>
        <w:ind w:left="567" w:hanging="567"/>
        <w:jc w:val="left"/>
      </w:pPr>
      <w:r>
        <w:rPr>
          <w:b w:val="0"/>
          <w:sz w:val="20"/>
        </w:rPr>
        <w:t>ISO/IEC. ISO/IEC 27036: Information security for supplier relationships (multi-part; current editions). International Organization for Standardization.</w:t>
      </w:r>
    </w:p>
    <w:p>
      <w:pPr>
        <w:spacing w:after="60" w:line="264" w:lineRule="auto"/>
        <w:ind w:left="567" w:hanging="567"/>
        <w:jc w:val="left"/>
      </w:pPr>
      <w:r>
        <w:rPr>
          <w:b w:val="0"/>
          <w:sz w:val="20"/>
        </w:rPr>
        <w:t>ISO/IEC. ISO/IEC 29134: Guidelines for privacy impact assessment (current edition). International Organization for Standardization.</w:t>
      </w:r>
    </w:p>
    <w:p>
      <w:pPr>
        <w:spacing w:after="60" w:line="264" w:lineRule="auto"/>
        <w:ind w:left="567" w:hanging="567"/>
        <w:jc w:val="left"/>
      </w:pPr>
      <w:r>
        <w:rPr>
          <w:b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sz w:val="20"/>
        </w:rPr>
        <w:t>Jünger, S., Payne, S. A., Brine, J., Radbruch, L., &amp; Brearley, S. G. (2017). Guidance on Conducting and REporting DElphi Studies (CREDES) in palliative care: Recommendations based on a methodological systematic review. Palliative Medicine, 31(8), 684–706.</w:t>
      </w:r>
    </w:p>
    <w:p>
      <w:pPr>
        <w:spacing w:after="60" w:line="264" w:lineRule="auto"/>
        <w:ind w:left="567" w:hanging="567"/>
        <w:jc w:val="left"/>
      </w:pPr>
      <w:r>
        <w:rPr>
          <w:b w:val="0"/>
          <w:sz w:val="20"/>
        </w:rPr>
        <w:t>Kahyaoğlu, S. B., &amp; Çalıyurt, K. (2018). Cyber security assurance process from the internal audit perspective. Managerial Auditing Journal, 33(4), 360–376. https://doi.org/10.1108/MAJ-02-2018-1804</w:t>
      </w:r>
    </w:p>
    <w:p>
      <w:pPr>
        <w:spacing w:after="60" w:line="264" w:lineRule="auto"/>
        <w:ind w:left="567" w:hanging="567"/>
        <w:jc w:val="left"/>
      </w:pPr>
      <w:r>
        <w:rPr>
          <w:b w:val="0"/>
          <w:sz w:val="20"/>
        </w:rPr>
        <w:t>Lawshe, C. H. (1975). A quantitative approach to content validity. Personnel Psychology, 28(4), 563–575. https://doi.org/10.1111/j.1744-6570.1975.tb01393.x</w:t>
      </w:r>
    </w:p>
    <w:p>
      <w:pPr>
        <w:spacing w:after="60" w:line="264" w:lineRule="auto"/>
        <w:ind w:left="567" w:hanging="567"/>
        <w:jc w:val="left"/>
      </w:pPr>
      <w:r>
        <w:rPr>
          <w:b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sz w:val="20"/>
        </w:rPr>
        <w:t>NIST. (2012). Guide for conducting risk assessments (NIST Special Publication 800-30 Rev. 1). National Institute of Standards and Technology.</w:t>
      </w:r>
    </w:p>
    <w:p>
      <w:pPr>
        <w:spacing w:after="60" w:line="264" w:lineRule="auto"/>
        <w:ind w:left="567" w:hanging="567"/>
        <w:jc w:val="left"/>
      </w:pPr>
      <w:r>
        <w:rPr>
          <w:b w:val="0"/>
          <w:sz w:val="20"/>
        </w:rPr>
        <w:t>NIST. (2024). The NIST Cybersecurity Framework (CSF) 2.0 (NIST CSWP 29). National Institute of Standards and Technology. https://doi.org/10.6028/NIST.CSWP.29</w:t>
      </w:r>
    </w:p>
    <w:p>
      <w:pPr>
        <w:spacing w:after="60" w:line="264" w:lineRule="auto"/>
        <w:ind w:left="567" w:hanging="567"/>
        <w:jc w:val="left"/>
      </w:pPr>
      <w:r>
        <w:rPr>
          <w:b w:val="0"/>
          <w:sz w:val="20"/>
        </w:rPr>
        <w:t>NIST. (2025). Incident response recommendations and considerations for cybersecurity risk management: A CSF 2.0 community profile (NIST Special Publication 800-61 Rev. 3). National Institute of Standards and Technology.</w:t>
      </w:r>
    </w:p>
    <w:p>
      <w:pPr>
        <w:spacing w:after="60" w:line="264" w:lineRule="auto"/>
        <w:ind w:left="567" w:hanging="567"/>
        <w:jc w:val="left"/>
      </w:pPr>
      <w:r>
        <w:rPr>
          <w:b w:val="0"/>
          <w:sz w:val="20"/>
        </w:rPr>
        <w:t>Okoli, C., &amp; Pawlowski, S. D. (2004). The Delphi method as a research tool: An example, design considerations and applications. Information &amp; Management, 42(1), 15–29.</w:t>
      </w:r>
    </w:p>
    <w:p>
      <w:pPr>
        <w:spacing w:after="60" w:line="264" w:lineRule="auto"/>
        <w:ind w:left="567" w:hanging="567"/>
        <w:jc w:val="left"/>
      </w:pPr>
      <w:r>
        <w:rPr>
          <w:b w:val="0"/>
          <w:sz w:val="20"/>
        </w:rPr>
        <w:t>Page, M. J., McKenzie, J. E., Bossuyt, P. M., et al. (2021). The PRISMA 2020 statement: An updated guideline for reporting systematic reviews. BMJ, 372, n71. https://doi.org/10.1136/bmj.n71</w:t>
      </w:r>
    </w:p>
    <w:p>
      <w:pPr>
        <w:spacing w:after="60" w:line="264" w:lineRule="auto"/>
        <w:ind w:left="567" w:hanging="567"/>
        <w:jc w:val="left"/>
      </w:pPr>
      <w:r>
        <w:rPr>
          <w:b w:val="0"/>
          <w:sz w:val="20"/>
        </w:rPr>
        <w:t>PCAOB. AS 2110: Identifying and assessing risks of material misstatement (current edition). Public Company Accounting Oversight Board.</w:t>
      </w:r>
    </w:p>
    <w:p>
      <w:pPr>
        <w:spacing w:after="60" w:line="264" w:lineRule="auto"/>
        <w:ind w:left="567" w:hanging="567"/>
        <w:jc w:val="left"/>
      </w:pPr>
      <w:r>
        <w:rPr>
          <w:b w:val="0"/>
          <w:sz w:val="20"/>
        </w:rPr>
        <w:t>PCAOB. AS 2201: An audit of internal control over financial reporting that is integrated with an audit of financial statements (current edition). Public Company Accounting Oversight Board.</w:t>
      </w:r>
    </w:p>
    <w:p>
      <w:pPr>
        <w:spacing w:after="60" w:line="264" w:lineRule="auto"/>
        <w:ind w:left="567" w:hanging="567"/>
        <w:jc w:val="left"/>
      </w:pPr>
      <w:r>
        <w:rPr>
          <w:b w:val="0"/>
          <w:sz w:val="20"/>
        </w:rPr>
        <w:t>Sari, Y. P., Suhardjanto, D., Probohudono, A. N., &amp; Honggowati, S. (2023). Cyber risk management disclosure of state-owned enterprises. Jurnal Dinamika Akuntansi, 15(2), 180–190. https://doi.org/10.15294/jda.v15i2.44817</w:t>
      </w:r>
    </w:p>
    <w:p>
      <w:pPr>
        <w:spacing w:after="60" w:line="264" w:lineRule="auto"/>
        <w:ind w:left="567" w:hanging="567"/>
        <w:jc w:val="left"/>
      </w:pPr>
      <w:r>
        <w:rPr>
          <w:b w:val="0"/>
          <w:sz w:val="20"/>
        </w:rPr>
        <w:t>Skulmoski, G. J., Hartman, F. T., &amp; Krahn, J. (2007). The Delphi method for graduate research. Journal of Information Technology Education, 6.</w:t>
      </w:r>
    </w:p>
    <w:p>
      <w:pPr>
        <w:spacing w:after="60" w:line="264" w:lineRule="auto"/>
        <w:ind w:left="567" w:hanging="567"/>
        <w:jc w:val="left"/>
      </w:pPr>
      <w:r>
        <w:rPr>
          <w:b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sz w:val="20"/>
        </w:rPr>
        <w:t>Teece, D. J., Pisano, G., &amp; Shuen, A. (1997). Dynamic capabilities and strategic management. Strategic Management Journal, 18(7), 509–533.</w:t>
      </w:r>
    </w:p>
    <w:p>
      <w:pPr>
        <w:spacing w:after="60" w:line="264" w:lineRule="auto"/>
        <w:ind w:left="567" w:hanging="567"/>
        <w:jc w:val="left"/>
      </w:pPr>
      <w:r>
        <w:rPr>
          <w:b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sz w:val="20"/>
        </w:rPr>
        <w:t>Wang, J., Neil, M., &amp; Fenton, N. (2020). A Bayesian network approach for cybersecurity risk assessment implementing and extending the FAIR model. Computers &amp; Security, 89, 101659. https://doi.org/10.1016/j.cose.2019.101659</w:t>
      </w:r>
    </w:p>
    <w:p>
      <w:pPr>
        <w:spacing w:after="60" w:line="264" w:lineRule="auto"/>
        <w:ind w:left="567" w:hanging="567"/>
        <w:jc w:val="left"/>
      </w:pPr>
      <w:r>
        <w:rPr>
          <w:b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p>
      <w:pPr>
        <w:sectPr>
          <w:pgSz w:w="12240" w:h="15840"/>
          <w:pgMar w:top="1304" w:right="1304" w:bottom="1304" w:left="1304" w:header="720" w:footer="720" w:gutter="0"/>
          <w:cols w:space="720"/>
          <w:docGrid w:linePitch="360"/>
        </w:sectPr>
      </w:pPr>
    </w:p>
    <w:p>
      <w:pPr>
        <w:spacing w:after="60" w:line="288" w:lineRule="auto"/>
        <w:jc w:val="left"/>
      </w:pPr>
      <w:r>
        <w:rPr>
          <w:b/>
          <w:color w:val="1F3864"/>
          <w:sz w:val="24"/>
        </w:rPr>
        <w:t>Appendix A. Table A1: Identified components of cyber risk assessment in auditing</w:t>
      </w:r>
    </w:p>
    <w:p>
      <w:pPr>
        <w:spacing w:after="80" w:line="264" w:lineRule="auto"/>
        <w:jc w:val="left"/>
      </w:pPr>
      <w:r>
        <w:rPr>
          <w:b w:val="0"/>
          <w:color w:val="5A5A5A"/>
          <w:sz w:val="17"/>
        </w:rPr>
        <w:t>Perspective: Organization = audited entity; Auditor = auditor; Shared = both. Evidence: S+R = standards and at least one verified study; S = standards and guidance only. TSC = AICPA Trust Services Criteria; GITC = general IT controls; GIAS = Global Internal Audit Standards.</w:t>
      </w:r>
    </w:p>
    <w:p>
      <w:pPr>
        <w:spacing w:after="60" w:line="264" w:lineRule="auto"/>
        <w:jc w:val="left"/>
      </w:pPr>
      <w:r>
        <w:rPr>
          <w:b/>
          <w:sz w:val="21"/>
        </w:rPr>
      </w:r>
    </w:p>
    <w:tbl>
      <w:tblPr>
        <w:tblStyle w:val="TableGrid"/>
        <w:tblW w:type="auto" w:w="0"/>
        <w:tblLayout w:type="fixed"/>
        <w:tblLook w:firstColumn="1" w:firstRow="1" w:lastColumn="0" w:lastRow="0" w:noHBand="0" w:noVBand="1" w:val="04A0"/>
      </w:tblPr>
      <w:tblGrid>
        <w:gridCol w:w="680"/>
        <w:gridCol w:w="2211"/>
        <w:gridCol w:w="1361"/>
        <w:gridCol w:w="964"/>
        <w:gridCol w:w="4309"/>
        <w:gridCol w:w="3969"/>
        <w:gridCol w:w="907"/>
      </w:tblGrid>
      <w:tr>
        <w:tc>
          <w:tcPr>
            <w:tcW w:type="dxa" w:w="680"/>
            <w:shd w:val="clear" w:color="auto" w:fill="1F3864"/>
          </w:tcPr>
          <w:p>
            <w:pPr>
              <w:jc w:val="left"/>
            </w:pPr>
            <w:r/>
            <w:r>
              <w:rPr>
                <w:b/>
                <w:color w:val="FFFFFF"/>
                <w:sz w:val="17"/>
              </w:rPr>
              <w:t>Code</w:t>
            </w:r>
          </w:p>
        </w:tc>
        <w:tc>
          <w:tcPr>
            <w:tcW w:type="dxa" w:w="2211"/>
            <w:shd w:val="clear" w:color="auto" w:fill="1F3864"/>
          </w:tcPr>
          <w:p>
            <w:pPr>
              <w:jc w:val="left"/>
            </w:pPr>
            <w:r/>
            <w:r>
              <w:rPr>
                <w:b/>
                <w:color w:val="FFFFFF"/>
                <w:sz w:val="17"/>
              </w:rPr>
              <w:t>Component</w:t>
            </w:r>
          </w:p>
        </w:tc>
        <w:tc>
          <w:tcPr>
            <w:tcW w:type="dxa" w:w="1361"/>
            <w:shd w:val="clear" w:color="auto" w:fill="1F3864"/>
          </w:tcPr>
          <w:p>
            <w:pPr>
              <w:jc w:val="left"/>
            </w:pPr>
            <w:r/>
            <w:r>
              <w:rPr>
                <w:b/>
                <w:color w:val="FFFFFF"/>
                <w:sz w:val="17"/>
              </w:rPr>
              <w:t>Perspective</w:t>
            </w:r>
          </w:p>
        </w:tc>
        <w:tc>
          <w:tcPr>
            <w:tcW w:type="dxa" w:w="964"/>
            <w:shd w:val="clear" w:color="auto" w:fill="1F3864"/>
          </w:tcPr>
          <w:p>
            <w:pPr>
              <w:jc w:val="left"/>
            </w:pPr>
            <w:r/>
            <w:r>
              <w:rPr>
                <w:b/>
                <w:color w:val="FFFFFF"/>
                <w:sz w:val="17"/>
              </w:rPr>
              <w:t>Construct</w:t>
            </w:r>
          </w:p>
        </w:tc>
        <w:tc>
          <w:tcPr>
            <w:tcW w:type="dxa" w:w="4309"/>
            <w:shd w:val="clear" w:color="auto" w:fill="1F3864"/>
          </w:tcPr>
          <w:p>
            <w:pPr>
              <w:jc w:val="left"/>
            </w:pPr>
            <w:r/>
            <w:r>
              <w:rPr>
                <w:b/>
                <w:color w:val="FFFFFF"/>
                <w:sz w:val="17"/>
              </w:rPr>
              <w:t>Standards and guidelines</w:t>
            </w:r>
          </w:p>
        </w:tc>
        <w:tc>
          <w:tcPr>
            <w:tcW w:type="dxa" w:w="3969"/>
            <w:shd w:val="clear" w:color="auto" w:fill="1F3864"/>
          </w:tcPr>
          <w:p>
            <w:pPr>
              <w:jc w:val="left"/>
            </w:pPr>
            <w:r/>
            <w:r>
              <w:rPr>
                <w:b/>
                <w:color w:val="FFFFFF"/>
                <w:sz w:val="17"/>
              </w:rPr>
              <w:t>Related research</w:t>
            </w:r>
          </w:p>
        </w:tc>
        <w:tc>
          <w:tcPr>
            <w:tcW w:type="dxa" w:w="907"/>
            <w:shd w:val="clear" w:color="auto" w:fill="1F3864"/>
          </w:tcPr>
          <w:p>
            <w:pPr>
              <w:jc w:val="left"/>
            </w:pPr>
            <w:r/>
            <w:r>
              <w:rPr>
                <w:b/>
                <w:color w:val="FFFFFF"/>
                <w:sz w:val="17"/>
              </w:rPr>
              <w:t>Evidence</w:t>
            </w:r>
          </w:p>
        </w:tc>
      </w:tr>
      <w:tr>
        <w:tc>
          <w:tcPr>
            <w:tcW w:type="dxa" w:w="680"/>
          </w:tcPr>
          <w:p>
            <w:pPr>
              <w:jc w:val="left"/>
            </w:pPr>
            <w:r/>
            <w:r>
              <w:rPr>
                <w:b w:val="0"/>
                <w:sz w:val="17"/>
              </w:rPr>
              <w:t>C01</w:t>
            </w:r>
          </w:p>
        </w:tc>
        <w:tc>
          <w:tcPr>
            <w:tcW w:type="dxa" w:w="2211"/>
          </w:tcPr>
          <w:p>
            <w:pPr>
              <w:jc w:val="left"/>
            </w:pPr>
            <w:r/>
            <w:r>
              <w:rPr>
                <w:b w:val="0"/>
                <w:sz w:val="17"/>
              </w:rPr>
              <w:t>Governance and oversight of cyber risk by senior management</w:t>
            </w:r>
          </w:p>
        </w:tc>
        <w:tc>
          <w:tcPr>
            <w:tcW w:type="dxa" w:w="1361"/>
          </w:tcPr>
          <w:p>
            <w:pPr>
              <w:jc w:val="left"/>
            </w:pPr>
            <w:r/>
            <w:r>
              <w:rPr>
                <w:b w:val="0"/>
                <w:sz w:val="17"/>
              </w:rPr>
              <w:t>Organization</w:t>
            </w:r>
          </w:p>
        </w:tc>
        <w:tc>
          <w:tcPr>
            <w:tcW w:type="dxa" w:w="964"/>
          </w:tcPr>
          <w:p>
            <w:pPr>
              <w:jc w:val="left"/>
            </w:pPr>
            <w:r/>
            <w:r>
              <w:rPr>
                <w:b w:val="0"/>
                <w:sz w:val="17"/>
              </w:rPr>
              <w:t>COL</w:t>
            </w:r>
          </w:p>
        </w:tc>
        <w:tc>
          <w:tcPr>
            <w:tcW w:type="dxa" w:w="4309"/>
          </w:tcPr>
          <w:p>
            <w:pPr>
              <w:jc w:val="left"/>
            </w:pPr>
            <w:r/>
            <w:r>
              <w:rPr>
                <w:b w:val="0"/>
                <w:sz w:val="17"/>
              </w:rPr>
              <w:t>NIST CSF 2.0: GV.OV, GV.RR | ISO/IEC 27001:2022: cl. 5, 9.3 | AICPA TSC: CC1 | ISA 260; IIA GIAS 2024</w:t>
            </w:r>
          </w:p>
        </w:tc>
        <w:tc>
          <w:tcPr>
            <w:tcW w:type="dxa" w:w="3969"/>
          </w:tcPr>
          <w:p>
            <w:pPr>
              <w:jc w:val="left"/>
            </w:pPr>
            <w:r/>
            <w:r>
              <w:rPr>
                <w:b w:val="0"/>
                <w:sz w:val="17"/>
              </w:rPr>
              <w:t>Islam et al. (2018) [board governance, audit committee, risk function and extent of cybersecurity audit]; Higgs et al. (2016) [board-level technology committees and reported breaches]</w:t>
            </w:r>
          </w:p>
        </w:tc>
        <w:tc>
          <w:tcPr>
            <w:tcW w:type="dxa" w:w="907"/>
          </w:tcPr>
          <w:p>
            <w:pPr>
              <w:jc w:val="left"/>
            </w:pPr>
            <w:r/>
            <w:r>
              <w:rPr>
                <w:b w:val="0"/>
                <w:sz w:val="17"/>
              </w:rPr>
              <w:t>S+R</w:t>
            </w:r>
          </w:p>
        </w:tc>
      </w:tr>
      <w:tr>
        <w:tc>
          <w:tcPr>
            <w:tcW w:type="dxa" w:w="680"/>
          </w:tcPr>
          <w:p>
            <w:pPr>
              <w:jc w:val="left"/>
            </w:pPr>
            <w:r/>
            <w:r>
              <w:rPr>
                <w:b w:val="0"/>
                <w:sz w:val="17"/>
              </w:rPr>
              <w:t>C02</w:t>
            </w:r>
          </w:p>
        </w:tc>
        <w:tc>
          <w:tcPr>
            <w:tcW w:type="dxa" w:w="2211"/>
          </w:tcPr>
          <w:p>
            <w:pPr>
              <w:jc w:val="left"/>
            </w:pPr>
            <w:r/>
            <w:r>
              <w:rPr>
                <w:b w:val="0"/>
                <w:sz w:val="17"/>
              </w:rPr>
              <w:t>Cybersecurity policies and strategy</w:t>
            </w:r>
          </w:p>
        </w:tc>
        <w:tc>
          <w:tcPr>
            <w:tcW w:type="dxa" w:w="1361"/>
          </w:tcPr>
          <w:p>
            <w:pPr>
              <w:jc w:val="left"/>
            </w:pPr>
            <w:r/>
            <w:r>
              <w:rPr>
                <w:b w:val="0"/>
                <w:sz w:val="17"/>
              </w:rPr>
              <w:t>Organization</w:t>
            </w:r>
          </w:p>
        </w:tc>
        <w:tc>
          <w:tcPr>
            <w:tcW w:type="dxa" w:w="964"/>
          </w:tcPr>
          <w:p>
            <w:pPr>
              <w:jc w:val="left"/>
            </w:pPr>
            <w:r/>
            <w:r>
              <w:rPr>
                <w:b w:val="0"/>
                <w:sz w:val="17"/>
              </w:rPr>
              <w:t>Context</w:t>
            </w:r>
          </w:p>
        </w:tc>
        <w:tc>
          <w:tcPr>
            <w:tcW w:type="dxa" w:w="4309"/>
          </w:tcPr>
          <w:p>
            <w:pPr>
              <w:jc w:val="left"/>
            </w:pPr>
            <w:r/>
            <w:r>
              <w:rPr>
                <w:b w:val="0"/>
                <w:sz w:val="17"/>
              </w:rPr>
              <w:t>NIST CSF 2.0: GV.PO, GV.OC | ISO/IEC 27001:2022: cl. 5.2 | AICPA TSC: CC1, CC5 | ISA 315 (control environment)</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C03</w:t>
            </w:r>
          </w:p>
        </w:tc>
        <w:tc>
          <w:tcPr>
            <w:tcW w:type="dxa" w:w="2211"/>
          </w:tcPr>
          <w:p>
            <w:pPr>
              <w:jc w:val="left"/>
            </w:pPr>
            <w:r/>
            <w:r>
              <w:rPr>
                <w:b w:val="0"/>
                <w:sz w:val="17"/>
              </w:rPr>
              <w:t>Context, scope and objectives of the assessment</w:t>
            </w:r>
          </w:p>
        </w:tc>
        <w:tc>
          <w:tcPr>
            <w:tcW w:type="dxa" w:w="1361"/>
          </w:tcPr>
          <w:p>
            <w:pPr>
              <w:jc w:val="left"/>
            </w:pPr>
            <w:r/>
            <w:r>
              <w:rPr>
                <w:b w:val="0"/>
                <w:sz w:val="17"/>
              </w:rPr>
              <w:t>Shared</w:t>
            </w:r>
          </w:p>
        </w:tc>
        <w:tc>
          <w:tcPr>
            <w:tcW w:type="dxa" w:w="964"/>
          </w:tcPr>
          <w:p>
            <w:pPr>
              <w:jc w:val="left"/>
            </w:pPr>
            <w:r/>
            <w:r>
              <w:rPr>
                <w:b w:val="0"/>
                <w:sz w:val="17"/>
              </w:rPr>
              <w:t>Context</w:t>
            </w:r>
          </w:p>
        </w:tc>
        <w:tc>
          <w:tcPr>
            <w:tcW w:type="dxa" w:w="4309"/>
          </w:tcPr>
          <w:p>
            <w:pPr>
              <w:jc w:val="left"/>
            </w:pPr>
            <w:r/>
            <w:r>
              <w:rPr>
                <w:b w:val="0"/>
                <w:sz w:val="17"/>
              </w:rPr>
              <w:t>NIST CSF 2.0: GV.OC | ISO/IEC 27001:2022: cl. 4 | ISO/IEC 27005:2022 (context) | AICPA DC section 100 | ISA 315</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C04</w:t>
            </w:r>
          </w:p>
        </w:tc>
        <w:tc>
          <w:tcPr>
            <w:tcW w:type="dxa" w:w="2211"/>
          </w:tcPr>
          <w:p>
            <w:pPr>
              <w:jc w:val="left"/>
            </w:pPr>
            <w:r/>
            <w:r>
              <w:rPr>
                <w:b w:val="0"/>
                <w:sz w:val="17"/>
              </w:rPr>
              <w:t>Asset identification and classification</w:t>
            </w:r>
          </w:p>
        </w:tc>
        <w:tc>
          <w:tcPr>
            <w:tcW w:type="dxa" w:w="1361"/>
          </w:tcPr>
          <w:p>
            <w:pPr>
              <w:jc w:val="left"/>
            </w:pPr>
            <w:r/>
            <w:r>
              <w:rPr>
                <w:b w:val="0"/>
                <w:sz w:val="17"/>
              </w:rPr>
              <w:t>Shared</w:t>
            </w:r>
          </w:p>
        </w:tc>
        <w:tc>
          <w:tcPr>
            <w:tcW w:type="dxa" w:w="964"/>
          </w:tcPr>
          <w:p>
            <w:pPr>
              <w:jc w:val="left"/>
            </w:pPr>
            <w:r/>
            <w:r>
              <w:rPr>
                <w:b w:val="0"/>
                <w:sz w:val="17"/>
              </w:rPr>
              <w:t>TVI</w:t>
            </w:r>
          </w:p>
        </w:tc>
        <w:tc>
          <w:tcPr>
            <w:tcW w:type="dxa" w:w="4309"/>
          </w:tcPr>
          <w:p>
            <w:pPr>
              <w:jc w:val="left"/>
            </w:pPr>
            <w:r/>
            <w:r>
              <w:rPr>
                <w:b w:val="0"/>
                <w:sz w:val="17"/>
              </w:rPr>
              <w:t>NIST CSF 2.0: ID.AM | ISO/IEC 27001:2022: Annex A 5.9 | AICPA TSC: CC3, CC6 | ISA 315 (IT environment)</w:t>
            </w:r>
          </w:p>
        </w:tc>
        <w:tc>
          <w:tcPr>
            <w:tcW w:type="dxa" w:w="3969"/>
          </w:tcPr>
          <w:p>
            <w:pPr>
              <w:jc w:val="left"/>
            </w:pPr>
            <w:r/>
            <w:r>
              <w:rPr>
                <w:b w:val="0"/>
                <w:sz w:val="17"/>
              </w:rPr>
              <w:t>Hermanson et al. (2000) [safeguarding of assets as a traditional IT risk]; Wangen et al. (2018) [completeness of risk identification]</w:t>
            </w:r>
          </w:p>
        </w:tc>
        <w:tc>
          <w:tcPr>
            <w:tcW w:type="dxa" w:w="907"/>
          </w:tcPr>
          <w:p>
            <w:pPr>
              <w:jc w:val="left"/>
            </w:pPr>
            <w:r/>
            <w:r>
              <w:rPr>
                <w:b w:val="0"/>
                <w:sz w:val="17"/>
              </w:rPr>
              <w:t>S+R</w:t>
            </w:r>
          </w:p>
        </w:tc>
      </w:tr>
      <w:tr>
        <w:tc>
          <w:tcPr>
            <w:tcW w:type="dxa" w:w="680"/>
          </w:tcPr>
          <w:p>
            <w:pPr>
              <w:jc w:val="left"/>
            </w:pPr>
            <w:r/>
            <w:r>
              <w:rPr>
                <w:b w:val="0"/>
                <w:sz w:val="17"/>
              </w:rPr>
              <w:t>C05</w:t>
            </w:r>
          </w:p>
        </w:tc>
        <w:tc>
          <w:tcPr>
            <w:tcW w:type="dxa" w:w="2211"/>
          </w:tcPr>
          <w:p>
            <w:pPr>
              <w:jc w:val="left"/>
            </w:pPr>
            <w:r/>
            <w:r>
              <w:rPr>
                <w:b w:val="0"/>
                <w:sz w:val="17"/>
              </w:rPr>
              <w:t>Threat identification and threat intelligence</w:t>
            </w:r>
          </w:p>
        </w:tc>
        <w:tc>
          <w:tcPr>
            <w:tcW w:type="dxa" w:w="1361"/>
          </w:tcPr>
          <w:p>
            <w:pPr>
              <w:jc w:val="left"/>
            </w:pPr>
            <w:r/>
            <w:r>
              <w:rPr>
                <w:b w:val="0"/>
                <w:sz w:val="17"/>
              </w:rPr>
              <w:t>Organization</w:t>
            </w:r>
          </w:p>
        </w:tc>
        <w:tc>
          <w:tcPr>
            <w:tcW w:type="dxa" w:w="964"/>
          </w:tcPr>
          <w:p>
            <w:pPr>
              <w:jc w:val="left"/>
            </w:pPr>
            <w:r/>
            <w:r>
              <w:rPr>
                <w:b w:val="0"/>
                <w:sz w:val="17"/>
              </w:rPr>
              <w:t>TVI</w:t>
            </w:r>
          </w:p>
        </w:tc>
        <w:tc>
          <w:tcPr>
            <w:tcW w:type="dxa" w:w="4309"/>
          </w:tcPr>
          <w:p>
            <w:pPr>
              <w:jc w:val="left"/>
            </w:pPr>
            <w:r/>
            <w:r>
              <w:rPr>
                <w:b w:val="0"/>
                <w:sz w:val="17"/>
              </w:rPr>
              <w:t>NIST CSF 2.0: ID.RA, DE.AE | ISO/IEC 27001:2022: Annex A 5.7 | ISO/IEC 27005:2022 (risk scenarios) | AICPA TSC: CC3, CC7</w:t>
            </w:r>
          </w:p>
        </w:tc>
        <w:tc>
          <w:tcPr>
            <w:tcW w:type="dxa" w:w="3969"/>
          </w:tcPr>
          <w:p>
            <w:pPr>
              <w:jc w:val="left"/>
            </w:pPr>
            <w:r/>
            <w:r>
              <w:rPr>
                <w:b w:val="0"/>
                <w:sz w:val="17"/>
              </w:rPr>
              <w:t>Ganin et al. (2020) [threat in the assessment triplet]; Wang et al. (2020) [threat events in FAIR-based model]</w:t>
            </w:r>
          </w:p>
        </w:tc>
        <w:tc>
          <w:tcPr>
            <w:tcW w:type="dxa" w:w="907"/>
          </w:tcPr>
          <w:p>
            <w:pPr>
              <w:jc w:val="left"/>
            </w:pPr>
            <w:r/>
            <w:r>
              <w:rPr>
                <w:b w:val="0"/>
                <w:sz w:val="17"/>
              </w:rPr>
              <w:t>S+R</w:t>
            </w:r>
          </w:p>
        </w:tc>
      </w:tr>
      <w:tr>
        <w:tc>
          <w:tcPr>
            <w:tcW w:type="dxa" w:w="680"/>
          </w:tcPr>
          <w:p>
            <w:pPr>
              <w:jc w:val="left"/>
            </w:pPr>
            <w:r/>
            <w:r>
              <w:rPr>
                <w:b w:val="0"/>
                <w:sz w:val="17"/>
              </w:rPr>
              <w:t>C06</w:t>
            </w:r>
          </w:p>
        </w:tc>
        <w:tc>
          <w:tcPr>
            <w:tcW w:type="dxa" w:w="2211"/>
          </w:tcPr>
          <w:p>
            <w:pPr>
              <w:jc w:val="left"/>
            </w:pPr>
            <w:r/>
            <w:r>
              <w:rPr>
                <w:b w:val="0"/>
                <w:sz w:val="17"/>
              </w:rPr>
              <w:t>Vulnerability management and penetration testing</w:t>
            </w:r>
          </w:p>
        </w:tc>
        <w:tc>
          <w:tcPr>
            <w:tcW w:type="dxa" w:w="1361"/>
          </w:tcPr>
          <w:p>
            <w:pPr>
              <w:jc w:val="left"/>
            </w:pPr>
            <w:r/>
            <w:r>
              <w:rPr>
                <w:b w:val="0"/>
                <w:sz w:val="17"/>
              </w:rPr>
              <w:t>Organization</w:t>
            </w:r>
          </w:p>
        </w:tc>
        <w:tc>
          <w:tcPr>
            <w:tcW w:type="dxa" w:w="964"/>
          </w:tcPr>
          <w:p>
            <w:pPr>
              <w:jc w:val="left"/>
            </w:pPr>
            <w:r/>
            <w:r>
              <w:rPr>
                <w:b w:val="0"/>
                <w:sz w:val="17"/>
              </w:rPr>
              <w:t>TVI</w:t>
            </w:r>
          </w:p>
        </w:tc>
        <w:tc>
          <w:tcPr>
            <w:tcW w:type="dxa" w:w="4309"/>
          </w:tcPr>
          <w:p>
            <w:pPr>
              <w:jc w:val="left"/>
            </w:pPr>
            <w:r/>
            <w:r>
              <w:rPr>
                <w:b w:val="0"/>
                <w:sz w:val="17"/>
              </w:rPr>
              <w:t>NIST CSF 2.0: ID.RA, PR.PS | ISO/IEC 27001:2022: Annex A technological controls | AICPA TSC: CC7 | ISA 330</w:t>
            </w:r>
          </w:p>
        </w:tc>
        <w:tc>
          <w:tcPr>
            <w:tcW w:type="dxa" w:w="3969"/>
          </w:tcPr>
          <w:p>
            <w:pPr>
              <w:jc w:val="left"/>
            </w:pPr>
            <w:r/>
            <w:r>
              <w:rPr>
                <w:b w:val="0"/>
                <w:sz w:val="17"/>
              </w:rPr>
              <w:t>Ganin et al. (2020) [vulnerability in the assessment triplet]; Wang et al. (2020) [vulnerability in FAIR-based model]</w:t>
            </w:r>
          </w:p>
        </w:tc>
        <w:tc>
          <w:tcPr>
            <w:tcW w:type="dxa" w:w="907"/>
          </w:tcPr>
          <w:p>
            <w:pPr>
              <w:jc w:val="left"/>
            </w:pPr>
            <w:r/>
            <w:r>
              <w:rPr>
                <w:b w:val="0"/>
                <w:sz w:val="17"/>
              </w:rPr>
              <w:t>S+R</w:t>
            </w:r>
          </w:p>
        </w:tc>
      </w:tr>
      <w:tr>
        <w:tc>
          <w:tcPr>
            <w:tcW w:type="dxa" w:w="680"/>
          </w:tcPr>
          <w:p>
            <w:pPr>
              <w:jc w:val="left"/>
            </w:pPr>
            <w:r/>
            <w:r>
              <w:rPr>
                <w:b w:val="0"/>
                <w:sz w:val="17"/>
              </w:rPr>
              <w:t>C07</w:t>
            </w:r>
          </w:p>
        </w:tc>
        <w:tc>
          <w:tcPr>
            <w:tcW w:type="dxa" w:w="2211"/>
          </w:tcPr>
          <w:p>
            <w:pPr>
              <w:jc w:val="left"/>
            </w:pPr>
            <w:r/>
            <w:r>
              <w:rPr>
                <w:b w:val="0"/>
                <w:sz w:val="17"/>
              </w:rPr>
              <w:t>Risk analysis and evaluation (likelihood, impact, ranking)</w:t>
            </w:r>
          </w:p>
        </w:tc>
        <w:tc>
          <w:tcPr>
            <w:tcW w:type="dxa" w:w="1361"/>
          </w:tcPr>
          <w:p>
            <w:pPr>
              <w:jc w:val="left"/>
            </w:pPr>
            <w:r/>
            <w:r>
              <w:rPr>
                <w:b w:val="0"/>
                <w:sz w:val="17"/>
              </w:rPr>
              <w:t>Shared</w:t>
            </w:r>
          </w:p>
        </w:tc>
        <w:tc>
          <w:tcPr>
            <w:tcW w:type="dxa" w:w="964"/>
          </w:tcPr>
          <w:p>
            <w:pPr>
              <w:jc w:val="left"/>
            </w:pPr>
            <w:r/>
            <w:r>
              <w:rPr>
                <w:b w:val="0"/>
                <w:sz w:val="17"/>
              </w:rPr>
              <w:t>RRJ</w:t>
            </w:r>
          </w:p>
        </w:tc>
        <w:tc>
          <w:tcPr>
            <w:tcW w:type="dxa" w:w="4309"/>
          </w:tcPr>
          <w:p>
            <w:pPr>
              <w:jc w:val="left"/>
            </w:pPr>
            <w:r/>
            <w:r>
              <w:rPr>
                <w:b w:val="0"/>
                <w:sz w:val="17"/>
              </w:rPr>
              <w:t>NIST CSF 2.0: GV.RM, ID.RA; SP 800-30 Rev. 1 | ISO/IEC 27001:2022: cl. 6.1.2, 8.2 | ISO/IEC 27005:2022; IEC/ISO 31010 | AICPA TSC: CC3 | ISA 315</w:t>
            </w:r>
          </w:p>
        </w:tc>
        <w:tc>
          <w:tcPr>
            <w:tcW w:type="dxa" w:w="3969"/>
          </w:tcPr>
          <w:p>
            <w:pPr>
              <w:jc w:val="left"/>
            </w:pPr>
            <w:r/>
            <w:r>
              <w:rPr>
                <w:b w:val="0"/>
                <w:sz w:val="17"/>
              </w:rPr>
              <w:t>Wangen et al. (2018) [estimation and evaluation coverage]; Ganin et al. (2020) [decision-analytic evaluation]; Wang et al. (2020) [probabilistic estimation]; Gordon &amp; Loeb (2002) [prioritization by expected loss]</w:t>
            </w:r>
          </w:p>
        </w:tc>
        <w:tc>
          <w:tcPr>
            <w:tcW w:type="dxa" w:w="907"/>
          </w:tcPr>
          <w:p>
            <w:pPr>
              <w:jc w:val="left"/>
            </w:pPr>
            <w:r/>
            <w:r>
              <w:rPr>
                <w:b w:val="0"/>
                <w:sz w:val="17"/>
              </w:rPr>
              <w:t>S+R</w:t>
            </w:r>
          </w:p>
        </w:tc>
      </w:tr>
      <w:tr>
        <w:tc>
          <w:tcPr>
            <w:tcW w:type="dxa" w:w="680"/>
          </w:tcPr>
          <w:p>
            <w:pPr>
              <w:jc w:val="left"/>
            </w:pPr>
            <w:r/>
            <w:r>
              <w:rPr>
                <w:b w:val="0"/>
                <w:sz w:val="17"/>
              </w:rPr>
              <w:t>C08</w:t>
            </w:r>
          </w:p>
        </w:tc>
        <w:tc>
          <w:tcPr>
            <w:tcW w:type="dxa" w:w="2211"/>
          </w:tcPr>
          <w:p>
            <w:pPr>
              <w:jc w:val="left"/>
            </w:pPr>
            <w:r/>
            <w:r>
              <w:rPr>
                <w:b w:val="0"/>
                <w:sz w:val="17"/>
              </w:rPr>
              <w:t>Cyber fraud risk and environmental change</w:t>
            </w:r>
          </w:p>
        </w:tc>
        <w:tc>
          <w:tcPr>
            <w:tcW w:type="dxa" w:w="1361"/>
          </w:tcPr>
          <w:p>
            <w:pPr>
              <w:jc w:val="left"/>
            </w:pPr>
            <w:r/>
            <w:r>
              <w:rPr>
                <w:b w:val="0"/>
                <w:sz w:val="17"/>
              </w:rPr>
              <w:t>Shared</w:t>
            </w:r>
          </w:p>
        </w:tc>
        <w:tc>
          <w:tcPr>
            <w:tcW w:type="dxa" w:w="964"/>
          </w:tcPr>
          <w:p>
            <w:pPr>
              <w:jc w:val="left"/>
            </w:pPr>
            <w:r/>
            <w:r>
              <w:rPr>
                <w:b w:val="0"/>
                <w:sz w:val="17"/>
              </w:rPr>
              <w:t>RRJ</w:t>
            </w:r>
          </w:p>
        </w:tc>
        <w:tc>
          <w:tcPr>
            <w:tcW w:type="dxa" w:w="4309"/>
          </w:tcPr>
          <w:p>
            <w:pPr>
              <w:jc w:val="left"/>
            </w:pPr>
            <w:r/>
            <w:r>
              <w:rPr>
                <w:b w:val="0"/>
                <w:sz w:val="17"/>
              </w:rPr>
              <w:t>NIST CSF 2.0: ID.IM, GV.RM | ISO 31000:2018 | AICPA TSC: CC3 (fraud risk, changes) | ISA 240</w:t>
            </w:r>
          </w:p>
        </w:tc>
        <w:tc>
          <w:tcPr>
            <w:tcW w:type="dxa" w:w="3969"/>
          </w:tcPr>
          <w:p>
            <w:pPr>
              <w:jc w:val="left"/>
            </w:pPr>
            <w:r/>
            <w:r>
              <w:rPr>
                <w:b w:val="0"/>
                <w:sz w:val="17"/>
              </w:rPr>
              <w:t>Armenia et al. (2021) [organizational change and dynamics]</w:t>
            </w:r>
          </w:p>
        </w:tc>
        <w:tc>
          <w:tcPr>
            <w:tcW w:type="dxa" w:w="907"/>
          </w:tcPr>
          <w:p>
            <w:pPr>
              <w:jc w:val="left"/>
            </w:pPr>
            <w:r/>
            <w:r>
              <w:rPr>
                <w:b w:val="0"/>
                <w:sz w:val="17"/>
              </w:rPr>
              <w:t>S+R</w:t>
            </w:r>
          </w:p>
        </w:tc>
      </w:tr>
      <w:tr>
        <w:tc>
          <w:tcPr>
            <w:tcW w:type="dxa" w:w="680"/>
          </w:tcPr>
          <w:p>
            <w:pPr>
              <w:jc w:val="left"/>
            </w:pPr>
            <w:r/>
            <w:r>
              <w:rPr>
                <w:b w:val="0"/>
                <w:sz w:val="17"/>
              </w:rPr>
              <w:t>C09</w:t>
            </w:r>
          </w:p>
        </w:tc>
        <w:tc>
          <w:tcPr>
            <w:tcW w:type="dxa" w:w="2211"/>
          </w:tcPr>
          <w:p>
            <w:pPr>
              <w:jc w:val="left"/>
            </w:pPr>
            <w:r/>
            <w:r>
              <w:rPr>
                <w:b w:val="0"/>
                <w:sz w:val="17"/>
              </w:rPr>
              <w:t>Control implementation and risk treatment plan</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GV.RM, PR | ISO/IEC 27001:2022: cl. 6.1.3, 8.3 | ISO/IEC 27005:2022 (risk treatment) | AICPA TSC: CC5 | ISA 315, 330</w:t>
            </w:r>
          </w:p>
        </w:tc>
        <w:tc>
          <w:tcPr>
            <w:tcW w:type="dxa" w:w="3969"/>
          </w:tcPr>
          <w:p>
            <w:pPr>
              <w:jc w:val="left"/>
            </w:pPr>
            <w:r/>
            <w:r>
              <w:rPr>
                <w:b w:val="0"/>
                <w:sz w:val="17"/>
              </w:rPr>
              <w:t>Gordon &amp; Loeb (2002) [investment in protection]; Ganin et al. (2020) [ranking of countermeasures]; Armenia et al. (2021) [evaluating security investments]</w:t>
            </w:r>
          </w:p>
        </w:tc>
        <w:tc>
          <w:tcPr>
            <w:tcW w:type="dxa" w:w="907"/>
          </w:tcPr>
          <w:p>
            <w:pPr>
              <w:jc w:val="left"/>
            </w:pPr>
            <w:r/>
            <w:r>
              <w:rPr>
                <w:b w:val="0"/>
                <w:sz w:val="17"/>
              </w:rPr>
              <w:t>S+R</w:t>
            </w:r>
          </w:p>
        </w:tc>
      </w:tr>
      <w:tr>
        <w:tc>
          <w:tcPr>
            <w:tcW w:type="dxa" w:w="680"/>
          </w:tcPr>
          <w:p>
            <w:pPr>
              <w:jc w:val="left"/>
            </w:pPr>
            <w:r/>
            <w:r>
              <w:rPr>
                <w:b w:val="0"/>
                <w:sz w:val="17"/>
              </w:rPr>
              <w:t>C10</w:t>
            </w:r>
          </w:p>
        </w:tc>
        <w:tc>
          <w:tcPr>
            <w:tcW w:type="dxa" w:w="2211"/>
          </w:tcPr>
          <w:p>
            <w:pPr>
              <w:jc w:val="left"/>
            </w:pPr>
            <w:r/>
            <w:r>
              <w:rPr>
                <w:b w:val="0"/>
                <w:sz w:val="17"/>
              </w:rPr>
              <w:t>Access control and authentication</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PR.AA | ISO/IEC 27001:2022: Annex A access control | AICPA TSC: CC6 | ITGC (ISA 315, 330)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C11</w:t>
            </w:r>
          </w:p>
        </w:tc>
        <w:tc>
          <w:tcPr>
            <w:tcW w:type="dxa" w:w="2211"/>
          </w:tcPr>
          <w:p>
            <w:pPr>
              <w:jc w:val="left"/>
            </w:pPr>
            <w:r/>
            <w:r>
              <w:rPr>
                <w:b w:val="0"/>
                <w:sz w:val="17"/>
              </w:rPr>
              <w:t>Data protection and cryptography</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PR.DS | ISO/IEC 27001:2022: Annex A cryptography, data protection | AICPA TSC: CC6, C1</w:t>
            </w:r>
          </w:p>
        </w:tc>
        <w:tc>
          <w:tcPr>
            <w:tcW w:type="dxa" w:w="3969"/>
          </w:tcPr>
          <w:p>
            <w:pPr>
              <w:jc w:val="left"/>
            </w:pPr>
            <w:r/>
            <w:r>
              <w:rPr>
                <w:b w:val="0"/>
                <w:sz w:val="17"/>
              </w:rPr>
              <w:t>Hermanson et al. (2000) [data integrity, privacy and security as traditional IT risks]</w:t>
            </w:r>
          </w:p>
        </w:tc>
        <w:tc>
          <w:tcPr>
            <w:tcW w:type="dxa" w:w="907"/>
          </w:tcPr>
          <w:p>
            <w:pPr>
              <w:jc w:val="left"/>
            </w:pPr>
            <w:r/>
            <w:r>
              <w:rPr>
                <w:b w:val="0"/>
                <w:sz w:val="17"/>
              </w:rPr>
              <w:t>S+R</w:t>
            </w:r>
          </w:p>
        </w:tc>
      </w:tr>
      <w:tr>
        <w:tc>
          <w:tcPr>
            <w:tcW w:type="dxa" w:w="680"/>
          </w:tcPr>
          <w:p>
            <w:pPr>
              <w:jc w:val="left"/>
            </w:pPr>
            <w:r/>
            <w:r>
              <w:rPr>
                <w:b w:val="0"/>
                <w:sz w:val="17"/>
              </w:rPr>
              <w:t>C12</w:t>
            </w:r>
          </w:p>
        </w:tc>
        <w:tc>
          <w:tcPr>
            <w:tcW w:type="dxa" w:w="2211"/>
          </w:tcPr>
          <w:p>
            <w:pPr>
              <w:jc w:val="left"/>
            </w:pPr>
            <w:r/>
            <w:r>
              <w:rPr>
                <w:b w:val="0"/>
                <w:sz w:val="17"/>
              </w:rPr>
              <w:t>Network, infrastructure and physical security</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PR.IR, PR.PS | ISO/IEC 27001:2022: Annex A physical and technological controls | ISO/IEC 27033 | AICPA TSC: CC6</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C13</w:t>
            </w:r>
          </w:p>
        </w:tc>
        <w:tc>
          <w:tcPr>
            <w:tcW w:type="dxa" w:w="2211"/>
          </w:tcPr>
          <w:p>
            <w:pPr>
              <w:jc w:val="left"/>
            </w:pPr>
            <w:r/>
            <w:r>
              <w:rPr>
                <w:b w:val="0"/>
                <w:sz w:val="17"/>
              </w:rPr>
              <w:t>Secure development and change management</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PR.PS | ISO/IEC 27001:2022: Annex A secure development, change management | AICPA TSC: CC8 | ITGC (program change)</w:t>
            </w:r>
          </w:p>
        </w:tc>
        <w:tc>
          <w:tcPr>
            <w:tcW w:type="dxa" w:w="3969"/>
          </w:tcPr>
          <w:p>
            <w:pPr>
              <w:jc w:val="left"/>
            </w:pPr>
            <w:r/>
            <w:r>
              <w:rPr>
                <w:b w:val="0"/>
                <w:sz w:val="17"/>
              </w:rPr>
              <w:t>Hermanson et al. (2000) [system development and acquisition receive less attention]</w:t>
            </w:r>
          </w:p>
        </w:tc>
        <w:tc>
          <w:tcPr>
            <w:tcW w:type="dxa" w:w="907"/>
          </w:tcPr>
          <w:p>
            <w:pPr>
              <w:jc w:val="left"/>
            </w:pPr>
            <w:r/>
            <w:r>
              <w:rPr>
                <w:b w:val="0"/>
                <w:sz w:val="17"/>
              </w:rPr>
              <w:t>S+R</w:t>
            </w:r>
          </w:p>
        </w:tc>
      </w:tr>
      <w:tr>
        <w:tc>
          <w:tcPr>
            <w:tcW w:type="dxa" w:w="680"/>
          </w:tcPr>
          <w:p>
            <w:pPr>
              <w:jc w:val="left"/>
            </w:pPr>
            <w:r/>
            <w:r>
              <w:rPr>
                <w:b w:val="0"/>
                <w:sz w:val="17"/>
              </w:rPr>
              <w:t>C14</w:t>
            </w:r>
          </w:p>
        </w:tc>
        <w:tc>
          <w:tcPr>
            <w:tcW w:type="dxa" w:w="2211"/>
          </w:tcPr>
          <w:p>
            <w:pPr>
              <w:jc w:val="left"/>
            </w:pPr>
            <w:r/>
            <w:r>
              <w:rPr>
                <w:b w:val="0"/>
                <w:sz w:val="17"/>
              </w:rPr>
              <w:t>Security awareness and training</w:t>
            </w:r>
          </w:p>
        </w:tc>
        <w:tc>
          <w:tcPr>
            <w:tcW w:type="dxa" w:w="1361"/>
          </w:tcPr>
          <w:p>
            <w:pPr>
              <w:jc w:val="left"/>
            </w:pPr>
            <w:r/>
            <w:r>
              <w:rPr>
                <w:b w:val="0"/>
                <w:sz w:val="17"/>
              </w:rPr>
              <w:t>Organization</w:t>
            </w:r>
          </w:p>
        </w:tc>
        <w:tc>
          <w:tcPr>
            <w:tcW w:type="dxa" w:w="964"/>
          </w:tcPr>
          <w:p>
            <w:pPr>
              <w:jc w:val="left"/>
            </w:pPr>
            <w:r/>
            <w:r>
              <w:rPr>
                <w:b w:val="0"/>
                <w:sz w:val="17"/>
              </w:rPr>
              <w:t>CCE</w:t>
            </w:r>
          </w:p>
        </w:tc>
        <w:tc>
          <w:tcPr>
            <w:tcW w:type="dxa" w:w="4309"/>
          </w:tcPr>
          <w:p>
            <w:pPr>
              <w:jc w:val="left"/>
            </w:pPr>
            <w:r/>
            <w:r>
              <w:rPr>
                <w:b w:val="0"/>
                <w:sz w:val="17"/>
              </w:rPr>
              <w:t>NIST CSF 2.0: PR.AT | ISO/IEC 27001:2022: cl. 7.3; Annex A people controls | AICPA TSC: CC1, CC2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C15</w:t>
            </w:r>
          </w:p>
        </w:tc>
        <w:tc>
          <w:tcPr>
            <w:tcW w:type="dxa" w:w="2211"/>
          </w:tcPr>
          <w:p>
            <w:pPr>
              <w:jc w:val="left"/>
            </w:pPr>
            <w:r/>
            <w:r>
              <w:rPr>
                <w:b w:val="0"/>
                <w:sz w:val="17"/>
              </w:rPr>
              <w:t>Third-party and supply chain risk</w:t>
            </w:r>
          </w:p>
        </w:tc>
        <w:tc>
          <w:tcPr>
            <w:tcW w:type="dxa" w:w="1361"/>
          </w:tcPr>
          <w:p>
            <w:pPr>
              <w:jc w:val="left"/>
            </w:pPr>
            <w:r/>
            <w:r>
              <w:rPr>
                <w:b w:val="0"/>
                <w:sz w:val="17"/>
              </w:rPr>
              <w:t>Shared</w:t>
            </w:r>
          </w:p>
        </w:tc>
        <w:tc>
          <w:tcPr>
            <w:tcW w:type="dxa" w:w="964"/>
          </w:tcPr>
          <w:p>
            <w:pPr>
              <w:jc w:val="left"/>
            </w:pPr>
            <w:r/>
            <w:r>
              <w:rPr>
                <w:b w:val="0"/>
                <w:sz w:val="17"/>
              </w:rPr>
              <w:t>CCE</w:t>
            </w:r>
          </w:p>
        </w:tc>
        <w:tc>
          <w:tcPr>
            <w:tcW w:type="dxa" w:w="4309"/>
          </w:tcPr>
          <w:p>
            <w:pPr>
              <w:jc w:val="left"/>
            </w:pPr>
            <w:r/>
            <w:r>
              <w:rPr>
                <w:b w:val="0"/>
                <w:sz w:val="17"/>
              </w:rPr>
              <w:t>NIST CSF 2.0: GV.SC | ISO/IEC 27001:2022: Annex A 5.19–5.23 | ISO/IEC 27036 | AICPA TSC: CC9 | ISA 402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C16</w:t>
            </w:r>
          </w:p>
        </w:tc>
        <w:tc>
          <w:tcPr>
            <w:tcW w:type="dxa" w:w="2211"/>
          </w:tcPr>
          <w:p>
            <w:pPr>
              <w:jc w:val="left"/>
            </w:pPr>
            <w:r/>
            <w:r>
              <w:rPr>
                <w:b w:val="0"/>
                <w:sz w:val="17"/>
              </w:rPr>
              <w:t>Continuous monitoring and logging</w:t>
            </w:r>
          </w:p>
        </w:tc>
        <w:tc>
          <w:tcPr>
            <w:tcW w:type="dxa" w:w="1361"/>
          </w:tcPr>
          <w:p>
            <w:pPr>
              <w:jc w:val="left"/>
            </w:pPr>
            <w:r/>
            <w:r>
              <w:rPr>
                <w:b w:val="0"/>
                <w:sz w:val="17"/>
              </w:rPr>
              <w:t>Shared</w:t>
            </w:r>
          </w:p>
        </w:tc>
        <w:tc>
          <w:tcPr>
            <w:tcW w:type="dxa" w:w="964"/>
          </w:tcPr>
          <w:p>
            <w:pPr>
              <w:jc w:val="left"/>
            </w:pPr>
            <w:r/>
            <w:r>
              <w:rPr>
                <w:b w:val="0"/>
                <w:sz w:val="17"/>
              </w:rPr>
              <w:t>MOL</w:t>
            </w:r>
          </w:p>
        </w:tc>
        <w:tc>
          <w:tcPr>
            <w:tcW w:type="dxa" w:w="4309"/>
          </w:tcPr>
          <w:p>
            <w:pPr>
              <w:jc w:val="left"/>
            </w:pPr>
            <w:r/>
            <w:r>
              <w:rPr>
                <w:b w:val="0"/>
                <w:sz w:val="17"/>
              </w:rPr>
              <w:t>NIST CSF 2.0: DE.CM, DE.AE | ISO/IEC 27001:2022: cl. 9.1; Annex A 8.16 | AICPA TSC: CC4, CC7 | ISA 500</w:t>
            </w:r>
          </w:p>
        </w:tc>
        <w:tc>
          <w:tcPr>
            <w:tcW w:type="dxa" w:w="3969"/>
          </w:tcPr>
          <w:p>
            <w:pPr>
              <w:jc w:val="left"/>
            </w:pPr>
            <w:r/>
            <w:r>
              <w:rPr>
                <w:b w:val="0"/>
                <w:sz w:val="17"/>
              </w:rPr>
              <w:t>Armenia et al. (2021) [static versus dynamic view of posture]</w:t>
            </w:r>
          </w:p>
        </w:tc>
        <w:tc>
          <w:tcPr>
            <w:tcW w:type="dxa" w:w="907"/>
          </w:tcPr>
          <w:p>
            <w:pPr>
              <w:jc w:val="left"/>
            </w:pPr>
            <w:r/>
            <w:r>
              <w:rPr>
                <w:b w:val="0"/>
                <w:sz w:val="17"/>
              </w:rPr>
              <w:t>S+R</w:t>
            </w:r>
          </w:p>
        </w:tc>
      </w:tr>
      <w:tr>
        <w:tc>
          <w:tcPr>
            <w:tcW w:type="dxa" w:w="680"/>
          </w:tcPr>
          <w:p>
            <w:pPr>
              <w:jc w:val="left"/>
            </w:pPr>
            <w:r/>
            <w:r>
              <w:rPr>
                <w:b w:val="0"/>
                <w:sz w:val="17"/>
              </w:rPr>
              <w:t>C17</w:t>
            </w:r>
          </w:p>
        </w:tc>
        <w:tc>
          <w:tcPr>
            <w:tcW w:type="dxa" w:w="2211"/>
          </w:tcPr>
          <w:p>
            <w:pPr>
              <w:jc w:val="left"/>
            </w:pPr>
            <w:r/>
            <w:r>
              <w:rPr>
                <w:b w:val="0"/>
                <w:sz w:val="17"/>
              </w:rPr>
              <w:t>Incident management and response</w:t>
            </w:r>
          </w:p>
        </w:tc>
        <w:tc>
          <w:tcPr>
            <w:tcW w:type="dxa" w:w="1361"/>
          </w:tcPr>
          <w:p>
            <w:pPr>
              <w:jc w:val="left"/>
            </w:pPr>
            <w:r/>
            <w:r>
              <w:rPr>
                <w:b w:val="0"/>
                <w:sz w:val="17"/>
              </w:rPr>
              <w:t>Organization</w:t>
            </w:r>
          </w:p>
        </w:tc>
        <w:tc>
          <w:tcPr>
            <w:tcW w:type="dxa" w:w="964"/>
          </w:tcPr>
          <w:p>
            <w:pPr>
              <w:jc w:val="left"/>
            </w:pPr>
            <w:r/>
            <w:r>
              <w:rPr>
                <w:b w:val="0"/>
                <w:sz w:val="17"/>
              </w:rPr>
              <w:t>MOL</w:t>
            </w:r>
          </w:p>
        </w:tc>
        <w:tc>
          <w:tcPr>
            <w:tcW w:type="dxa" w:w="4309"/>
          </w:tcPr>
          <w:p>
            <w:pPr>
              <w:jc w:val="left"/>
            </w:pPr>
            <w:r/>
            <w:r>
              <w:rPr>
                <w:b w:val="0"/>
                <w:sz w:val="17"/>
              </w:rPr>
              <w:t>NIST CSF 2.0: RS.MA, RS.AN, RS.CO, RS.MI; SP 800-61 Rev. 3 | ISO/IEC 27001:2022: Annex A 5.24 | AICPA TSC: CC7</w:t>
            </w:r>
          </w:p>
        </w:tc>
        <w:tc>
          <w:tcPr>
            <w:tcW w:type="dxa" w:w="3969"/>
          </w:tcPr>
          <w:p>
            <w:pPr>
              <w:jc w:val="left"/>
            </w:pPr>
            <w:r/>
            <w:r>
              <w:rPr>
                <w:b w:val="0"/>
                <w:sz w:val="17"/>
              </w:rPr>
              <w:t>Higgs et al. (2016) [ability to detect and respond to breaches]</w:t>
            </w:r>
          </w:p>
        </w:tc>
        <w:tc>
          <w:tcPr>
            <w:tcW w:type="dxa" w:w="907"/>
          </w:tcPr>
          <w:p>
            <w:pPr>
              <w:jc w:val="left"/>
            </w:pPr>
            <w:r/>
            <w:r>
              <w:rPr>
                <w:b w:val="0"/>
                <w:sz w:val="17"/>
              </w:rPr>
              <w:t>S+R</w:t>
            </w:r>
          </w:p>
        </w:tc>
      </w:tr>
      <w:tr>
        <w:tc>
          <w:tcPr>
            <w:tcW w:type="dxa" w:w="680"/>
          </w:tcPr>
          <w:p>
            <w:pPr>
              <w:jc w:val="left"/>
            </w:pPr>
            <w:r/>
            <w:r>
              <w:rPr>
                <w:b w:val="0"/>
                <w:sz w:val="17"/>
              </w:rPr>
              <w:t>C18</w:t>
            </w:r>
          </w:p>
        </w:tc>
        <w:tc>
          <w:tcPr>
            <w:tcW w:type="dxa" w:w="2211"/>
          </w:tcPr>
          <w:p>
            <w:pPr>
              <w:jc w:val="left"/>
            </w:pPr>
            <w:r/>
            <w:r>
              <w:rPr>
                <w:b w:val="0"/>
                <w:sz w:val="17"/>
              </w:rPr>
              <w:t>Business continuity and disaster recovery</w:t>
            </w:r>
          </w:p>
        </w:tc>
        <w:tc>
          <w:tcPr>
            <w:tcW w:type="dxa" w:w="1361"/>
          </w:tcPr>
          <w:p>
            <w:pPr>
              <w:jc w:val="left"/>
            </w:pPr>
            <w:r/>
            <w:r>
              <w:rPr>
                <w:b w:val="0"/>
                <w:sz w:val="17"/>
              </w:rPr>
              <w:t>Shared</w:t>
            </w:r>
          </w:p>
        </w:tc>
        <w:tc>
          <w:tcPr>
            <w:tcW w:type="dxa" w:w="964"/>
          </w:tcPr>
          <w:p>
            <w:pPr>
              <w:jc w:val="left"/>
            </w:pPr>
            <w:r/>
            <w:r>
              <w:rPr>
                <w:b w:val="0"/>
                <w:sz w:val="17"/>
              </w:rPr>
              <w:t>MOL</w:t>
            </w:r>
          </w:p>
        </w:tc>
        <w:tc>
          <w:tcPr>
            <w:tcW w:type="dxa" w:w="4309"/>
          </w:tcPr>
          <w:p>
            <w:pPr>
              <w:jc w:val="left"/>
            </w:pPr>
            <w:r/>
            <w:r>
              <w:rPr>
                <w:b w:val="0"/>
                <w:sz w:val="17"/>
              </w:rPr>
              <w:t>NIST CSF 2.0: RC.RP, RC.CO | ISO/IEC 27001:2022: Annex A 5.29, 5.30 | ISO/IEC 27031; ISO 22301 | AICPA TSC: CC9, A1 | ISA 570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C19</w:t>
            </w:r>
          </w:p>
        </w:tc>
        <w:tc>
          <w:tcPr>
            <w:tcW w:type="dxa" w:w="2211"/>
          </w:tcPr>
          <w:p>
            <w:pPr>
              <w:jc w:val="left"/>
            </w:pPr>
            <w:r/>
            <w:r>
              <w:rPr>
                <w:b w:val="0"/>
                <w:sz w:val="17"/>
              </w:rPr>
              <w:t>Legal and regulatory compliance and privacy</w:t>
            </w:r>
          </w:p>
        </w:tc>
        <w:tc>
          <w:tcPr>
            <w:tcW w:type="dxa" w:w="1361"/>
          </w:tcPr>
          <w:p>
            <w:pPr>
              <w:jc w:val="left"/>
            </w:pPr>
            <w:r/>
            <w:r>
              <w:rPr>
                <w:b w:val="0"/>
                <w:sz w:val="17"/>
              </w:rPr>
              <w:t>Shared</w:t>
            </w:r>
          </w:p>
        </w:tc>
        <w:tc>
          <w:tcPr>
            <w:tcW w:type="dxa" w:w="964"/>
          </w:tcPr>
          <w:p>
            <w:pPr>
              <w:jc w:val="left"/>
            </w:pPr>
            <w:r/>
            <w:r>
              <w:rPr>
                <w:b w:val="0"/>
                <w:sz w:val="17"/>
              </w:rPr>
              <w:t>Context</w:t>
            </w:r>
          </w:p>
        </w:tc>
        <w:tc>
          <w:tcPr>
            <w:tcW w:type="dxa" w:w="4309"/>
          </w:tcPr>
          <w:p>
            <w:pPr>
              <w:jc w:val="left"/>
            </w:pPr>
            <w:r/>
            <w:r>
              <w:rPr>
                <w:b w:val="0"/>
                <w:sz w:val="17"/>
              </w:rPr>
              <w:t>NIST CSF 2.0: GV.OC | ISO/IEC 27001:2022: Annex A legal and privacy controls | ISO/IEC 29134 | AICPA TSC: privacy series | ISA 250</w:t>
            </w:r>
          </w:p>
        </w:tc>
        <w:tc>
          <w:tcPr>
            <w:tcW w:type="dxa" w:w="3969"/>
          </w:tcPr>
          <w:p>
            <w:pPr>
              <w:jc w:val="left"/>
            </w:pPr>
            <w:r/>
            <w:r>
              <w:rPr>
                <w:b w:val="0"/>
                <w:sz w:val="17"/>
              </w:rPr>
              <w:t>Vuko et al. (2024) [institutional drivers of cybersecurity audit effectiveness]</w:t>
            </w:r>
          </w:p>
        </w:tc>
        <w:tc>
          <w:tcPr>
            <w:tcW w:type="dxa" w:w="907"/>
          </w:tcPr>
          <w:p>
            <w:pPr>
              <w:jc w:val="left"/>
            </w:pPr>
            <w:r/>
            <w:r>
              <w:rPr>
                <w:b w:val="0"/>
                <w:sz w:val="17"/>
              </w:rPr>
              <w:t>S+R</w:t>
            </w:r>
          </w:p>
        </w:tc>
      </w:tr>
      <w:tr>
        <w:tc>
          <w:tcPr>
            <w:tcW w:type="dxa" w:w="680"/>
          </w:tcPr>
          <w:p>
            <w:pPr>
              <w:jc w:val="left"/>
            </w:pPr>
            <w:r/>
            <w:r>
              <w:rPr>
                <w:b w:val="0"/>
                <w:sz w:val="17"/>
              </w:rPr>
              <w:t>C20</w:t>
            </w:r>
          </w:p>
        </w:tc>
        <w:tc>
          <w:tcPr>
            <w:tcW w:type="dxa" w:w="2211"/>
          </w:tcPr>
          <w:p>
            <w:pPr>
              <w:jc w:val="left"/>
            </w:pPr>
            <w:r/>
            <w:r>
              <w:rPr>
                <w:b w:val="0"/>
                <w:sz w:val="17"/>
              </w:rPr>
              <w:t>Continual improvement and effectiveness evaluation</w:t>
            </w:r>
          </w:p>
        </w:tc>
        <w:tc>
          <w:tcPr>
            <w:tcW w:type="dxa" w:w="1361"/>
          </w:tcPr>
          <w:p>
            <w:pPr>
              <w:jc w:val="left"/>
            </w:pPr>
            <w:r/>
            <w:r>
              <w:rPr>
                <w:b w:val="0"/>
                <w:sz w:val="17"/>
              </w:rPr>
              <w:t>Organization</w:t>
            </w:r>
          </w:p>
        </w:tc>
        <w:tc>
          <w:tcPr>
            <w:tcW w:type="dxa" w:w="964"/>
          </w:tcPr>
          <w:p>
            <w:pPr>
              <w:jc w:val="left"/>
            </w:pPr>
            <w:r/>
            <w:r>
              <w:rPr>
                <w:b w:val="0"/>
                <w:sz w:val="17"/>
              </w:rPr>
              <w:t>MOL</w:t>
            </w:r>
          </w:p>
        </w:tc>
        <w:tc>
          <w:tcPr>
            <w:tcW w:type="dxa" w:w="4309"/>
          </w:tcPr>
          <w:p>
            <w:pPr>
              <w:jc w:val="left"/>
            </w:pPr>
            <w:r/>
            <w:r>
              <w:rPr>
                <w:b w:val="0"/>
                <w:sz w:val="17"/>
              </w:rPr>
              <w:t>NIST CSF 2.0: ID.IM | ISO/IEC 27001:2022: cl. 9.2, 9.3, 10 | ISO 31000:2018 | AICPA TSC: CC4 | IIA GIAS 2024</w:t>
            </w:r>
          </w:p>
        </w:tc>
        <w:tc>
          <w:tcPr>
            <w:tcW w:type="dxa" w:w="3969"/>
          </w:tcPr>
          <w:p>
            <w:pPr>
              <w:jc w:val="left"/>
            </w:pPr>
            <w:r/>
            <w:r>
              <w:rPr>
                <w:b w:val="0"/>
                <w:sz w:val="17"/>
              </w:rPr>
              <w:t>Slapničar et al. (2022) [effectiveness index and maturity]; Armenia et al. (2021) [continuous re-evaluation]</w:t>
            </w:r>
          </w:p>
        </w:tc>
        <w:tc>
          <w:tcPr>
            <w:tcW w:type="dxa" w:w="907"/>
          </w:tcPr>
          <w:p>
            <w:pPr>
              <w:jc w:val="left"/>
            </w:pPr>
            <w:r/>
            <w:r>
              <w:rPr>
                <w:b w:val="0"/>
                <w:sz w:val="17"/>
              </w:rPr>
              <w:t>S+R</w:t>
            </w:r>
          </w:p>
        </w:tc>
      </w:tr>
      <w:tr>
        <w:tc>
          <w:tcPr>
            <w:tcW w:type="dxa" w:w="680"/>
          </w:tcPr>
          <w:p>
            <w:pPr>
              <w:jc w:val="left"/>
            </w:pPr>
            <w:r/>
            <w:r>
              <w:rPr>
                <w:b w:val="0"/>
                <w:sz w:val="17"/>
              </w:rPr>
              <w:t>C21</w:t>
            </w:r>
          </w:p>
        </w:tc>
        <w:tc>
          <w:tcPr>
            <w:tcW w:type="dxa" w:w="2211"/>
          </w:tcPr>
          <w:p>
            <w:pPr>
              <w:jc w:val="left"/>
            </w:pPr>
            <w:r/>
            <w:r>
              <w:rPr>
                <w:b w:val="0"/>
                <w:sz w:val="17"/>
              </w:rPr>
              <w:t>Documentation and risk reporting</w:t>
            </w:r>
          </w:p>
        </w:tc>
        <w:tc>
          <w:tcPr>
            <w:tcW w:type="dxa" w:w="1361"/>
          </w:tcPr>
          <w:p>
            <w:pPr>
              <w:jc w:val="left"/>
            </w:pPr>
            <w:r/>
            <w:r>
              <w:rPr>
                <w:b w:val="0"/>
                <w:sz w:val="17"/>
              </w:rPr>
              <w:t>Shared</w:t>
            </w:r>
          </w:p>
        </w:tc>
        <w:tc>
          <w:tcPr>
            <w:tcW w:type="dxa" w:w="964"/>
          </w:tcPr>
          <w:p>
            <w:pPr>
              <w:jc w:val="left"/>
            </w:pPr>
            <w:r/>
            <w:r>
              <w:rPr>
                <w:b w:val="0"/>
                <w:sz w:val="17"/>
              </w:rPr>
              <w:t>PEF</w:t>
            </w:r>
          </w:p>
        </w:tc>
        <w:tc>
          <w:tcPr>
            <w:tcW w:type="dxa" w:w="4309"/>
          </w:tcPr>
          <w:p>
            <w:pPr>
              <w:jc w:val="left"/>
            </w:pPr>
            <w:r/>
            <w:r>
              <w:rPr>
                <w:b w:val="0"/>
                <w:sz w:val="17"/>
              </w:rPr>
              <w:t>NIST CSF 2.0: GV.OV | ISO/IEC 27001:2022: cl. 7.5, 9.3 | AICPA TSC: CC2; DC section 100 | ISA 260, 265</w:t>
            </w:r>
          </w:p>
        </w:tc>
        <w:tc>
          <w:tcPr>
            <w:tcW w:type="dxa" w:w="3969"/>
          </w:tcPr>
          <w:p>
            <w:pPr>
              <w:jc w:val="left"/>
            </w:pPr>
            <w:r/>
            <w:r>
              <w:rPr>
                <w:b w:val="0"/>
                <w:sz w:val="17"/>
              </w:rPr>
              <w:t>Slapničar et al. (2022) [reporting to the board]; Sari et al. (2023) [cyber risk management disclosure]</w:t>
            </w:r>
          </w:p>
        </w:tc>
        <w:tc>
          <w:tcPr>
            <w:tcW w:type="dxa" w:w="907"/>
          </w:tcPr>
          <w:p>
            <w:pPr>
              <w:jc w:val="left"/>
            </w:pPr>
            <w:r/>
            <w:r>
              <w:rPr>
                <w:b w:val="0"/>
                <w:sz w:val="17"/>
              </w:rPr>
              <w:t>S+R</w:t>
            </w:r>
          </w:p>
        </w:tc>
      </w:tr>
      <w:tr>
        <w:tc>
          <w:tcPr>
            <w:tcW w:type="dxa" w:w="680"/>
          </w:tcPr>
          <w:p>
            <w:pPr>
              <w:jc w:val="left"/>
            </w:pPr>
            <w:r/>
            <w:r>
              <w:rPr>
                <w:b w:val="0"/>
                <w:sz w:val="17"/>
              </w:rPr>
              <w:t>A01</w:t>
            </w:r>
          </w:p>
        </w:tc>
        <w:tc>
          <w:tcPr>
            <w:tcW w:type="dxa" w:w="2211"/>
          </w:tcPr>
          <w:p>
            <w:pPr>
              <w:jc w:val="left"/>
            </w:pPr>
            <w:r/>
            <w:r>
              <w:rPr>
                <w:b w:val="0"/>
                <w:sz w:val="17"/>
              </w:rPr>
              <w:t>Understanding the entity, its IT environment and information system</w:t>
            </w:r>
          </w:p>
        </w:tc>
        <w:tc>
          <w:tcPr>
            <w:tcW w:type="dxa" w:w="1361"/>
          </w:tcPr>
          <w:p>
            <w:pPr>
              <w:jc w:val="left"/>
            </w:pPr>
            <w:r/>
            <w:r>
              <w:rPr>
                <w:b w:val="0"/>
                <w:sz w:val="17"/>
              </w:rPr>
              <w:t>Auditor</w:t>
            </w:r>
          </w:p>
        </w:tc>
        <w:tc>
          <w:tcPr>
            <w:tcW w:type="dxa" w:w="964"/>
          </w:tcPr>
          <w:p>
            <w:pPr>
              <w:jc w:val="left"/>
            </w:pPr>
            <w:r/>
            <w:r>
              <w:rPr>
                <w:b w:val="0"/>
                <w:sz w:val="17"/>
              </w:rPr>
              <w:t>TVI</w:t>
            </w:r>
          </w:p>
        </w:tc>
        <w:tc>
          <w:tcPr>
            <w:tcW w:type="dxa" w:w="4309"/>
          </w:tcPr>
          <w:p>
            <w:pPr>
              <w:jc w:val="left"/>
            </w:pPr>
            <w:r/>
            <w:r>
              <w:rPr>
                <w:b w:val="0"/>
                <w:sz w:val="17"/>
              </w:rPr>
              <w:t>ISA 315 (Revised 2019); AU-C 315; PCAOB AS 2110</w:t>
            </w:r>
          </w:p>
        </w:tc>
        <w:tc>
          <w:tcPr>
            <w:tcW w:type="dxa" w:w="3969"/>
          </w:tcPr>
          <w:p>
            <w:pPr>
              <w:jc w:val="left"/>
            </w:pPr>
            <w:r/>
            <w:r>
              <w:rPr>
                <w:b w:val="0"/>
                <w:sz w:val="17"/>
              </w:rPr>
              <w:t>Hermanson et al. (2000) [IT activities of internal auditors]; Bedard et al. (2005) [information systems risk in audit planning]</w:t>
            </w:r>
          </w:p>
        </w:tc>
        <w:tc>
          <w:tcPr>
            <w:tcW w:type="dxa" w:w="907"/>
          </w:tcPr>
          <w:p>
            <w:pPr>
              <w:jc w:val="left"/>
            </w:pPr>
            <w:r/>
            <w:r>
              <w:rPr>
                <w:b w:val="0"/>
                <w:sz w:val="17"/>
              </w:rPr>
              <w:t>S+R</w:t>
            </w:r>
          </w:p>
        </w:tc>
      </w:tr>
      <w:tr>
        <w:tc>
          <w:tcPr>
            <w:tcW w:type="dxa" w:w="680"/>
          </w:tcPr>
          <w:p>
            <w:pPr>
              <w:jc w:val="left"/>
            </w:pPr>
            <w:r/>
            <w:r>
              <w:rPr>
                <w:b w:val="0"/>
                <w:sz w:val="17"/>
              </w:rPr>
              <w:t>A02</w:t>
            </w:r>
          </w:p>
        </w:tc>
        <w:tc>
          <w:tcPr>
            <w:tcW w:type="dxa" w:w="2211"/>
          </w:tcPr>
          <w:p>
            <w:pPr>
              <w:jc w:val="left"/>
            </w:pPr>
            <w:r/>
            <w:r>
              <w:rPr>
                <w:b w:val="0"/>
                <w:sz w:val="17"/>
              </w:rPr>
              <w:t>Assessing the effect of cyber risk on the risks of material misstatement</w:t>
            </w:r>
          </w:p>
        </w:tc>
        <w:tc>
          <w:tcPr>
            <w:tcW w:type="dxa" w:w="1361"/>
          </w:tcPr>
          <w:p>
            <w:pPr>
              <w:jc w:val="left"/>
            </w:pPr>
            <w:r/>
            <w:r>
              <w:rPr>
                <w:b w:val="0"/>
                <w:sz w:val="17"/>
              </w:rPr>
              <w:t>Auditor</w:t>
            </w:r>
          </w:p>
        </w:tc>
        <w:tc>
          <w:tcPr>
            <w:tcW w:type="dxa" w:w="964"/>
          </w:tcPr>
          <w:p>
            <w:pPr>
              <w:jc w:val="left"/>
            </w:pPr>
            <w:r/>
            <w:r>
              <w:rPr>
                <w:b w:val="0"/>
                <w:sz w:val="17"/>
              </w:rPr>
              <w:t>RRJ</w:t>
            </w:r>
          </w:p>
        </w:tc>
        <w:tc>
          <w:tcPr>
            <w:tcW w:type="dxa" w:w="4309"/>
          </w:tcPr>
          <w:p>
            <w:pPr>
              <w:jc w:val="left"/>
            </w:pPr>
            <w:r/>
            <w:r>
              <w:rPr>
                <w:b w:val="0"/>
                <w:sz w:val="17"/>
              </w:rPr>
              <w:t>ISA 315 (Revised 2019); ISA 240; ISA 450</w:t>
            </w:r>
          </w:p>
        </w:tc>
        <w:tc>
          <w:tcPr>
            <w:tcW w:type="dxa" w:w="3969"/>
          </w:tcPr>
          <w:p>
            <w:pPr>
              <w:jc w:val="left"/>
            </w:pPr>
            <w:r/>
            <w:r>
              <w:rPr>
                <w:b w:val="0"/>
                <w:sz w:val="17"/>
              </w:rPr>
              <w:t>Bedard et al. (2005) [IS risk and audit planning]; Li et al. (2020) [auditors' response to cyber incidents through fees]</w:t>
            </w:r>
          </w:p>
        </w:tc>
        <w:tc>
          <w:tcPr>
            <w:tcW w:type="dxa" w:w="907"/>
          </w:tcPr>
          <w:p>
            <w:pPr>
              <w:jc w:val="left"/>
            </w:pPr>
            <w:r/>
            <w:r>
              <w:rPr>
                <w:b w:val="0"/>
                <w:sz w:val="17"/>
              </w:rPr>
              <w:t>S+R</w:t>
            </w:r>
          </w:p>
        </w:tc>
      </w:tr>
      <w:tr>
        <w:tc>
          <w:tcPr>
            <w:tcW w:type="dxa" w:w="680"/>
          </w:tcPr>
          <w:p>
            <w:pPr>
              <w:jc w:val="left"/>
            </w:pPr>
            <w:r/>
            <w:r>
              <w:rPr>
                <w:b w:val="0"/>
                <w:sz w:val="17"/>
              </w:rPr>
              <w:t>A03</w:t>
            </w:r>
          </w:p>
        </w:tc>
        <w:tc>
          <w:tcPr>
            <w:tcW w:type="dxa" w:w="2211"/>
          </w:tcPr>
          <w:p>
            <w:pPr>
              <w:jc w:val="left"/>
            </w:pPr>
            <w:r/>
            <w:r>
              <w:rPr>
                <w:b w:val="0"/>
                <w:sz w:val="17"/>
              </w:rPr>
              <w:t>Evaluating the design and effectiveness of IT general controls</w:t>
            </w:r>
          </w:p>
        </w:tc>
        <w:tc>
          <w:tcPr>
            <w:tcW w:type="dxa" w:w="1361"/>
          </w:tcPr>
          <w:p>
            <w:pPr>
              <w:jc w:val="left"/>
            </w:pPr>
            <w:r/>
            <w:r>
              <w:rPr>
                <w:b w:val="0"/>
                <w:sz w:val="17"/>
              </w:rPr>
              <w:t>Auditor</w:t>
            </w:r>
          </w:p>
        </w:tc>
        <w:tc>
          <w:tcPr>
            <w:tcW w:type="dxa" w:w="964"/>
          </w:tcPr>
          <w:p>
            <w:pPr>
              <w:jc w:val="left"/>
            </w:pPr>
            <w:r/>
            <w:r>
              <w:rPr>
                <w:b w:val="0"/>
                <w:sz w:val="17"/>
              </w:rPr>
              <w:t>CCE</w:t>
            </w:r>
          </w:p>
        </w:tc>
        <w:tc>
          <w:tcPr>
            <w:tcW w:type="dxa" w:w="4309"/>
          </w:tcPr>
          <w:p>
            <w:pPr>
              <w:jc w:val="left"/>
            </w:pPr>
            <w:r/>
            <w:r>
              <w:rPr>
                <w:b w:val="0"/>
                <w:sz w:val="17"/>
              </w:rPr>
              <w:t>ISA 315; ISA 330; PCAOB AS 2201 (ITGC)</w:t>
            </w:r>
          </w:p>
        </w:tc>
        <w:tc>
          <w:tcPr>
            <w:tcW w:type="dxa" w:w="3969"/>
          </w:tcPr>
          <w:p>
            <w:pPr>
              <w:jc w:val="left"/>
            </w:pPr>
            <w:r/>
            <w:r>
              <w:rPr>
                <w:b w:val="0"/>
                <w:sz w:val="17"/>
              </w:rPr>
              <w:t>Hermanson et al. (2000) [application processing and data integrity]; Slapničar et al. (2022) [performing stage]</w:t>
            </w:r>
          </w:p>
        </w:tc>
        <w:tc>
          <w:tcPr>
            <w:tcW w:type="dxa" w:w="907"/>
          </w:tcPr>
          <w:p>
            <w:pPr>
              <w:jc w:val="left"/>
            </w:pPr>
            <w:r/>
            <w:r>
              <w:rPr>
                <w:b w:val="0"/>
                <w:sz w:val="17"/>
              </w:rPr>
              <w:t>S+R</w:t>
            </w:r>
          </w:p>
        </w:tc>
      </w:tr>
      <w:tr>
        <w:tc>
          <w:tcPr>
            <w:tcW w:type="dxa" w:w="680"/>
          </w:tcPr>
          <w:p>
            <w:pPr>
              <w:jc w:val="left"/>
            </w:pPr>
            <w:r/>
            <w:r>
              <w:rPr>
                <w:b w:val="0"/>
                <w:sz w:val="17"/>
              </w:rPr>
              <w:t>A04</w:t>
            </w:r>
          </w:p>
        </w:tc>
        <w:tc>
          <w:tcPr>
            <w:tcW w:type="dxa" w:w="2211"/>
          </w:tcPr>
          <w:p>
            <w:pPr>
              <w:jc w:val="left"/>
            </w:pPr>
            <w:r/>
            <w:r>
              <w:rPr>
                <w:b w:val="0"/>
                <w:sz w:val="17"/>
              </w:rPr>
              <w:t>Sufficiency and reliability of electronic audit evidence</w:t>
            </w:r>
          </w:p>
        </w:tc>
        <w:tc>
          <w:tcPr>
            <w:tcW w:type="dxa" w:w="1361"/>
          </w:tcPr>
          <w:p>
            <w:pPr>
              <w:jc w:val="left"/>
            </w:pPr>
            <w:r/>
            <w:r>
              <w:rPr>
                <w:b w:val="0"/>
                <w:sz w:val="17"/>
              </w:rPr>
              <w:t>Auditor</w:t>
            </w:r>
          </w:p>
        </w:tc>
        <w:tc>
          <w:tcPr>
            <w:tcW w:type="dxa" w:w="964"/>
          </w:tcPr>
          <w:p>
            <w:pPr>
              <w:jc w:val="left"/>
            </w:pPr>
            <w:r/>
            <w:r>
              <w:rPr>
                <w:b w:val="0"/>
                <w:sz w:val="17"/>
              </w:rPr>
              <w:t>CCE</w:t>
            </w:r>
          </w:p>
        </w:tc>
        <w:tc>
          <w:tcPr>
            <w:tcW w:type="dxa" w:w="4309"/>
          </w:tcPr>
          <w:p>
            <w:pPr>
              <w:jc w:val="left"/>
            </w:pPr>
            <w:r/>
            <w:r>
              <w:rPr>
                <w:b w:val="0"/>
                <w:sz w:val="17"/>
              </w:rPr>
              <w:t>ISA 500; ISA 230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A05</w:t>
            </w:r>
          </w:p>
        </w:tc>
        <w:tc>
          <w:tcPr>
            <w:tcW w:type="dxa" w:w="2211"/>
          </w:tcPr>
          <w:p>
            <w:pPr>
              <w:jc w:val="left"/>
            </w:pPr>
            <w:r/>
            <w:r>
              <w:rPr>
                <w:b w:val="0"/>
                <w:sz w:val="17"/>
              </w:rPr>
              <w:t>Reliance on service organization reports</w:t>
            </w:r>
          </w:p>
        </w:tc>
        <w:tc>
          <w:tcPr>
            <w:tcW w:type="dxa" w:w="1361"/>
          </w:tcPr>
          <w:p>
            <w:pPr>
              <w:jc w:val="left"/>
            </w:pPr>
            <w:r/>
            <w:r>
              <w:rPr>
                <w:b w:val="0"/>
                <w:sz w:val="17"/>
              </w:rPr>
              <w:t>Auditor</w:t>
            </w:r>
          </w:p>
        </w:tc>
        <w:tc>
          <w:tcPr>
            <w:tcW w:type="dxa" w:w="964"/>
          </w:tcPr>
          <w:p>
            <w:pPr>
              <w:jc w:val="left"/>
            </w:pPr>
            <w:r/>
            <w:r>
              <w:rPr>
                <w:b w:val="0"/>
                <w:sz w:val="17"/>
              </w:rPr>
              <w:t>COL</w:t>
            </w:r>
          </w:p>
        </w:tc>
        <w:tc>
          <w:tcPr>
            <w:tcW w:type="dxa" w:w="4309"/>
          </w:tcPr>
          <w:p>
            <w:pPr>
              <w:jc w:val="left"/>
            </w:pPr>
            <w:r/>
            <w:r>
              <w:rPr>
                <w:b w:val="0"/>
                <w:sz w:val="17"/>
              </w:rPr>
              <w:t>ISA 402; AICPA SOC 2 and SOC for Cybersecurity reports</w:t>
            </w:r>
          </w:p>
        </w:tc>
        <w:tc>
          <w:tcPr>
            <w:tcW w:type="dxa" w:w="3969"/>
          </w:tcPr>
          <w:p>
            <w:pPr>
              <w:jc w:val="left"/>
            </w:pPr>
            <w:r/>
            <w:r>
              <w:rPr>
                <w:b w:val="0"/>
                <w:sz w:val="17"/>
              </w:rPr>
              <w:t>Kahyaoğlu &amp; Çalıyurt (2018) [AICPA framework within assurance process]</w:t>
            </w:r>
          </w:p>
        </w:tc>
        <w:tc>
          <w:tcPr>
            <w:tcW w:type="dxa" w:w="907"/>
          </w:tcPr>
          <w:p>
            <w:pPr>
              <w:jc w:val="left"/>
            </w:pPr>
            <w:r/>
            <w:r>
              <w:rPr>
                <w:b w:val="0"/>
                <w:sz w:val="17"/>
              </w:rPr>
              <w:t>S+R</w:t>
            </w:r>
          </w:p>
        </w:tc>
      </w:tr>
      <w:tr>
        <w:tc>
          <w:tcPr>
            <w:tcW w:type="dxa" w:w="680"/>
          </w:tcPr>
          <w:p>
            <w:pPr>
              <w:jc w:val="left"/>
            </w:pPr>
            <w:r/>
            <w:r>
              <w:rPr>
                <w:b w:val="0"/>
                <w:sz w:val="17"/>
              </w:rPr>
              <w:t>A06</w:t>
            </w:r>
          </w:p>
        </w:tc>
        <w:tc>
          <w:tcPr>
            <w:tcW w:type="dxa" w:w="2211"/>
          </w:tcPr>
          <w:p>
            <w:pPr>
              <w:jc w:val="left"/>
            </w:pPr>
            <w:r/>
            <w:r>
              <w:rPr>
                <w:b w:val="0"/>
                <w:sz w:val="17"/>
              </w:rPr>
              <w:t>Auditor's technical competence and use of experts</w:t>
            </w:r>
          </w:p>
        </w:tc>
        <w:tc>
          <w:tcPr>
            <w:tcW w:type="dxa" w:w="1361"/>
          </w:tcPr>
          <w:p>
            <w:pPr>
              <w:jc w:val="left"/>
            </w:pPr>
            <w:r/>
            <w:r>
              <w:rPr>
                <w:b w:val="0"/>
                <w:sz w:val="17"/>
              </w:rPr>
              <w:t>Auditor</w:t>
            </w:r>
          </w:p>
        </w:tc>
        <w:tc>
          <w:tcPr>
            <w:tcW w:type="dxa" w:w="964"/>
          </w:tcPr>
          <w:p>
            <w:pPr>
              <w:jc w:val="left"/>
            </w:pPr>
            <w:r/>
            <w:r>
              <w:rPr>
                <w:b w:val="0"/>
                <w:sz w:val="17"/>
              </w:rPr>
              <w:t>COL</w:t>
            </w:r>
          </w:p>
        </w:tc>
        <w:tc>
          <w:tcPr>
            <w:tcW w:type="dxa" w:w="4309"/>
          </w:tcPr>
          <w:p>
            <w:pPr>
              <w:jc w:val="left"/>
            </w:pPr>
            <w:r/>
            <w:r>
              <w:rPr>
                <w:b w:val="0"/>
                <w:sz w:val="17"/>
              </w:rPr>
              <w:t>ISA 620; ISA 220; ISQM 1; IIA GIAS 2024</w:t>
            </w:r>
          </w:p>
        </w:tc>
        <w:tc>
          <w:tcPr>
            <w:tcW w:type="dxa" w:w="3969"/>
          </w:tcPr>
          <w:p>
            <w:pPr>
              <w:jc w:val="left"/>
            </w:pPr>
            <w:r/>
            <w:r>
              <w:rPr>
                <w:b w:val="0"/>
                <w:sz w:val="17"/>
              </w:rPr>
              <w:t>Islam et al. (2018) [characteristics of the internal audit function]; Steinbart et al. (2018) [internal audit–information security relationship]; Hermanson et al. (2000) [specialists and frequency of IT evaluations]</w:t>
            </w:r>
          </w:p>
        </w:tc>
        <w:tc>
          <w:tcPr>
            <w:tcW w:type="dxa" w:w="907"/>
          </w:tcPr>
          <w:p>
            <w:pPr>
              <w:jc w:val="left"/>
            </w:pPr>
            <w:r/>
            <w:r>
              <w:rPr>
                <w:b w:val="0"/>
                <w:sz w:val="17"/>
              </w:rPr>
              <w:t>S+R</w:t>
            </w:r>
          </w:p>
        </w:tc>
      </w:tr>
      <w:tr>
        <w:tc>
          <w:tcPr>
            <w:tcW w:type="dxa" w:w="680"/>
          </w:tcPr>
          <w:p>
            <w:pPr>
              <w:jc w:val="left"/>
            </w:pPr>
            <w:r/>
            <w:r>
              <w:rPr>
                <w:b w:val="0"/>
                <w:sz w:val="17"/>
              </w:rPr>
              <w:t>A07</w:t>
            </w:r>
          </w:p>
        </w:tc>
        <w:tc>
          <w:tcPr>
            <w:tcW w:type="dxa" w:w="2211"/>
          </w:tcPr>
          <w:p>
            <w:pPr>
              <w:jc w:val="left"/>
            </w:pPr>
            <w:r/>
            <w:r>
              <w:rPr>
                <w:b w:val="0"/>
                <w:sz w:val="17"/>
              </w:rPr>
              <w:t>Effect of cyber incidents on the financial statements and disclosure</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450; ISA 560; ISA 570; ISA 250</w:t>
            </w:r>
          </w:p>
        </w:tc>
        <w:tc>
          <w:tcPr>
            <w:tcW w:type="dxa" w:w="3969"/>
          </w:tcPr>
          <w:p>
            <w:pPr>
              <w:jc w:val="left"/>
            </w:pPr>
            <w:r/>
            <w:r>
              <w:rPr>
                <w:b w:val="0"/>
                <w:sz w:val="17"/>
              </w:rPr>
              <w:t>Li et al. (2020) [audit fee response to cyber incidents]; Sari et al. (2023) [disclosure of cyber risk management]</w:t>
            </w:r>
          </w:p>
        </w:tc>
        <w:tc>
          <w:tcPr>
            <w:tcW w:type="dxa" w:w="907"/>
          </w:tcPr>
          <w:p>
            <w:pPr>
              <w:jc w:val="left"/>
            </w:pPr>
            <w:r/>
            <w:r>
              <w:rPr>
                <w:b w:val="0"/>
                <w:sz w:val="17"/>
              </w:rPr>
              <w:t>S+R</w:t>
            </w:r>
          </w:p>
        </w:tc>
      </w:tr>
      <w:tr>
        <w:tc>
          <w:tcPr>
            <w:tcW w:type="dxa" w:w="680"/>
          </w:tcPr>
          <w:p>
            <w:pPr>
              <w:jc w:val="left"/>
            </w:pPr>
            <w:r/>
            <w:r>
              <w:rPr>
                <w:b w:val="0"/>
                <w:sz w:val="17"/>
              </w:rPr>
              <w:t>A08</w:t>
            </w:r>
          </w:p>
        </w:tc>
        <w:tc>
          <w:tcPr>
            <w:tcW w:type="dxa" w:w="2211"/>
          </w:tcPr>
          <w:p>
            <w:pPr>
              <w:jc w:val="left"/>
            </w:pPr>
            <w:r/>
            <w:r>
              <w:rPr>
                <w:b w:val="0"/>
                <w:sz w:val="17"/>
              </w:rPr>
              <w:t>Communication with those charged with governance and reporting of control deficiencies</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260; ISA 265; IIA GIAS 2024</w:t>
            </w:r>
          </w:p>
        </w:tc>
        <w:tc>
          <w:tcPr>
            <w:tcW w:type="dxa" w:w="3969"/>
          </w:tcPr>
          <w:p>
            <w:pPr>
              <w:jc w:val="left"/>
            </w:pPr>
            <w:r/>
            <w:r>
              <w:rPr>
                <w:b w:val="0"/>
                <w:sz w:val="17"/>
              </w:rPr>
              <w:t>Slapničar et al. (2022) [reporting to the board]; Islam et al. (2018) [audit committee]</w:t>
            </w:r>
          </w:p>
        </w:tc>
        <w:tc>
          <w:tcPr>
            <w:tcW w:type="dxa" w:w="907"/>
          </w:tcPr>
          <w:p>
            <w:pPr>
              <w:jc w:val="left"/>
            </w:pPr>
            <w:r/>
            <w:r>
              <w:rPr>
                <w:b w:val="0"/>
                <w:sz w:val="17"/>
              </w:rPr>
              <w:t>S+R</w:t>
            </w:r>
          </w:p>
        </w:tc>
      </w:tr>
      <w:tr>
        <w:tc>
          <w:tcPr>
            <w:tcW w:type="dxa" w:w="680"/>
          </w:tcPr>
          <w:p>
            <w:pPr>
              <w:jc w:val="left"/>
            </w:pPr>
            <w:r/>
            <w:r>
              <w:rPr>
                <w:b w:val="0"/>
                <w:sz w:val="17"/>
              </w:rPr>
              <w:t>A09</w:t>
            </w:r>
          </w:p>
        </w:tc>
        <w:tc>
          <w:tcPr>
            <w:tcW w:type="dxa" w:w="2211"/>
          </w:tcPr>
          <w:p>
            <w:pPr>
              <w:jc w:val="left"/>
            </w:pPr>
            <w:r/>
            <w:r>
              <w:rPr>
                <w:b w:val="0"/>
                <w:sz w:val="17"/>
              </w:rPr>
              <w:t>Professional judgment and skepticism in cyber risk</w:t>
            </w:r>
          </w:p>
        </w:tc>
        <w:tc>
          <w:tcPr>
            <w:tcW w:type="dxa" w:w="1361"/>
          </w:tcPr>
          <w:p>
            <w:pPr>
              <w:jc w:val="left"/>
            </w:pPr>
            <w:r/>
            <w:r>
              <w:rPr>
                <w:b w:val="0"/>
                <w:sz w:val="17"/>
              </w:rPr>
              <w:t>Auditor</w:t>
            </w:r>
          </w:p>
        </w:tc>
        <w:tc>
          <w:tcPr>
            <w:tcW w:type="dxa" w:w="964"/>
          </w:tcPr>
          <w:p>
            <w:pPr>
              <w:jc w:val="left"/>
            </w:pPr>
            <w:r/>
            <w:r>
              <w:rPr>
                <w:b w:val="0"/>
                <w:sz w:val="17"/>
              </w:rPr>
              <w:t>PEF</w:t>
            </w:r>
          </w:p>
        </w:tc>
        <w:tc>
          <w:tcPr>
            <w:tcW w:type="dxa" w:w="4309"/>
          </w:tcPr>
          <w:p>
            <w:pPr>
              <w:jc w:val="left"/>
            </w:pPr>
            <w:r/>
            <w:r>
              <w:rPr>
                <w:b w:val="0"/>
                <w:sz w:val="17"/>
              </w:rPr>
              <w:t>ISA 200</w:t>
            </w:r>
          </w:p>
        </w:tc>
        <w:tc>
          <w:tcPr>
            <w:tcW w:type="dxa" w:w="3969"/>
          </w:tcPr>
          <w:p>
            <w:pPr>
              <w:jc w:val="left"/>
            </w:pPr>
            <w:r/>
            <w:r>
              <w:rPr>
                <w:b w:val="0"/>
                <w:sz w:val="17"/>
              </w:rPr>
              <w:t>—</w:t>
            </w:r>
          </w:p>
        </w:tc>
        <w:tc>
          <w:tcPr>
            <w:tcW w:type="dxa" w:w="907"/>
          </w:tcPr>
          <w:p>
            <w:pPr>
              <w:jc w:val="left"/>
            </w:pPr>
            <w:r/>
            <w:r>
              <w:rPr>
                <w:b w:val="0"/>
                <w:sz w:val="17"/>
              </w:rPr>
              <w:t>S</w:t>
            </w:r>
          </w:p>
        </w:tc>
      </w:tr>
    </w:tbl>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