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b w:val="0"/>
          <w:color w:val="5A5A5A"/>
          <w:sz w:val="19"/>
        </w:rPr>
        <w:t>Paper 2: Introduction, Theoretical Background and Methodology</w:t>
      </w:r>
    </w:p>
    <w:p>
      <w:pPr>
        <w:spacing w:after="200" w:line="288" w:lineRule="auto"/>
        <w:jc w:val="center"/>
      </w:pPr>
      <w:r>
        <w:rPr>
          <w:b/>
          <w:color w:val="1F3864"/>
          <w:sz w:val="26"/>
        </w:rPr>
        <w:t>Working title: How cyber risk assessment works in audits: A structural model of auditors' and audited entities' practices in Iran</w:t>
      </w:r>
    </w:p>
    <w:p>
      <w:pPr>
        <w:spacing w:after="140" w:line="288" w:lineRule="auto"/>
        <w:jc w:val="left"/>
      </w:pPr>
      <w:r>
        <w:rPr>
          <w:b/>
          <w:color w:val="1F3864"/>
          <w:sz w:val="30"/>
        </w:rPr>
        <w:t>1. Introduction</w:t>
      </w:r>
    </w:p>
    <w:p>
      <w:pPr>
        <w:spacing w:after="140" w:line="360" w:lineRule="auto"/>
        <w:jc w:val="both"/>
      </w:pPr>
      <w:r>
        <w:rPr>
          <w:b w:val="0"/>
        </w:rPr>
        <w:t>A list of components is not yet an explanation. Suppose the profession agreed tomorrow on what a cyber risk assessment in an audit comprises: threats identified, controls evaluated, risk judged, monitoring maintained, findings reported. The agreement would give auditors a checklist and standard setters a vocabulary, but it would not tell either which of these activities make the assessment good, in what order their effects run, or what to do when one of them is weak. A checklist describes coverage; an explanation describes mechanism. This paper is about mechanism.</w:t>
      </w:r>
    </w:p>
    <w:p>
      <w:pPr>
        <w:spacing w:after="140" w:line="360" w:lineRule="auto"/>
        <w:jc w:val="both"/>
      </w:pPr>
      <w:r>
        <w:rPr>
          <w:b w:val="0"/>
        </w:rPr>
        <w:t>The need is practical. Standards prescribe activities in sequence. ISA 315 (Revised 2019) asks the auditor to understand the IT environment, to identify the IT applications and general IT controls that matter, and to identify and assess the risks arising from IT before responding to them (IAASB, 2019), and the Cybersecurity Topical Requirement obliges internal auditors to follow defined requirements wherever an engagement has a cybersecurity component (IIA, 2025). They prescribe the sequence of activities but not the relationships among them: how much of the quality of the final judgment is owed to identification, how much to the evaluation of controls, and what difference it makes who interprets the technical evidence.</w:t>
      </w:r>
    </w:p>
    <w:p>
      <w:pPr>
        <w:spacing w:after="140" w:line="360" w:lineRule="auto"/>
        <w:jc w:val="both"/>
      </w:pPr>
      <w:r>
        <w:rPr>
          <w:b w:val="0"/>
        </w:rPr>
        <w:t>Prior research has examined cybersecurity audit mostly through correlates and indices. Hermanson et al. (2000) described where internal auditors direct their IT attention, and Bedard et al. (2005) examined how information systems risk enters audit planning. Islam et al. (2018) related the extent of cybersecurity audit to characteristics of the internal audit function, governance and the risk function. Steinbart et al. (2018) studied the relationship between the internal audit and information security functions in terms of its consequences for security outcomes, and Vuko et al. (2024) examined the drivers of cybersecurity audit effectiveness through a neo-institutional lens. The closest the literature comes to a structure is the planning, performing and reporting index of Slapničar et al. (2022), who find planning and performing strongly related and reporting to the board more loosely tied to both, and an index that tracks the maturity of cyber risk management but not the probability of a successful attack.</w:t>
      </w:r>
    </w:p>
    <w:p>
      <w:pPr>
        <w:spacing w:after="140" w:line="360" w:lineRule="auto"/>
        <w:jc w:val="both"/>
      </w:pPr>
      <w:r>
        <w:rPr>
          <w:b w:val="0"/>
        </w:rPr>
        <w:t>These studies tell us much about what goes with how much cybersecurity audit is done and how effective it is judged to be. They tell us little about the links in between: the route by which what an auditor identifies and evaluates becomes a judgment about risk, and the route by which a judgment becomes learning and effective communication. Three gaps follow. The chain gap: to our knowledge no study models identification, control evaluation, judgment, monitoring and effectiveness as a connected sequence. The interpretation gap: competence and collaboration with specialists are recognized as determinants (Hermanson et al., 2000; Islam et al., 2018; Steinbart et al., 2018), but are not modelled as the condition under which technical information changes judgment. The vantage-point gap: the chain is examined from one side at a time, so we do not know whether it operates alike for audited entities and for auditors.</w:t>
      </w:r>
    </w:p>
    <w:p>
      <w:pPr>
        <w:spacing w:after="140" w:line="360" w:lineRule="auto"/>
        <w:jc w:val="both"/>
      </w:pPr>
      <w:r>
        <w:rPr>
          <w:b w:val="0"/>
        </w:rPr>
        <w:t>Theory gives reason to expect a chain with a bend. The audit risk model implies that the quality of what is identified and evaluated determines the quality of the judgment, and thereby of what is communicated. Capability theories imply that converting technical information into judgment depends on competence and collaboration (Barney, 1991; Teece et al., 1997). Agency theory implies that where the assessor does not own the system, interpretation matters more for the assessor than for the owner (Jensen &amp; Meckling, 1976). If the chain has this shape, and bends where theory says it should, the weakest link is not always the one most often tested.</w:t>
      </w:r>
    </w:p>
    <w:p>
      <w:pPr>
        <w:spacing w:after="140" w:line="360" w:lineRule="auto"/>
        <w:jc w:val="both"/>
      </w:pPr>
      <w:r>
        <w:rPr>
          <w:b w:val="0"/>
        </w:rPr>
        <w:t>The setting adds a boundary condition. In a companion study (Authors, [year]) we identified and validated the components of cyber risk assessment in auditing in Iran with two expert panels, one drawn from audited entities and one from auditors, and summarized them into six constructs: threat and vulnerability identification, control maturity and effectiveness evaluation, auditor–specialist collaboration and competence, likelihood, consequence and residual-risk judgment, continuous monitoring and organizational learning, and the effectiveness of the assessment process. Iranian entities and auditors operate under regulatory, infrastructure and sanctions conditions that differ from those in which most of the evidence above was gathered, and institutional and contingency perspectives (DiMaggio &amp; Powell, 1983; Donaldson, 2001) warn that a chain validated in one setting cannot be assumed to hold in another. To our knowledge, the chain has not been tested in Iran, nor from both sides.</w:t>
      </w:r>
    </w:p>
    <w:p>
      <w:pPr>
        <w:spacing w:after="140" w:line="360" w:lineRule="auto"/>
        <w:jc w:val="both"/>
      </w:pPr>
      <w:r>
        <w:rPr>
          <w:b w:val="0"/>
        </w:rPr>
        <w:t>We therefore ask four questions. RQ1: To what extent do threat and vulnerability identification and control evaluation shape the judgment about residual risk? RQ2: What role does auditor–specialist collaboration and competence play, directly and as a condition for the first relationships? RQ3: Does the judgment carry the effect of identification and control evaluation to the effectiveness of the process, directly and through monitoring and learning? RQ4: Does the chain operate differently for audited entities and for auditors? We survey professionals from audited entities and auditors in Iran, estimate the model with variance-based structural equation modelling, test measurement invariance across the two groups and then compare paths.</w:t>
      </w:r>
    </w:p>
    <w:p>
      <w:pPr>
        <w:spacing w:after="140" w:line="360" w:lineRule="auto"/>
        <w:jc w:val="both"/>
      </w:pPr>
      <w:r>
        <w:rPr>
          <w:b w:val="0"/>
          <w:color w:val="C00000"/>
        </w:rPr>
        <w:t>[Insert two or three sentences summarizing the principal findings once the analysis is complete: which links hold, whether collaboration conditions them, whether judgment mediates, and where the two groups differ.]</w:t>
      </w:r>
    </w:p>
    <w:p>
      <w:pPr>
        <w:spacing w:after="140" w:line="360" w:lineRule="auto"/>
        <w:jc w:val="both"/>
      </w:pPr>
      <w:r>
        <w:rPr>
          <w:b w:val="0"/>
        </w:rPr>
        <w:t>The study makes four contributions. First, it turns a checklist into a mechanism: it provides the first structural model of cyber risk assessment in auditing that links identification and control evaluation, through judgment, to learning and effectiveness. Second, it tests the conditional role of collaboration and competence, explaining when technical evidence changes audit judgment rather than merely recording that specialists matter. Third, it tests the chain on both sides of the audit relationship, which shows whether single-sided evidence generalizes. Fourth, it supplies boundary conditions from an emerging, sanctioned setting. For practice, the model identifies where investment pays: if judgment mediates, effort belongs in interpretation and not only in more testing; if collaboration conditions the chain, coordination between auditors and specialists must be designed, not assumed; if the groups differ, standards and reporting must be tailored to the side that receives them.</w:t>
      </w:r>
    </w:p>
    <w:p>
      <w:pPr>
        <w:spacing w:after="140" w:line="360" w:lineRule="auto"/>
        <w:jc w:val="both"/>
      </w:pPr>
      <w:r>
        <w:rPr>
          <w:b w:val="0"/>
        </w:rPr>
        <w:t>The stakes are practical as well as scholarly. Until the mechanism is understood, the weakest link in an assessment cannot be found, resources cannot be directed to it and standards cannot be calibrated to the conditions in which they are applied. This paper models the mechanism, tests it with those who work within it and shows where the audit relationship bends it. The remainder of the paper is organized as follows. Section 2 develops the theoretical background and hypotheses. Section 3 describes the sample, measures and analysis. Section 4 reports the results, including measurement invariance and group comparison. Section 5 discusses the findings, implications and limitations, and directions for future research.</w:t>
      </w:r>
    </w:p>
    <w:p>
      <w:pPr>
        <w:spacing w:after="140" w:line="288" w:lineRule="auto"/>
        <w:jc w:val="left"/>
      </w:pPr>
      <w:r>
        <w:rPr>
          <w:b/>
          <w:color w:val="1F3864"/>
          <w:sz w:val="30"/>
        </w:rPr>
        <w:t>2. Theoretical Background and Hypothesis Development</w:t>
      </w:r>
    </w:p>
    <w:p>
      <w:pPr>
        <w:spacing w:after="140" w:line="336" w:lineRule="auto"/>
        <w:jc w:val="both"/>
      </w:pPr>
      <w:r>
        <w:rPr>
          <w:b w:val="0"/>
        </w:rPr>
        <w:t>Theory has three jobs in this study. It must define the links of the chain as constructs that can be measured. It must explain why the links should be connected in the order we propose. And it must explain why the vantage point of the observer and the setting of the assessment should bend the chain. We take the jobs in turn, and the hypotheses follow from the answers.</w:t>
      </w:r>
    </w:p>
    <w:p>
      <w:pPr>
        <w:spacing w:after="100" w:line="288" w:lineRule="auto"/>
        <w:jc w:val="left"/>
      </w:pPr>
      <w:r>
        <w:rPr>
          <w:b/>
          <w:color w:val="1F3864"/>
          <w:sz w:val="25"/>
        </w:rPr>
        <w:t>2.1 The construct and the chain</w:t>
      </w:r>
    </w:p>
    <w:p>
      <w:pPr>
        <w:spacing w:after="140" w:line="336" w:lineRule="auto"/>
        <w:jc w:val="both"/>
      </w:pPr>
      <w:r>
        <w:rPr>
          <w:b w:val="0"/>
        </w:rPr>
        <w:t>We build on the definition and structure developed in the companion study (Authors, [year]). Cyber risk assessment in an audit is the set of activities by which an auditor, working directly or through specialists and entity-prepared information, understands the entity's IT environment, identifies and evaluates cyber-related risks to the reliability of financial reporting and to the controls relied upon, forms and documents a judgment about residual risk, and communicates it to those who must act on it. Three features of this definition matter for a model of mechanisms. The assessor is not the owner of the system, so the assessment is a problem of information asymmetry. The output is a judgment rather than a measurement, which makes its quality depend on its inputs. And the activity is a chain of reliance on specialists, entity descriptions and third-party reports, which puts capability and collaboration inside the construct. In the audit risk model, cyber risk can in our reading enter through inherent risk, because the IT environment adds complexity and change, two of the inherent risk factors named in ISA 315 (Revised 2019), and through control risk, because the controls relied upon depend on general IT controls (IAASB, 2019).</w:t>
      </w:r>
    </w:p>
    <w:p>
      <w:pPr>
        <w:spacing w:after="100" w:line="288" w:lineRule="auto"/>
        <w:jc w:val="left"/>
      </w:pPr>
      <w:r>
        <w:rPr>
          <w:b/>
          <w:color w:val="1F3864"/>
          <w:sz w:val="25"/>
        </w:rPr>
        <w:t>2.2 Constructs and indicators</w:t>
      </w:r>
    </w:p>
    <w:p>
      <w:pPr>
        <w:spacing w:after="140" w:line="336" w:lineRule="auto"/>
        <w:jc w:val="both"/>
      </w:pPr>
      <w:r>
        <w:rPr>
          <w:b w:val="0"/>
        </w:rPr>
        <w:t>The companion study summarizes the validated components into six constructs that measure the extent and quality of assessment practices, not the entity's actual security (Table 1). Two features of the specification matter. First, the constructs form a chain: identification (TVI) and control evaluation (CCE) are inputs, residual-risk judgment (RRJ) is the judgment, and monitoring and learning (MOL) and process effectiveness (PEF) are what the judgment is for. Second, collaboration and competence (COL) is the conditioning construct. Within each construct the components are distinct facets rather than interchangeable symptoms (an asset inventory is not a substitute for a vulnerability review), so the items that represent the components are best treated as formative indicators of their construct, whereas the outcome construct (PEF) is measured reflectively by items derived from its components; the final specification will follow the results of the companion study. Policy and scope, and legal requirements, enter as context variables, together with entity size, sector, respondent experience, professional certification and type of auditor.</w:t>
      </w:r>
    </w:p>
    <w:p>
      <w:pPr>
        <w:spacing w:after="60" w:line="264" w:lineRule="auto"/>
        <w:jc w:val="left"/>
      </w:pPr>
      <w:r>
        <w:rPr>
          <w:b/>
          <w:sz w:val="21"/>
        </w:rPr>
        <w:t>Table 1. Constructs and indicator components</w:t>
      </w:r>
    </w:p>
    <w:tbl>
      <w:tblPr>
        <w:tblStyle w:val="TableGrid"/>
        <w:tblW w:type="auto" w:w="0"/>
        <w:tblLayout w:type="fixed"/>
        <w:tblLook w:firstColumn="1" w:firstRow="1" w:lastColumn="0" w:lastRow="0" w:noHBand="0" w:noVBand="1" w:val="04A0"/>
      </w:tblPr>
      <w:tblGrid>
        <w:gridCol w:w="2041"/>
        <w:gridCol w:w="2268"/>
        <w:gridCol w:w="3628"/>
        <w:gridCol w:w="1417"/>
      </w:tblGrid>
      <w:tr>
        <w:tc>
          <w:tcPr>
            <w:tcW w:type="dxa" w:w="2041"/>
            <w:shd w:val="clear" w:color="auto" w:fill="1F3864"/>
          </w:tcPr>
          <w:p>
            <w:pPr>
              <w:jc w:val="left"/>
            </w:pPr>
            <w:r/>
            <w:r>
              <w:rPr>
                <w:b/>
                <w:color w:val="FFFFFF"/>
                <w:sz w:val="17"/>
              </w:rPr>
              <w:t>Construct</w:t>
            </w:r>
          </w:p>
        </w:tc>
        <w:tc>
          <w:tcPr>
            <w:tcW w:type="dxa" w:w="2268"/>
            <w:shd w:val="clear" w:color="auto" w:fill="1F3864"/>
          </w:tcPr>
          <w:p>
            <w:pPr>
              <w:jc w:val="left"/>
            </w:pPr>
            <w:r/>
            <w:r>
              <w:rPr>
                <w:b/>
                <w:color w:val="FFFFFF"/>
                <w:sz w:val="17"/>
              </w:rPr>
              <w:t>Definition</w:t>
            </w:r>
          </w:p>
        </w:tc>
        <w:tc>
          <w:tcPr>
            <w:tcW w:type="dxa" w:w="3628"/>
            <w:shd w:val="clear" w:color="auto" w:fill="1F3864"/>
          </w:tcPr>
          <w:p>
            <w:pPr>
              <w:jc w:val="left"/>
            </w:pPr>
            <w:r/>
            <w:r>
              <w:rPr>
                <w:b/>
                <w:color w:val="FFFFFF"/>
                <w:sz w:val="17"/>
              </w:rPr>
              <w:t>Indicator components</w:t>
            </w:r>
          </w:p>
        </w:tc>
        <w:tc>
          <w:tcPr>
            <w:tcW w:type="dxa" w:w="1417"/>
            <w:shd w:val="clear" w:color="auto" w:fill="1F3864"/>
          </w:tcPr>
          <w:p>
            <w:pPr>
              <w:jc w:val="left"/>
            </w:pPr>
            <w:r/>
            <w:r>
              <w:rPr>
                <w:b/>
                <w:color w:val="FFFFFF"/>
                <w:sz w:val="17"/>
              </w:rPr>
              <w:t>Measurement</w:t>
            </w:r>
          </w:p>
        </w:tc>
      </w:tr>
      <w:tr>
        <w:tc>
          <w:tcPr>
            <w:tcW w:type="dxa" w:w="2041"/>
          </w:tcPr>
          <w:p>
            <w:pPr>
              <w:jc w:val="left"/>
            </w:pPr>
            <w:r/>
            <w:r>
              <w:rPr>
                <w:b w:val="0"/>
                <w:sz w:val="17"/>
              </w:rPr>
              <w:t>TVI: Threat and vulnerability identification</w:t>
            </w:r>
          </w:p>
        </w:tc>
        <w:tc>
          <w:tcPr>
            <w:tcW w:type="dxa" w:w="2268"/>
          </w:tcPr>
          <w:p>
            <w:pPr>
              <w:jc w:val="left"/>
            </w:pPr>
            <w:r/>
            <w:r>
              <w:rPr>
                <w:b w:val="0"/>
                <w:sz w:val="17"/>
              </w:rPr>
              <w:t>Extent and quality of identifying assets, threats and vulnerabilities</w:t>
            </w:r>
          </w:p>
        </w:tc>
        <w:tc>
          <w:tcPr>
            <w:tcW w:type="dxa" w:w="3628"/>
          </w:tcPr>
          <w:p>
            <w:pPr>
              <w:jc w:val="left"/>
            </w:pPr>
            <w:r/>
            <w:r>
              <w:rPr>
                <w:b w:val="0"/>
                <w:sz w:val="17"/>
              </w:rPr>
              <w:t>C04 Asset identification and classification; C05 Threat identification and threat intelligence; C06 Vulnerability management and penetration testing; A01 Understanding the entity, its IT environment and information system</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CCE: Control maturity and effectiveness evaluation</w:t>
            </w:r>
          </w:p>
        </w:tc>
        <w:tc>
          <w:tcPr>
            <w:tcW w:type="dxa" w:w="2268"/>
          </w:tcPr>
          <w:p>
            <w:pPr>
              <w:jc w:val="left"/>
            </w:pPr>
            <w:r/>
            <w:r>
              <w:rPr>
                <w:b w:val="0"/>
                <w:sz w:val="17"/>
              </w:rPr>
              <w:t>Evaluating design, implementation and operating effectiveness of controls</w:t>
            </w:r>
          </w:p>
        </w:tc>
        <w:tc>
          <w:tcPr>
            <w:tcW w:type="dxa" w:w="3628"/>
          </w:tcPr>
          <w:p>
            <w:pPr>
              <w:jc w:val="left"/>
            </w:pPr>
            <w:r/>
            <w:r>
              <w:rPr>
                <w:b w:val="0"/>
                <w:sz w:val="17"/>
              </w:rPr>
              <w:t>C09 Control implementation and risk treatment plan; C10 Access control and authentication; C11 Data protection and cryptography; C12 Network, infrastructure and physical security; C13 Secure development and change management; C14 Security awareness and training; C15 Third-party and supply chain risk; A03 Evaluating the design and effectiveness of IT general controls; A04 Sufficiency and reliability of electronic audit evidence</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COL: Auditor–specialist collaboration and competence</w:t>
            </w:r>
          </w:p>
        </w:tc>
        <w:tc>
          <w:tcPr>
            <w:tcW w:type="dxa" w:w="2268"/>
          </w:tcPr>
          <w:p>
            <w:pPr>
              <w:jc w:val="left"/>
            </w:pPr>
            <w:r/>
            <w:r>
              <w:rPr>
                <w:b w:val="0"/>
                <w:sz w:val="17"/>
              </w:rPr>
              <w:t>Auditor technical knowledge, specialist involvement and role coordination</w:t>
            </w:r>
          </w:p>
        </w:tc>
        <w:tc>
          <w:tcPr>
            <w:tcW w:type="dxa" w:w="3628"/>
          </w:tcPr>
          <w:p>
            <w:pPr>
              <w:jc w:val="left"/>
            </w:pPr>
            <w:r/>
            <w:r>
              <w:rPr>
                <w:b w:val="0"/>
                <w:sz w:val="17"/>
              </w:rPr>
              <w:t>C01 Governance and oversight of cyber risk by senior management; A05 Reliance on service organization reports; A06 Auditor's technical competence and use of experts</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RRJ: Likelihood, consequence and residual-risk judgment</w:t>
            </w:r>
          </w:p>
        </w:tc>
        <w:tc>
          <w:tcPr>
            <w:tcW w:type="dxa" w:w="2268"/>
          </w:tcPr>
          <w:p>
            <w:pPr>
              <w:jc w:val="left"/>
            </w:pPr>
            <w:r/>
            <w:r>
              <w:rPr>
                <w:b w:val="0"/>
                <w:sz w:val="17"/>
              </w:rPr>
              <w:t>Estimating, ranking and prioritizing risk with controls taken into account</w:t>
            </w:r>
          </w:p>
        </w:tc>
        <w:tc>
          <w:tcPr>
            <w:tcW w:type="dxa" w:w="3628"/>
          </w:tcPr>
          <w:p>
            <w:pPr>
              <w:jc w:val="left"/>
            </w:pPr>
            <w:r/>
            <w:r>
              <w:rPr>
                <w:b w:val="0"/>
                <w:sz w:val="17"/>
              </w:rPr>
              <w:t>C07 Risk analysis and evaluation (likelihood, impact, ranking); C08 Cyber fraud risk and environmental change; A02 Assessing the effect of cyber risk on the risks of material misstatement</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MOL: Continuous monitoring and organizational learning</w:t>
            </w:r>
          </w:p>
        </w:tc>
        <w:tc>
          <w:tcPr>
            <w:tcW w:type="dxa" w:w="2268"/>
          </w:tcPr>
          <w:p>
            <w:pPr>
              <w:jc w:val="left"/>
            </w:pPr>
            <w:r/>
            <w:r>
              <w:rPr>
                <w:b w:val="0"/>
                <w:sz w:val="17"/>
              </w:rPr>
              <w:t>Reassessment, monitoring, learning from incidents and improvement</w:t>
            </w:r>
          </w:p>
        </w:tc>
        <w:tc>
          <w:tcPr>
            <w:tcW w:type="dxa" w:w="3628"/>
          </w:tcPr>
          <w:p>
            <w:pPr>
              <w:jc w:val="left"/>
            </w:pPr>
            <w:r/>
            <w:r>
              <w:rPr>
                <w:b w:val="0"/>
                <w:sz w:val="17"/>
              </w:rPr>
              <w:t>C16 Continuous monitoring and logging; C17 Incident management and response; C18 Business continuity and disaster recovery; C20 Continual improvement and effectiveness evaluation</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PEF: Effectiveness of the assessment process</w:t>
            </w:r>
          </w:p>
        </w:tc>
        <w:tc>
          <w:tcPr>
            <w:tcW w:type="dxa" w:w="2268"/>
          </w:tcPr>
          <w:p>
            <w:pPr>
              <w:jc w:val="left"/>
            </w:pPr>
            <w:r/>
            <w:r>
              <w:rPr>
                <w:b w:val="0"/>
                <w:sz w:val="17"/>
              </w:rPr>
              <w:t>Completeness, timely reporting, prioritization and follow-up</w:t>
            </w:r>
          </w:p>
        </w:tc>
        <w:tc>
          <w:tcPr>
            <w:tcW w:type="dxa" w:w="3628"/>
          </w:tcPr>
          <w:p>
            <w:pPr>
              <w:jc w:val="left"/>
            </w:pPr>
            <w:r/>
            <w:r>
              <w:rPr>
                <w:b w:val="0"/>
                <w:sz w:val="17"/>
              </w:rPr>
              <w:t>C21 Documentation and risk reporting; A07 Effect of cyber incidents on the financial statements and disclosure; A08 Communication with those charged with governance and reporting of control deficiencies; A09 Professional judgment and skepticism in cyber risk</w:t>
            </w:r>
          </w:p>
        </w:tc>
        <w:tc>
          <w:tcPr>
            <w:tcW w:type="dxa" w:w="1417"/>
          </w:tcPr>
          <w:p>
            <w:pPr>
              <w:jc w:val="left"/>
            </w:pPr>
            <w:r/>
            <w:r>
              <w:rPr>
                <w:b w:val="0"/>
                <w:sz w:val="17"/>
              </w:rPr>
              <w:t>Proposed: reflective outcome; items derived from the components</w:t>
            </w:r>
          </w:p>
        </w:tc>
      </w:tr>
      <w:tr>
        <w:tc>
          <w:tcPr>
            <w:tcW w:type="dxa" w:w="2041"/>
          </w:tcPr>
          <w:p>
            <w:pPr>
              <w:jc w:val="left"/>
            </w:pPr>
            <w:r/>
            <w:r>
              <w:rPr>
                <w:b w:val="0"/>
                <w:sz w:val="17"/>
              </w:rPr>
              <w:t>Context: Context and control variables</w:t>
            </w:r>
          </w:p>
        </w:tc>
        <w:tc>
          <w:tcPr>
            <w:tcW w:type="dxa" w:w="2268"/>
          </w:tcPr>
          <w:p>
            <w:pPr>
              <w:jc w:val="left"/>
            </w:pPr>
            <w:r/>
            <w:r>
              <w:rPr>
                <w:b w:val="0"/>
                <w:sz w:val="17"/>
              </w:rPr>
              <w:t>Policy and scope, legal requirements</w:t>
            </w:r>
          </w:p>
        </w:tc>
        <w:tc>
          <w:tcPr>
            <w:tcW w:type="dxa" w:w="3628"/>
          </w:tcPr>
          <w:p>
            <w:pPr>
              <w:jc w:val="left"/>
            </w:pPr>
            <w:r/>
            <w:r>
              <w:rPr>
                <w:b w:val="0"/>
                <w:sz w:val="17"/>
              </w:rPr>
              <w:t>C02 Cybersecurity policies and strategy; C03 Context, scope and objectives of the assessment; C19 Legal and regulatory compliance and privacy</w:t>
            </w:r>
          </w:p>
        </w:tc>
        <w:tc>
          <w:tcPr>
            <w:tcW w:type="dxa" w:w="1417"/>
          </w:tcPr>
          <w:p>
            <w:pPr>
              <w:jc w:val="left"/>
            </w:pPr>
            <w:r/>
            <w:r>
              <w:rPr>
                <w:b w:val="0"/>
                <w:sz w:val="17"/>
              </w:rPr>
              <w:t>—</w:t>
            </w:r>
          </w:p>
        </w:tc>
      </w:tr>
    </w:tbl>
    <w:p/>
    <w:p>
      <w:pPr>
        <w:spacing w:after="100" w:line="288" w:lineRule="auto"/>
        <w:jc w:val="left"/>
      </w:pPr>
      <w:r>
        <w:rPr>
          <w:b/>
          <w:color w:val="1F3864"/>
          <w:sz w:val="25"/>
        </w:rPr>
        <w:t>2.3 Mechanisms: what each theory explains</w:t>
      </w:r>
    </w:p>
    <w:p>
      <w:pPr>
        <w:spacing w:after="140" w:line="336" w:lineRule="auto"/>
        <w:jc w:val="both"/>
      </w:pPr>
      <w:r>
        <w:rPr>
          <w:b w:val="0"/>
        </w:rPr>
        <w:t>The audit risk model and risk-based auditing explain the chain that organizes the study: information about the entity and its IT environment is turned into an assessment of risk, and the assessment determines the response. The quality of what the auditor identifies and evaluates should therefore determine the quality of the judgment about risk, and the quality of that judgment should determine what is communicated and done.</w:t>
      </w:r>
    </w:p>
    <w:p>
      <w:pPr>
        <w:spacing w:after="140" w:line="336" w:lineRule="auto"/>
        <w:jc w:val="both"/>
      </w:pPr>
      <w:r>
        <w:rPr>
          <w:b w:val="0"/>
        </w:rPr>
        <w:t>Agency theory explains why the vantage point matters. In Jensen and Meckling's (1976) account, monitoring and bonding arise because principals cannot costlessly observe agents; auditing is one such device. In cyber risk the asymmetry is acute: the entity knows its systems, the auditor must form an opinion about them. Reliance on specialists and on entity-prepared descriptions is the price of that asymmetry, and where the two sides weigh components differently, the difference marks where the monitoring relationship is under strain.</w:t>
      </w:r>
    </w:p>
    <w:p>
      <w:pPr>
        <w:spacing w:after="140" w:line="336" w:lineRule="auto"/>
        <w:jc w:val="both"/>
      </w:pPr>
      <w:r>
        <w:rPr>
          <w:b w:val="0"/>
        </w:rPr>
        <w:t>The resource-based view and dynamic capabilities explain why competence, collaboration and learning belong to the construct. Resources that are valuable, rare and hard to imitate sustain performance (Barney, 1991), and capabilities to integrate, build and reconfigure competences allow adaptation to changing environments (Teece et al., 1997). An auditor's technical competence, the working relationship with specialists and the ability to learn from incidents are capabilities in exactly this sense.</w:t>
      </w:r>
    </w:p>
    <w:p>
      <w:pPr>
        <w:spacing w:after="140" w:line="336" w:lineRule="auto"/>
        <w:jc w:val="both"/>
      </w:pPr>
      <w:r>
        <w:rPr>
          <w:b w:val="0"/>
        </w:rPr>
        <w:t>Institutional and contingency theories explain why context matters. The adoption of standards responds to coercive, mimetic and normative pressures (DiMaggio &amp; Powell, 1983), and the effectiveness of a practice depends on its fit with organizational circumstances (Donaldson, 2001). Vuko et al. (2024) apply the institutional lens to cybersecurity audit effectiveness. Together the theories predict that a component can be important yet infeasible where enabling conditions are absent, which is why importance and feasibility are assessed separately.</w:t>
      </w:r>
    </w:p>
    <w:p>
      <w:pPr>
        <w:spacing w:after="140" w:line="336" w:lineRule="auto"/>
        <w:jc w:val="both"/>
      </w:pPr>
      <w:r>
        <w:rPr>
          <w:b w:val="0"/>
        </w:rPr>
        <w:t>The economics of security investment explains why residual-risk judgment has a prioritizing function. Gordon and Loeb (2002) show that the optimal investment in protecting an information set is generally a fraction of the expected loss and that moderately vulnerable information sets may merit more protection than extremely vulnerable ones. An assessment that ranks risks and distinguishes inherent from residual risk is what makes such trade-offs possible.</w:t>
      </w:r>
    </w:p>
    <w:p>
      <w:pPr>
        <w:spacing w:after="100" w:line="288" w:lineRule="auto"/>
        <w:jc w:val="left"/>
      </w:pPr>
      <w:r>
        <w:rPr>
          <w:b/>
          <w:color w:val="1F3864"/>
          <w:sz w:val="25"/>
        </w:rPr>
        <w:t>2.4 Hypotheses</w:t>
      </w:r>
    </w:p>
    <w:p>
      <w:pPr>
        <w:jc w:val="center"/>
      </w:pPr>
      <w:r>
        <w:drawing>
          <wp:inline xmlns:a="http://schemas.openxmlformats.org/drawingml/2006/main" xmlns:pic="http://schemas.openxmlformats.org/drawingml/2006/picture">
            <wp:extent cx="5400000" cy="3136736"/>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400000" cy="3136736"/>
                    </a:xfrm>
                    <a:prstGeom prst="rect"/>
                  </pic:spPr>
                </pic:pic>
              </a:graphicData>
            </a:graphic>
          </wp:inline>
        </w:drawing>
      </w:r>
    </w:p>
    <w:p>
      <w:pPr>
        <w:spacing w:after="140" w:line="264" w:lineRule="auto"/>
        <w:jc w:val="center"/>
      </w:pPr>
      <w:r>
        <w:rPr>
          <w:b w:val="0"/>
          <w:color w:val="5A5A5A"/>
          <w:sz w:val="19"/>
        </w:rPr>
        <w:t>Figure 1. Proposed structural model.</w:t>
      </w:r>
    </w:p>
    <w:p>
      <w:pPr>
        <w:spacing w:after="140" w:line="336" w:lineRule="auto"/>
        <w:jc w:val="both"/>
      </w:pPr>
      <w:r>
        <w:rPr>
          <w:b w:val="0"/>
        </w:rPr>
        <w:t>Inputs to judgment (H1, H2). The audit risk model implies a chain from information to assessment to response. For identification, ISA 315 requires understanding of the IT environment and identification of risks arising from IT before risks of material misstatement are assessed, ISO/IEC 27005:2022 places identification ahead of analysis and evaluation, and the methods literature treats threat, vulnerability and consequence as the triplet whose joint coverage defines a complete assessment (Ganin et al., 2020; Wangen et al., 2018). Hence H1: TVI positively affects RRJ. For control evaluation, the logic is the definition of residual risk itself: a judgment about what remains after controls cannot be better than the evaluation of the controls. ISA 315 requires evaluation of the design and implementation of relevant controls and of general IT controls, and the performing stage in Slapničar et al. (2022) is where such evaluation sits. Hence H2: CCE positively affects RRJ. Both hypotheses concern the quality of assessment practices, not the security of the entity.</w:t>
      </w:r>
    </w:p>
    <w:p>
      <w:pPr>
        <w:spacing w:after="140" w:line="336" w:lineRule="auto"/>
        <w:jc w:val="both"/>
      </w:pPr>
      <w:r>
        <w:rPr>
          <w:b w:val="0"/>
        </w:rPr>
        <w:t>Capability and collaboration (H3, H4, H9). Because the assessor is not the system owner and the output is a judgment, the capacity to interpret technical information is part of the production of the judgment. Under a capabilities view, collaboration between auditor and specialist, together with auditor competence, converts information into judgment. Evidence points the same way: the relationship between internal audit and information security is a recognized determinant question for security outcomes (Steinbart et al., 2018), characteristics of the internal audit function are associated with the extent of cybersecurity audit (Islam et al., 2018), and the presence of specialists was related to the frequency of IT evaluations as early as Hermanson et al. (2000); ISA 620 gives the auditor a formal route to expertise. Hence H3: COL positively affects RRJ. The more consequential claim is H4: COL strengthens the effect of identification (H4a) and of control evaluation (H4b) on judgment. Identification and evaluation produce technical information; whether that information changes the judgment depends on whether someone competent can interpret it in audit terms, which is the second translation, from asset or scenario to assertion. Direct evidence for moderation is scarce, which is why we present H4 as an explicit, novel test. H9 adds a direct path from COL to PEF: coordination and competence also shape how findings are communicated and followed up, beyond the quality of the judgment itself.</w:t>
      </w:r>
    </w:p>
    <w:p>
      <w:pPr>
        <w:spacing w:after="140" w:line="336" w:lineRule="auto"/>
        <w:jc w:val="both"/>
      </w:pPr>
      <w:r>
        <w:rPr>
          <w:b w:val="0"/>
        </w:rPr>
        <w:t>From judgment to learning and effectiveness (H5, H6, H7). A judgment about residual risk has two destinations. The first is the stakeholders who must act on it. H5: RRJ positively affects PEF, because prioritization, the distinction between inherent and residual risk and the clarity of what is reported are products of judgment. Slapničar et al. (2022) find planning and performing tightly linked and reporting more loosely linked, which suggests that the passage from judgment to communication is where effectiveness is won or lost; ISA 260 and ISA 265 regulate that communication. The second destination is the next assessment. H6: RRJ positively affects MOL, because a judgment about what remains defines what must be watched and when reassessment is triggered. This is the dynamic view that Armenia et al. (2021) find missing in static framework use, and it corresponds to the monitoring and improvement requirements of ISO/IEC 27001:2022 and to the improvement category of NIST CSF 2.0. H7: MOL positively affects PEF, because an assessment that is revisited as threats, systems and suppliers change is more complete and timely than one performed once.</w:t>
      </w:r>
    </w:p>
    <w:p>
      <w:pPr>
        <w:spacing w:after="140" w:line="336" w:lineRule="auto"/>
        <w:jc w:val="both"/>
      </w:pPr>
      <w:r>
        <w:rPr>
          <w:b w:val="0"/>
        </w:rPr>
        <w:t>Mediation (H8). If H1, H2 and H5 hold, identification and control evaluation influence effectiveness mainly through judgment: they supply inputs, and judgment turns inputs into prioritized, communicable conclusions. H8: RRJ mediates the effect of TVI (H8a) and of CCE (H8b) on PEF. Partial mediation would indicate that these activities also contribute directly, for instance through the credibility of evidence.</w:t>
      </w:r>
    </w:p>
    <w:p>
      <w:pPr>
        <w:spacing w:after="140" w:line="336" w:lineRule="auto"/>
        <w:jc w:val="both"/>
      </w:pPr>
      <w:r>
        <w:rPr>
          <w:b w:val="0"/>
        </w:rPr>
        <w:t>Vantage point (H10). The same chain is unlikely to operate identically for audited entities and for auditors. Under information asymmetry the entity has direct knowledge of its systems while the auditor depends on the entity and on specialists. We therefore expect interpretation to matter more for auditors: H10a, the effect of COL on RRJ is stronger in the auditor group. Because the auditor's effectiveness is defined largely by what is reported and acted upon, we expect H10b: the effect of RRJ on PEF is stronger in the auditor group. Differences in the remaining paths are examined without directional predictions (H10c). Comparison presupposes measurement invariance, which is tested before any path comparison.</w:t>
      </w:r>
    </w:p>
    <w:p>
      <w:pPr>
        <w:spacing w:after="60" w:line="264" w:lineRule="auto"/>
        <w:jc w:val="left"/>
      </w:pPr>
      <w:r>
        <w:rPr>
          <w:b/>
          <w:sz w:val="21"/>
        </w:rPr>
        <w:t>Table 2. Hypotheses</w:t>
      </w:r>
    </w:p>
    <w:tbl>
      <w:tblPr>
        <w:tblStyle w:val="TableGrid"/>
        <w:tblW w:type="auto" w:w="0"/>
        <w:tblLayout w:type="fixed"/>
        <w:tblLook w:firstColumn="1" w:firstRow="1" w:lastColumn="0" w:lastRow="0" w:noHBand="0" w:noVBand="1" w:val="04A0"/>
      </w:tblPr>
      <w:tblGrid>
        <w:gridCol w:w="1077"/>
        <w:gridCol w:w="3005"/>
        <w:gridCol w:w="2438"/>
        <w:gridCol w:w="2835"/>
      </w:tblGrid>
      <w:tr>
        <w:tc>
          <w:tcPr>
            <w:tcW w:type="dxa" w:w="1077"/>
            <w:shd w:val="clear" w:color="auto" w:fill="1F3864"/>
          </w:tcPr>
          <w:p>
            <w:pPr>
              <w:jc w:val="left"/>
            </w:pPr>
            <w:r/>
            <w:r>
              <w:rPr>
                <w:b/>
                <w:color w:val="FFFFFF"/>
                <w:sz w:val="17"/>
              </w:rPr>
              <w:t>Hypothesis</w:t>
            </w:r>
          </w:p>
        </w:tc>
        <w:tc>
          <w:tcPr>
            <w:tcW w:type="dxa" w:w="3005"/>
            <w:shd w:val="clear" w:color="auto" w:fill="1F3864"/>
          </w:tcPr>
          <w:p>
            <w:pPr>
              <w:jc w:val="left"/>
            </w:pPr>
            <w:r/>
            <w:r>
              <w:rPr>
                <w:b/>
                <w:color w:val="FFFFFF"/>
                <w:sz w:val="17"/>
              </w:rPr>
              <w:t>Statement</w:t>
            </w:r>
          </w:p>
        </w:tc>
        <w:tc>
          <w:tcPr>
            <w:tcW w:type="dxa" w:w="2438"/>
            <w:shd w:val="clear" w:color="auto" w:fill="1F3864"/>
          </w:tcPr>
          <w:p>
            <w:pPr>
              <w:jc w:val="left"/>
            </w:pPr>
            <w:r/>
            <w:r>
              <w:rPr>
                <w:b/>
                <w:color w:val="FFFFFF"/>
                <w:sz w:val="17"/>
              </w:rPr>
              <w:t>Mechanism</w:t>
            </w:r>
          </w:p>
        </w:tc>
        <w:tc>
          <w:tcPr>
            <w:tcW w:type="dxa" w:w="2835"/>
            <w:shd w:val="clear" w:color="auto" w:fill="1F3864"/>
          </w:tcPr>
          <w:p>
            <w:pPr>
              <w:jc w:val="left"/>
            </w:pPr>
            <w:r/>
            <w:r>
              <w:rPr>
                <w:b/>
                <w:color w:val="FFFFFF"/>
                <w:sz w:val="17"/>
              </w:rPr>
              <w:t>Anchors</w:t>
            </w:r>
          </w:p>
        </w:tc>
      </w:tr>
      <w:tr>
        <w:tc>
          <w:tcPr>
            <w:tcW w:type="dxa" w:w="1077"/>
          </w:tcPr>
          <w:p>
            <w:pPr>
              <w:jc w:val="left"/>
            </w:pPr>
            <w:r/>
            <w:r>
              <w:rPr>
                <w:b w:val="0"/>
                <w:sz w:val="17"/>
              </w:rPr>
              <w:t>H1</w:t>
            </w:r>
          </w:p>
        </w:tc>
        <w:tc>
          <w:tcPr>
            <w:tcW w:type="dxa" w:w="3005"/>
          </w:tcPr>
          <w:p>
            <w:pPr>
              <w:jc w:val="left"/>
            </w:pPr>
            <w:r/>
            <w:r>
              <w:rPr>
                <w:b w:val="0"/>
                <w:sz w:val="17"/>
              </w:rPr>
              <w:t>TVI positively affects RRJ.</w:t>
            </w:r>
          </w:p>
        </w:tc>
        <w:tc>
          <w:tcPr>
            <w:tcW w:type="dxa" w:w="2438"/>
          </w:tcPr>
          <w:p>
            <w:pPr>
              <w:jc w:val="left"/>
            </w:pPr>
            <w:r/>
            <w:r>
              <w:rPr>
                <w:b w:val="0"/>
                <w:sz w:val="17"/>
              </w:rPr>
              <w:t>Audit risk model: identification precedes assessment</w:t>
            </w:r>
          </w:p>
        </w:tc>
        <w:tc>
          <w:tcPr>
            <w:tcW w:type="dxa" w:w="2835"/>
          </w:tcPr>
          <w:p>
            <w:pPr>
              <w:jc w:val="left"/>
            </w:pPr>
            <w:r/>
            <w:r>
              <w:rPr>
                <w:b w:val="0"/>
                <w:sz w:val="17"/>
              </w:rPr>
              <w:t>ISA 315; ISO/IEC 27005:2022; Ganin et al. (2020); Wangen et al. (2018)</w:t>
            </w:r>
          </w:p>
        </w:tc>
      </w:tr>
      <w:tr>
        <w:tc>
          <w:tcPr>
            <w:tcW w:type="dxa" w:w="1077"/>
          </w:tcPr>
          <w:p>
            <w:pPr>
              <w:jc w:val="left"/>
            </w:pPr>
            <w:r/>
            <w:r>
              <w:rPr>
                <w:b w:val="0"/>
                <w:sz w:val="17"/>
              </w:rPr>
              <w:t>H2</w:t>
            </w:r>
          </w:p>
        </w:tc>
        <w:tc>
          <w:tcPr>
            <w:tcW w:type="dxa" w:w="3005"/>
          </w:tcPr>
          <w:p>
            <w:pPr>
              <w:jc w:val="left"/>
            </w:pPr>
            <w:r/>
            <w:r>
              <w:rPr>
                <w:b w:val="0"/>
                <w:sz w:val="17"/>
              </w:rPr>
              <w:t>CCE positively affects RRJ.</w:t>
            </w:r>
          </w:p>
        </w:tc>
        <w:tc>
          <w:tcPr>
            <w:tcW w:type="dxa" w:w="2438"/>
          </w:tcPr>
          <w:p>
            <w:pPr>
              <w:jc w:val="left"/>
            </w:pPr>
            <w:r/>
            <w:r>
              <w:rPr>
                <w:b w:val="0"/>
                <w:sz w:val="17"/>
              </w:rPr>
              <w:t>Residual risk presupposes control evaluation</w:t>
            </w:r>
          </w:p>
        </w:tc>
        <w:tc>
          <w:tcPr>
            <w:tcW w:type="dxa" w:w="2835"/>
          </w:tcPr>
          <w:p>
            <w:pPr>
              <w:jc w:val="left"/>
            </w:pPr>
            <w:r/>
            <w:r>
              <w:rPr>
                <w:b w:val="0"/>
                <w:sz w:val="17"/>
              </w:rPr>
              <w:t>ISA 315 (controls, GITC); Slapničar et al. (2022)</w:t>
            </w:r>
          </w:p>
        </w:tc>
      </w:tr>
      <w:tr>
        <w:tc>
          <w:tcPr>
            <w:tcW w:type="dxa" w:w="1077"/>
          </w:tcPr>
          <w:p>
            <w:pPr>
              <w:jc w:val="left"/>
            </w:pPr>
            <w:r/>
            <w:r>
              <w:rPr>
                <w:b w:val="0"/>
                <w:sz w:val="17"/>
              </w:rPr>
              <w:t>H3</w:t>
            </w:r>
          </w:p>
        </w:tc>
        <w:tc>
          <w:tcPr>
            <w:tcW w:type="dxa" w:w="3005"/>
          </w:tcPr>
          <w:p>
            <w:pPr>
              <w:jc w:val="left"/>
            </w:pPr>
            <w:r/>
            <w:r>
              <w:rPr>
                <w:b w:val="0"/>
                <w:sz w:val="17"/>
              </w:rPr>
              <w:t>COL positively affects RRJ.</w:t>
            </w:r>
          </w:p>
        </w:tc>
        <w:tc>
          <w:tcPr>
            <w:tcW w:type="dxa" w:w="2438"/>
          </w:tcPr>
          <w:p>
            <w:pPr>
              <w:jc w:val="left"/>
            </w:pPr>
            <w:r/>
            <w:r>
              <w:rPr>
                <w:b w:val="0"/>
                <w:sz w:val="17"/>
              </w:rPr>
              <w:t>Capabilities convert information into judgment</w:t>
            </w:r>
          </w:p>
        </w:tc>
        <w:tc>
          <w:tcPr>
            <w:tcW w:type="dxa" w:w="2835"/>
          </w:tcPr>
          <w:p>
            <w:pPr>
              <w:jc w:val="left"/>
            </w:pPr>
            <w:r/>
            <w:r>
              <w:rPr>
                <w:b w:val="0"/>
                <w:sz w:val="17"/>
              </w:rPr>
              <w:t>Steinbart et al. (2018); Islam et al. (2018); Hermanson et al. (2000); ISA 620</w:t>
            </w:r>
          </w:p>
        </w:tc>
      </w:tr>
      <w:tr>
        <w:tc>
          <w:tcPr>
            <w:tcW w:type="dxa" w:w="1077"/>
          </w:tcPr>
          <w:p>
            <w:pPr>
              <w:jc w:val="left"/>
            </w:pPr>
            <w:r/>
            <w:r>
              <w:rPr>
                <w:b w:val="0"/>
                <w:sz w:val="17"/>
              </w:rPr>
              <w:t>H4a/b</w:t>
            </w:r>
          </w:p>
        </w:tc>
        <w:tc>
          <w:tcPr>
            <w:tcW w:type="dxa" w:w="3005"/>
          </w:tcPr>
          <w:p>
            <w:pPr>
              <w:jc w:val="left"/>
            </w:pPr>
            <w:r/>
            <w:r>
              <w:rPr>
                <w:b w:val="0"/>
                <w:sz w:val="17"/>
              </w:rPr>
              <w:t>COL strengthens TVI→RRJ (H4a) and CCE→RRJ (H4b).</w:t>
            </w:r>
          </w:p>
        </w:tc>
        <w:tc>
          <w:tcPr>
            <w:tcW w:type="dxa" w:w="2438"/>
          </w:tcPr>
          <w:p>
            <w:pPr>
              <w:jc w:val="left"/>
            </w:pPr>
            <w:r/>
            <w:r>
              <w:rPr>
                <w:b w:val="0"/>
                <w:sz w:val="17"/>
              </w:rPr>
              <w:t>Interpretation of technical information (second translation)</w:t>
            </w:r>
          </w:p>
        </w:tc>
        <w:tc>
          <w:tcPr>
            <w:tcW w:type="dxa" w:w="2835"/>
          </w:tcPr>
          <w:p>
            <w:pPr>
              <w:jc w:val="left"/>
            </w:pPr>
            <w:r/>
            <w:r>
              <w:rPr>
                <w:b w:val="0"/>
                <w:sz w:val="17"/>
              </w:rPr>
              <w:t>Novel; limited direct evidence</w:t>
            </w:r>
          </w:p>
        </w:tc>
      </w:tr>
      <w:tr>
        <w:tc>
          <w:tcPr>
            <w:tcW w:type="dxa" w:w="1077"/>
          </w:tcPr>
          <w:p>
            <w:pPr>
              <w:jc w:val="left"/>
            </w:pPr>
            <w:r/>
            <w:r>
              <w:rPr>
                <w:b w:val="0"/>
                <w:sz w:val="17"/>
              </w:rPr>
              <w:t>H5</w:t>
            </w:r>
          </w:p>
        </w:tc>
        <w:tc>
          <w:tcPr>
            <w:tcW w:type="dxa" w:w="3005"/>
          </w:tcPr>
          <w:p>
            <w:pPr>
              <w:jc w:val="left"/>
            </w:pPr>
            <w:r/>
            <w:r>
              <w:rPr>
                <w:b w:val="0"/>
                <w:sz w:val="17"/>
              </w:rPr>
              <w:t>RRJ positively affects PEF.</w:t>
            </w:r>
          </w:p>
        </w:tc>
        <w:tc>
          <w:tcPr>
            <w:tcW w:type="dxa" w:w="2438"/>
          </w:tcPr>
          <w:p>
            <w:pPr>
              <w:jc w:val="left"/>
            </w:pPr>
            <w:r/>
            <w:r>
              <w:rPr>
                <w:b w:val="0"/>
                <w:sz w:val="17"/>
              </w:rPr>
              <w:t>Prioritization and communication are products of judgment</w:t>
            </w:r>
          </w:p>
        </w:tc>
        <w:tc>
          <w:tcPr>
            <w:tcW w:type="dxa" w:w="2835"/>
          </w:tcPr>
          <w:p>
            <w:pPr>
              <w:jc w:val="left"/>
            </w:pPr>
            <w:r/>
            <w:r>
              <w:rPr>
                <w:b w:val="0"/>
                <w:sz w:val="17"/>
              </w:rPr>
              <w:t>Slapničar et al. (2022); ISA 260, 265</w:t>
            </w:r>
          </w:p>
        </w:tc>
      </w:tr>
      <w:tr>
        <w:tc>
          <w:tcPr>
            <w:tcW w:type="dxa" w:w="1077"/>
          </w:tcPr>
          <w:p>
            <w:pPr>
              <w:jc w:val="left"/>
            </w:pPr>
            <w:r/>
            <w:r>
              <w:rPr>
                <w:b w:val="0"/>
                <w:sz w:val="17"/>
              </w:rPr>
              <w:t>H6</w:t>
            </w:r>
          </w:p>
        </w:tc>
        <w:tc>
          <w:tcPr>
            <w:tcW w:type="dxa" w:w="3005"/>
          </w:tcPr>
          <w:p>
            <w:pPr>
              <w:jc w:val="left"/>
            </w:pPr>
            <w:r/>
            <w:r>
              <w:rPr>
                <w:b w:val="0"/>
                <w:sz w:val="17"/>
              </w:rPr>
              <w:t>RRJ positively affects MOL.</w:t>
            </w:r>
          </w:p>
        </w:tc>
        <w:tc>
          <w:tcPr>
            <w:tcW w:type="dxa" w:w="2438"/>
          </w:tcPr>
          <w:p>
            <w:pPr>
              <w:jc w:val="left"/>
            </w:pPr>
            <w:r/>
            <w:r>
              <w:rPr>
                <w:b w:val="0"/>
                <w:sz w:val="17"/>
              </w:rPr>
              <w:t>Residual risk defines monitoring and reassessment</w:t>
            </w:r>
          </w:p>
        </w:tc>
        <w:tc>
          <w:tcPr>
            <w:tcW w:type="dxa" w:w="2835"/>
          </w:tcPr>
          <w:p>
            <w:pPr>
              <w:jc w:val="left"/>
            </w:pPr>
            <w:r/>
            <w:r>
              <w:rPr>
                <w:b w:val="0"/>
                <w:sz w:val="17"/>
              </w:rPr>
              <w:t>Armenia et al. (2021); ISO/IEC 27001:2022; NIST CSF 2.0</w:t>
            </w:r>
          </w:p>
        </w:tc>
      </w:tr>
      <w:tr>
        <w:tc>
          <w:tcPr>
            <w:tcW w:type="dxa" w:w="1077"/>
          </w:tcPr>
          <w:p>
            <w:pPr>
              <w:jc w:val="left"/>
            </w:pPr>
            <w:r/>
            <w:r>
              <w:rPr>
                <w:b w:val="0"/>
                <w:sz w:val="17"/>
              </w:rPr>
              <w:t>H7</w:t>
            </w:r>
          </w:p>
        </w:tc>
        <w:tc>
          <w:tcPr>
            <w:tcW w:type="dxa" w:w="3005"/>
          </w:tcPr>
          <w:p>
            <w:pPr>
              <w:jc w:val="left"/>
            </w:pPr>
            <w:r/>
            <w:r>
              <w:rPr>
                <w:b w:val="0"/>
                <w:sz w:val="17"/>
              </w:rPr>
              <w:t>MOL positively affects PEF.</w:t>
            </w:r>
          </w:p>
        </w:tc>
        <w:tc>
          <w:tcPr>
            <w:tcW w:type="dxa" w:w="2438"/>
          </w:tcPr>
          <w:p>
            <w:pPr>
              <w:jc w:val="left"/>
            </w:pPr>
            <w:r/>
            <w:r>
              <w:rPr>
                <w:b w:val="0"/>
                <w:sz w:val="17"/>
              </w:rPr>
              <w:t>Revisited assessments are more complete and timely</w:t>
            </w:r>
          </w:p>
        </w:tc>
        <w:tc>
          <w:tcPr>
            <w:tcW w:type="dxa" w:w="2835"/>
          </w:tcPr>
          <w:p>
            <w:pPr>
              <w:jc w:val="left"/>
            </w:pPr>
            <w:r/>
            <w:r>
              <w:rPr>
                <w:b w:val="0"/>
                <w:sz w:val="17"/>
              </w:rPr>
              <w:t>Armenia et al. (2021); Li et al. (2020)</w:t>
            </w:r>
          </w:p>
        </w:tc>
      </w:tr>
      <w:tr>
        <w:tc>
          <w:tcPr>
            <w:tcW w:type="dxa" w:w="1077"/>
          </w:tcPr>
          <w:p>
            <w:pPr>
              <w:jc w:val="left"/>
            </w:pPr>
            <w:r/>
            <w:r>
              <w:rPr>
                <w:b w:val="0"/>
                <w:sz w:val="17"/>
              </w:rPr>
              <w:t>H8a/b</w:t>
            </w:r>
          </w:p>
        </w:tc>
        <w:tc>
          <w:tcPr>
            <w:tcW w:type="dxa" w:w="3005"/>
          </w:tcPr>
          <w:p>
            <w:pPr>
              <w:jc w:val="left"/>
            </w:pPr>
            <w:r/>
            <w:r>
              <w:rPr>
                <w:b w:val="0"/>
                <w:sz w:val="17"/>
              </w:rPr>
              <w:t>RRJ mediates TVI→PEF (H8a) and CCE→PEF (H8b).</w:t>
            </w:r>
          </w:p>
        </w:tc>
        <w:tc>
          <w:tcPr>
            <w:tcW w:type="dxa" w:w="2438"/>
          </w:tcPr>
          <w:p>
            <w:pPr>
              <w:jc w:val="left"/>
            </w:pPr>
            <w:r/>
            <w:r>
              <w:rPr>
                <w:b w:val="0"/>
                <w:sz w:val="17"/>
              </w:rPr>
              <w:t>Inputs act through judgment</w:t>
            </w:r>
          </w:p>
        </w:tc>
        <w:tc>
          <w:tcPr>
            <w:tcW w:type="dxa" w:w="2835"/>
          </w:tcPr>
          <w:p>
            <w:pPr>
              <w:jc w:val="left"/>
            </w:pPr>
            <w:r/>
            <w:r>
              <w:rPr>
                <w:b w:val="0"/>
                <w:sz w:val="17"/>
              </w:rPr>
              <w:t>Follows H1, H2, H5</w:t>
            </w:r>
          </w:p>
        </w:tc>
      </w:tr>
      <w:tr>
        <w:tc>
          <w:tcPr>
            <w:tcW w:type="dxa" w:w="1077"/>
          </w:tcPr>
          <w:p>
            <w:pPr>
              <w:jc w:val="left"/>
            </w:pPr>
            <w:r/>
            <w:r>
              <w:rPr>
                <w:b w:val="0"/>
                <w:sz w:val="17"/>
              </w:rPr>
              <w:t>H9</w:t>
            </w:r>
          </w:p>
        </w:tc>
        <w:tc>
          <w:tcPr>
            <w:tcW w:type="dxa" w:w="3005"/>
          </w:tcPr>
          <w:p>
            <w:pPr>
              <w:jc w:val="left"/>
            </w:pPr>
            <w:r/>
            <w:r>
              <w:rPr>
                <w:b w:val="0"/>
                <w:sz w:val="17"/>
              </w:rPr>
              <w:t>COL positively affects PEF directly.</w:t>
            </w:r>
          </w:p>
        </w:tc>
        <w:tc>
          <w:tcPr>
            <w:tcW w:type="dxa" w:w="2438"/>
          </w:tcPr>
          <w:p>
            <w:pPr>
              <w:jc w:val="left"/>
            </w:pPr>
            <w:r/>
            <w:r>
              <w:rPr>
                <w:b w:val="0"/>
                <w:sz w:val="17"/>
              </w:rPr>
              <w:t>Coordination aids communication and follow-up</w:t>
            </w:r>
          </w:p>
        </w:tc>
        <w:tc>
          <w:tcPr>
            <w:tcW w:type="dxa" w:w="2835"/>
          </w:tcPr>
          <w:p>
            <w:pPr>
              <w:jc w:val="left"/>
            </w:pPr>
            <w:r/>
            <w:r>
              <w:rPr>
                <w:b w:val="0"/>
                <w:sz w:val="17"/>
              </w:rPr>
              <w:t>Slapničar et al. (2022); Islam et al. (2018)</w:t>
            </w:r>
          </w:p>
        </w:tc>
      </w:tr>
      <w:tr>
        <w:tc>
          <w:tcPr>
            <w:tcW w:type="dxa" w:w="1077"/>
          </w:tcPr>
          <w:p>
            <w:pPr>
              <w:jc w:val="left"/>
            </w:pPr>
            <w:r/>
            <w:r>
              <w:rPr>
                <w:b w:val="0"/>
                <w:sz w:val="17"/>
              </w:rPr>
              <w:t>H10a–c</w:t>
            </w:r>
          </w:p>
        </w:tc>
        <w:tc>
          <w:tcPr>
            <w:tcW w:type="dxa" w:w="3005"/>
          </w:tcPr>
          <w:p>
            <w:pPr>
              <w:jc w:val="left"/>
            </w:pPr>
            <w:r/>
            <w:r>
              <w:rPr>
                <w:b w:val="0"/>
                <w:sz w:val="17"/>
              </w:rPr>
              <w:t>Paths differ between entity and auditor groups: COL→RRJ stronger for auditors (a), RRJ→PEF stronger for auditors (b), other paths exploratory (c).</w:t>
            </w:r>
          </w:p>
        </w:tc>
        <w:tc>
          <w:tcPr>
            <w:tcW w:type="dxa" w:w="2438"/>
          </w:tcPr>
          <w:p>
            <w:pPr>
              <w:jc w:val="left"/>
            </w:pPr>
            <w:r/>
            <w:r>
              <w:rPr>
                <w:b w:val="0"/>
                <w:sz w:val="17"/>
              </w:rPr>
              <w:t>Information asymmetry; role salience</w:t>
            </w:r>
          </w:p>
        </w:tc>
        <w:tc>
          <w:tcPr>
            <w:tcW w:type="dxa" w:w="2835"/>
          </w:tcPr>
          <w:p>
            <w:pPr>
              <w:jc w:val="left"/>
            </w:pPr>
            <w:r/>
            <w:r>
              <w:rPr>
                <w:b w:val="0"/>
                <w:sz w:val="17"/>
              </w:rPr>
              <w:t>Jensen &amp; Meckling (1976); multi-group analysis with MICOM</w:t>
            </w:r>
          </w:p>
        </w:tc>
      </w:tr>
    </w:tbl>
    <w:p/>
    <w:p>
      <w:pPr>
        <w:spacing w:after="140" w:line="336" w:lineRule="auto"/>
        <w:jc w:val="both"/>
      </w:pPr>
      <w:r>
        <w:rPr>
          <w:b w:val="0"/>
        </w:rPr>
        <w:t>The theory thus does what it set out to do. It defines the object so that it can be decomposed; it explains why the components should form a chain from identification and evaluation, through judgment, to learning and effectiveness; and it says where vantage point and context should bend that chain. If the chain holds, the components are a structure rather than a checklist; if it bends where theory says it should, the bends are the profession's disagreements, now located and measured.</w:t>
      </w:r>
    </w:p>
    <w:p>
      <w:pPr>
        <w:spacing w:after="140" w:line="288" w:lineRule="auto"/>
        <w:jc w:val="left"/>
      </w:pPr>
      <w:r>
        <w:rPr>
          <w:b/>
          <w:color w:val="1F3864"/>
          <w:sz w:val="30"/>
        </w:rPr>
        <w:t>3. Methodology</w:t>
      </w:r>
    </w:p>
    <w:p>
      <w:pPr>
        <w:spacing w:after="100" w:line="288" w:lineRule="auto"/>
        <w:jc w:val="left"/>
      </w:pPr>
      <w:r>
        <w:rPr>
          <w:b/>
          <w:color w:val="1F3864"/>
          <w:sz w:val="25"/>
        </w:rPr>
        <w:t>3.1 Research design</w:t>
      </w:r>
    </w:p>
    <w:p>
      <w:pPr>
        <w:spacing w:after="140" w:line="336" w:lineRule="auto"/>
        <w:jc w:val="both"/>
      </w:pPr>
      <w:r>
        <w:rPr>
          <w:b w:val="0"/>
        </w:rPr>
        <w:t>The study is a cross-sectional survey of two populations, professionals from audited entities and auditors, that tests the structural model of Section 2 using variance-based structural equation modelling (PLS-SEM). The constructs and their indicators come from the companion study (Authors, [year]). PLS-SEM is chosen because the model is prediction- and theory-development-oriented, contains composite constructs formed from distinct components, includes interaction terms and mediation, and is estimated on samples drawn from small professional populations (Hair et al., 2019).</w:t>
      </w:r>
    </w:p>
    <w:p>
      <w:pPr>
        <w:spacing w:after="100" w:line="288" w:lineRule="auto"/>
        <w:jc w:val="left"/>
      </w:pPr>
      <w:r>
        <w:rPr>
          <w:b/>
          <w:color w:val="1F3864"/>
          <w:sz w:val="25"/>
        </w:rPr>
        <w:t>3.2 Populations, sampling and procedure</w:t>
      </w:r>
    </w:p>
    <w:p>
      <w:pPr>
        <w:spacing w:after="140" w:line="336" w:lineRule="auto"/>
        <w:jc w:val="both"/>
      </w:pPr>
      <w:r>
        <w:rPr>
          <w:b w:val="0"/>
        </w:rPr>
        <w:t>Population A comprises professionals of audited entities with responsibility for, or direct experience of, cyber risk assessment in their dealings with auditors (information security and IT managers, internal auditors, risk managers). Population B comprises auditors with experience of assessing cyber or IT risk in audits (independent auditors, including IT audit specialists in audit firms). A screening question requires at least two years of such experience. Because no complete sampling frame exists, we use purposive sampling through the registers of professional bodies where accessible, institutional contacts and referral, with quotas for sector and organization or firm size, and we report the invited, responding and usable cases and the response rate for each group. The questionnaire is administered online and on paper in Persian, anonymously.</w:t>
      </w:r>
    </w:p>
    <w:p>
      <w:pPr>
        <w:spacing w:after="140" w:line="336" w:lineRule="auto"/>
        <w:jc w:val="both"/>
      </w:pPr>
      <w:r>
        <w:rPr>
          <w:b w:val="0"/>
        </w:rPr>
        <w:t>Sample size was planned with the inverse square root method (Kock &amp; Hadaya, 2018), which gives a minimum n of (2.486 / |p_min|)², where p_min is the smallest path coefficient to be detected at the 5% level (one-tailed) with 80% power. For p_min = 0.25 the minimum is 99 per group. To support the multi-group analysis, and to leave a margin of about 20 per cent above that minimum for incomplete or unusable cases, we target 120 usable responses per group, 240 in total. Assuming a response rate near 40 per cent (a planning assumption), this implies inviting about 300 eligible professionals per group. The value of p_min is a design assumption; after data collection we report the minimum detectable effect for the achieved sample, and where a group falls below the minimum we treat its comparisons, and the interaction hypotheses H4a and H4b, as exploratory.</w:t>
      </w:r>
    </w:p>
    <w:p>
      <w:pPr>
        <w:spacing w:after="100" w:line="288" w:lineRule="auto"/>
        <w:jc w:val="left"/>
      </w:pPr>
      <w:r>
        <w:rPr>
          <w:b/>
          <w:color w:val="1F3864"/>
          <w:sz w:val="25"/>
        </w:rPr>
        <w:t>3.3 Measures</w:t>
      </w:r>
    </w:p>
    <w:p>
      <w:pPr>
        <w:spacing w:after="140" w:line="336" w:lineRule="auto"/>
        <w:jc w:val="both"/>
      </w:pPr>
      <w:r>
        <w:rPr>
          <w:b w:val="0"/>
        </w:rPr>
        <w:t>Items were generated from the components retained by the Delphi study, using the experts' wording and their assignment of components to constructs. Every item has two parallel forms, one for entity respondents (about the cyber risk assessment carried out in the audit of their entity) and one for auditors (about assessments they perform), with identical content so that invariance can be tested. Items use a seven-point extent scale (1 = not at all to 7 = to a very great extent). The instrument was prepared in English, translated into Persian and back-translated (Brislin, 1970), and assessed by seven experts outside the earlier panels for relevance and clarity, summarized by content validity ratios (Lawshe, 1975). A pilot with 30 respondents outside the sample tests clarity and completion time, and a test–retest on 25 pilot respondents after two weeks estimates the stability of single items (intraclass correlation).</w:t>
      </w:r>
    </w:p>
    <w:p>
      <w:pPr>
        <w:spacing w:after="140" w:line="336" w:lineRule="auto"/>
        <w:jc w:val="both"/>
      </w:pPr>
      <w:r>
        <w:rPr>
          <w:b w:val="0"/>
        </w:rPr>
        <w:t>The measurement plan (Table 3) follows from the nature of the constructs. TVI, CCE, COL, RRJ and MOL are composites whose components are distinct facets: an asset inventory is not a substitute for a vulnerability review, and an access-control review is not a substitute for a change-management review. For such constructs the indicators must cover the content domain rather than correlate with one another, and internal consistency is not a criterion (Diamantopoulos &amp; Winklhofer, 2001). Each retained component is therefore represented by one item, and the items form a formative composite for the construct. Several items per component would not add information, and would turn a 30-component instrument into one of about 90 items, which is unrealistic for small and busy professional populations. A component that the Delphi comments show to be multi-faceted receives two items, combined into a first-order composite before entering the construct (a two-stage, reflective–formative specification; Sarstedt et al., 2019). The costs of single items are managed by the content validation, the pilot test–retest and a redundancy item for each composite: a global item summarizing the construct, used to test convergent validity. PEF is the outcome and is measured reflectively: four items derived from the reporting-related components (C21, A07, A08, A09) and two global items on perceived effectiveness. Context variables (C02, C03, C19) enter as single items, together with entity size, sector, respondent experience, certification and type of auditor. If components are dropped, merged or added after the Delphi study, the item counts in Table 3 change accordingly.</w:t>
      </w:r>
    </w:p>
    <w:p>
      <w:pPr>
        <w:spacing w:after="60" w:line="264" w:lineRule="auto"/>
        <w:jc w:val="left"/>
      </w:pPr>
      <w:r>
        <w:rPr>
          <w:b/>
          <w:sz w:val="21"/>
        </w:rPr>
        <w:t>Table 3. Measurement plan (item counts are finalized after the Delphi study)</w:t>
      </w:r>
    </w:p>
    <w:tbl>
      <w:tblPr>
        <w:tblStyle w:val="TableGrid"/>
        <w:tblW w:type="auto" w:w="0"/>
        <w:tblLayout w:type="fixed"/>
        <w:tblLook w:firstColumn="1" w:firstRow="1" w:lastColumn="0" w:lastRow="0" w:noHBand="0" w:noVBand="1" w:val="04A0"/>
      </w:tblPr>
      <w:tblGrid>
        <w:gridCol w:w="1020"/>
        <w:gridCol w:w="1701"/>
        <w:gridCol w:w="2608"/>
        <w:gridCol w:w="1020"/>
        <w:gridCol w:w="2835"/>
      </w:tblGrid>
      <w:tr>
        <w:tc>
          <w:tcPr>
            <w:tcW w:type="dxa" w:w="1020"/>
            <w:shd w:val="clear" w:color="auto" w:fill="1F3864"/>
          </w:tcPr>
          <w:p>
            <w:pPr>
              <w:jc w:val="left"/>
            </w:pPr>
            <w:r/>
            <w:r>
              <w:rPr>
                <w:b/>
                <w:color w:val="FFFFFF"/>
                <w:sz w:val="17"/>
              </w:rPr>
              <w:t>Construct</w:t>
            </w:r>
          </w:p>
        </w:tc>
        <w:tc>
          <w:tcPr>
            <w:tcW w:type="dxa" w:w="1701"/>
            <w:shd w:val="clear" w:color="auto" w:fill="1F3864"/>
          </w:tcPr>
          <w:p>
            <w:pPr>
              <w:jc w:val="left"/>
            </w:pPr>
            <w:r/>
            <w:r>
              <w:rPr>
                <w:b/>
                <w:color w:val="FFFFFF"/>
                <w:sz w:val="17"/>
              </w:rPr>
              <w:t>Type</w:t>
            </w:r>
          </w:p>
        </w:tc>
        <w:tc>
          <w:tcPr>
            <w:tcW w:type="dxa" w:w="2608"/>
            <w:shd w:val="clear" w:color="auto" w:fill="1F3864"/>
          </w:tcPr>
          <w:p>
            <w:pPr>
              <w:jc w:val="left"/>
            </w:pPr>
            <w:r/>
            <w:r>
              <w:rPr>
                <w:b/>
                <w:color w:val="FFFFFF"/>
                <w:sz w:val="17"/>
              </w:rPr>
              <w:t>Component items</w:t>
            </w:r>
          </w:p>
        </w:tc>
        <w:tc>
          <w:tcPr>
            <w:tcW w:type="dxa" w:w="1020"/>
            <w:shd w:val="clear" w:color="auto" w:fill="1F3864"/>
          </w:tcPr>
          <w:p>
            <w:pPr>
              <w:jc w:val="left"/>
            </w:pPr>
            <w:r/>
            <w:r>
              <w:rPr>
                <w:b/>
                <w:color w:val="FFFFFF"/>
                <w:sz w:val="17"/>
              </w:rPr>
              <w:t>Global items</w:t>
            </w:r>
          </w:p>
        </w:tc>
        <w:tc>
          <w:tcPr>
            <w:tcW w:type="dxa" w:w="2835"/>
            <w:shd w:val="clear" w:color="auto" w:fill="1F3864"/>
          </w:tcPr>
          <w:p>
            <w:pPr>
              <w:jc w:val="left"/>
            </w:pPr>
            <w:r/>
            <w:r>
              <w:rPr>
                <w:b/>
                <w:color w:val="FFFFFF"/>
                <w:sz w:val="17"/>
              </w:rPr>
              <w:t>Name</w:t>
            </w:r>
          </w:p>
        </w:tc>
      </w:tr>
      <w:tr>
        <w:tc>
          <w:tcPr>
            <w:tcW w:type="dxa" w:w="1020"/>
          </w:tcPr>
          <w:p>
            <w:pPr>
              <w:jc w:val="left"/>
            </w:pPr>
            <w:r/>
            <w:r>
              <w:rPr>
                <w:b w:val="0"/>
                <w:sz w:val="17"/>
              </w:rPr>
              <w:t>TVI</w:t>
            </w:r>
          </w:p>
        </w:tc>
        <w:tc>
          <w:tcPr>
            <w:tcW w:type="dxa" w:w="1701"/>
          </w:tcPr>
          <w:p>
            <w:pPr>
              <w:jc w:val="left"/>
            </w:pPr>
            <w:r/>
            <w:r>
              <w:rPr>
                <w:b w:val="0"/>
                <w:sz w:val="17"/>
              </w:rPr>
              <w:t>Formative composite</w:t>
            </w:r>
          </w:p>
        </w:tc>
        <w:tc>
          <w:tcPr>
            <w:tcW w:type="dxa" w:w="2608"/>
          </w:tcPr>
          <w:p>
            <w:pPr>
              <w:jc w:val="left"/>
            </w:pPr>
            <w:r/>
            <w:r>
              <w:rPr>
                <w:b w:val="0"/>
                <w:sz w:val="17"/>
              </w:rPr>
              <w:t>4: C04, C05, C06, A01</w:t>
            </w:r>
          </w:p>
        </w:tc>
        <w:tc>
          <w:tcPr>
            <w:tcW w:type="dxa" w:w="1020"/>
          </w:tcPr>
          <w:p>
            <w:pPr>
              <w:jc w:val="left"/>
            </w:pPr>
            <w:r/>
            <w:r>
              <w:rPr>
                <w:b w:val="0"/>
                <w:sz w:val="17"/>
              </w:rPr>
              <w:t>1</w:t>
            </w:r>
          </w:p>
        </w:tc>
        <w:tc>
          <w:tcPr>
            <w:tcW w:type="dxa" w:w="2835"/>
          </w:tcPr>
          <w:p>
            <w:pPr>
              <w:jc w:val="left"/>
            </w:pPr>
            <w:r/>
            <w:r>
              <w:rPr>
                <w:b w:val="0"/>
                <w:sz w:val="17"/>
              </w:rPr>
              <w:t>Threat and vulnerability identification</w:t>
            </w:r>
          </w:p>
        </w:tc>
      </w:tr>
      <w:tr>
        <w:tc>
          <w:tcPr>
            <w:tcW w:type="dxa" w:w="1020"/>
          </w:tcPr>
          <w:p>
            <w:pPr>
              <w:jc w:val="left"/>
            </w:pPr>
            <w:r/>
            <w:r>
              <w:rPr>
                <w:b w:val="0"/>
                <w:sz w:val="17"/>
              </w:rPr>
              <w:t>CCE</w:t>
            </w:r>
          </w:p>
        </w:tc>
        <w:tc>
          <w:tcPr>
            <w:tcW w:type="dxa" w:w="1701"/>
          </w:tcPr>
          <w:p>
            <w:pPr>
              <w:jc w:val="left"/>
            </w:pPr>
            <w:r/>
            <w:r>
              <w:rPr>
                <w:b w:val="0"/>
                <w:sz w:val="17"/>
              </w:rPr>
              <w:t>Formative composite</w:t>
            </w:r>
          </w:p>
        </w:tc>
        <w:tc>
          <w:tcPr>
            <w:tcW w:type="dxa" w:w="2608"/>
          </w:tcPr>
          <w:p>
            <w:pPr>
              <w:jc w:val="left"/>
            </w:pPr>
            <w:r/>
            <w:r>
              <w:rPr>
                <w:b w:val="0"/>
                <w:sz w:val="17"/>
              </w:rPr>
              <w:t>9: C09–C15, A03, A04</w:t>
            </w:r>
          </w:p>
        </w:tc>
        <w:tc>
          <w:tcPr>
            <w:tcW w:type="dxa" w:w="1020"/>
          </w:tcPr>
          <w:p>
            <w:pPr>
              <w:jc w:val="left"/>
            </w:pPr>
            <w:r/>
            <w:r>
              <w:rPr>
                <w:b w:val="0"/>
                <w:sz w:val="17"/>
              </w:rPr>
              <w:t>1</w:t>
            </w:r>
          </w:p>
        </w:tc>
        <w:tc>
          <w:tcPr>
            <w:tcW w:type="dxa" w:w="2835"/>
          </w:tcPr>
          <w:p>
            <w:pPr>
              <w:jc w:val="left"/>
            </w:pPr>
            <w:r/>
            <w:r>
              <w:rPr>
                <w:b w:val="0"/>
                <w:sz w:val="17"/>
              </w:rPr>
              <w:t>Control maturity and effectiveness evaluation</w:t>
            </w:r>
          </w:p>
        </w:tc>
      </w:tr>
      <w:tr>
        <w:tc>
          <w:tcPr>
            <w:tcW w:type="dxa" w:w="1020"/>
          </w:tcPr>
          <w:p>
            <w:pPr>
              <w:jc w:val="left"/>
            </w:pPr>
            <w:r/>
            <w:r>
              <w:rPr>
                <w:b w:val="0"/>
                <w:sz w:val="17"/>
              </w:rPr>
              <w:t>COL</w:t>
            </w:r>
          </w:p>
        </w:tc>
        <w:tc>
          <w:tcPr>
            <w:tcW w:type="dxa" w:w="1701"/>
          </w:tcPr>
          <w:p>
            <w:pPr>
              <w:jc w:val="left"/>
            </w:pPr>
            <w:r/>
            <w:r>
              <w:rPr>
                <w:b w:val="0"/>
                <w:sz w:val="17"/>
              </w:rPr>
              <w:t>Formative composite</w:t>
            </w:r>
          </w:p>
        </w:tc>
        <w:tc>
          <w:tcPr>
            <w:tcW w:type="dxa" w:w="2608"/>
          </w:tcPr>
          <w:p>
            <w:pPr>
              <w:jc w:val="left"/>
            </w:pPr>
            <w:r/>
            <w:r>
              <w:rPr>
                <w:b w:val="0"/>
                <w:sz w:val="17"/>
              </w:rPr>
              <w:t>3: C01, A05, A06</w:t>
            </w:r>
          </w:p>
        </w:tc>
        <w:tc>
          <w:tcPr>
            <w:tcW w:type="dxa" w:w="1020"/>
          </w:tcPr>
          <w:p>
            <w:pPr>
              <w:jc w:val="left"/>
            </w:pPr>
            <w:r/>
            <w:r>
              <w:rPr>
                <w:b w:val="0"/>
                <w:sz w:val="17"/>
              </w:rPr>
              <w:t>1</w:t>
            </w:r>
          </w:p>
        </w:tc>
        <w:tc>
          <w:tcPr>
            <w:tcW w:type="dxa" w:w="2835"/>
          </w:tcPr>
          <w:p>
            <w:pPr>
              <w:jc w:val="left"/>
            </w:pPr>
            <w:r/>
            <w:r>
              <w:rPr>
                <w:b w:val="0"/>
                <w:sz w:val="17"/>
              </w:rPr>
              <w:t>Auditor–specialist collaboration and competence</w:t>
            </w:r>
          </w:p>
        </w:tc>
      </w:tr>
      <w:tr>
        <w:tc>
          <w:tcPr>
            <w:tcW w:type="dxa" w:w="1020"/>
          </w:tcPr>
          <w:p>
            <w:pPr>
              <w:jc w:val="left"/>
            </w:pPr>
            <w:r/>
            <w:r>
              <w:rPr>
                <w:b w:val="0"/>
                <w:sz w:val="17"/>
              </w:rPr>
              <w:t>RRJ</w:t>
            </w:r>
          </w:p>
        </w:tc>
        <w:tc>
          <w:tcPr>
            <w:tcW w:type="dxa" w:w="1701"/>
          </w:tcPr>
          <w:p>
            <w:pPr>
              <w:jc w:val="left"/>
            </w:pPr>
            <w:r/>
            <w:r>
              <w:rPr>
                <w:b w:val="0"/>
                <w:sz w:val="17"/>
              </w:rPr>
              <w:t>Formative composite</w:t>
            </w:r>
          </w:p>
        </w:tc>
        <w:tc>
          <w:tcPr>
            <w:tcW w:type="dxa" w:w="2608"/>
          </w:tcPr>
          <w:p>
            <w:pPr>
              <w:jc w:val="left"/>
            </w:pPr>
            <w:r/>
            <w:r>
              <w:rPr>
                <w:b w:val="0"/>
                <w:sz w:val="17"/>
              </w:rPr>
              <w:t>3: C07, C08, A02</w:t>
            </w:r>
          </w:p>
        </w:tc>
        <w:tc>
          <w:tcPr>
            <w:tcW w:type="dxa" w:w="1020"/>
          </w:tcPr>
          <w:p>
            <w:pPr>
              <w:jc w:val="left"/>
            </w:pPr>
            <w:r/>
            <w:r>
              <w:rPr>
                <w:b w:val="0"/>
                <w:sz w:val="17"/>
              </w:rPr>
              <w:t>1</w:t>
            </w:r>
          </w:p>
        </w:tc>
        <w:tc>
          <w:tcPr>
            <w:tcW w:type="dxa" w:w="2835"/>
          </w:tcPr>
          <w:p>
            <w:pPr>
              <w:jc w:val="left"/>
            </w:pPr>
            <w:r/>
            <w:r>
              <w:rPr>
                <w:b w:val="0"/>
                <w:sz w:val="17"/>
              </w:rPr>
              <w:t>Residual-risk judgment</w:t>
            </w:r>
          </w:p>
        </w:tc>
      </w:tr>
      <w:tr>
        <w:tc>
          <w:tcPr>
            <w:tcW w:type="dxa" w:w="1020"/>
          </w:tcPr>
          <w:p>
            <w:pPr>
              <w:jc w:val="left"/>
            </w:pPr>
            <w:r/>
            <w:r>
              <w:rPr>
                <w:b w:val="0"/>
                <w:sz w:val="17"/>
              </w:rPr>
              <w:t>MOL</w:t>
            </w:r>
          </w:p>
        </w:tc>
        <w:tc>
          <w:tcPr>
            <w:tcW w:type="dxa" w:w="1701"/>
          </w:tcPr>
          <w:p>
            <w:pPr>
              <w:jc w:val="left"/>
            </w:pPr>
            <w:r/>
            <w:r>
              <w:rPr>
                <w:b w:val="0"/>
                <w:sz w:val="17"/>
              </w:rPr>
              <w:t>Formative composite</w:t>
            </w:r>
          </w:p>
        </w:tc>
        <w:tc>
          <w:tcPr>
            <w:tcW w:type="dxa" w:w="2608"/>
          </w:tcPr>
          <w:p>
            <w:pPr>
              <w:jc w:val="left"/>
            </w:pPr>
            <w:r/>
            <w:r>
              <w:rPr>
                <w:b w:val="0"/>
                <w:sz w:val="17"/>
              </w:rPr>
              <w:t>4: C16, C17, C18, C20</w:t>
            </w:r>
          </w:p>
        </w:tc>
        <w:tc>
          <w:tcPr>
            <w:tcW w:type="dxa" w:w="1020"/>
          </w:tcPr>
          <w:p>
            <w:pPr>
              <w:jc w:val="left"/>
            </w:pPr>
            <w:r/>
            <w:r>
              <w:rPr>
                <w:b w:val="0"/>
                <w:sz w:val="17"/>
              </w:rPr>
              <w:t>1</w:t>
            </w:r>
          </w:p>
        </w:tc>
        <w:tc>
          <w:tcPr>
            <w:tcW w:type="dxa" w:w="2835"/>
          </w:tcPr>
          <w:p>
            <w:pPr>
              <w:jc w:val="left"/>
            </w:pPr>
            <w:r/>
            <w:r>
              <w:rPr>
                <w:b w:val="0"/>
                <w:sz w:val="17"/>
              </w:rPr>
              <w:t>Monitoring and organizational learning</w:t>
            </w:r>
          </w:p>
        </w:tc>
      </w:tr>
      <w:tr>
        <w:tc>
          <w:tcPr>
            <w:tcW w:type="dxa" w:w="1020"/>
          </w:tcPr>
          <w:p>
            <w:pPr>
              <w:jc w:val="left"/>
            </w:pPr>
            <w:r/>
            <w:r>
              <w:rPr>
                <w:b w:val="0"/>
                <w:sz w:val="17"/>
              </w:rPr>
              <w:t>PEF</w:t>
            </w:r>
          </w:p>
        </w:tc>
        <w:tc>
          <w:tcPr>
            <w:tcW w:type="dxa" w:w="1701"/>
          </w:tcPr>
          <w:p>
            <w:pPr>
              <w:jc w:val="left"/>
            </w:pPr>
            <w:r/>
            <w:r>
              <w:rPr>
                <w:b w:val="0"/>
                <w:sz w:val="17"/>
              </w:rPr>
              <w:t>Reflective outcome</w:t>
            </w:r>
          </w:p>
        </w:tc>
        <w:tc>
          <w:tcPr>
            <w:tcW w:type="dxa" w:w="2608"/>
          </w:tcPr>
          <w:p>
            <w:pPr>
              <w:jc w:val="left"/>
            </w:pPr>
            <w:r/>
            <w:r>
              <w:rPr>
                <w:b w:val="0"/>
                <w:sz w:val="17"/>
              </w:rPr>
              <w:t>4 items from C21, A07, A08, A09</w:t>
            </w:r>
          </w:p>
        </w:tc>
        <w:tc>
          <w:tcPr>
            <w:tcW w:type="dxa" w:w="1020"/>
          </w:tcPr>
          <w:p>
            <w:pPr>
              <w:jc w:val="left"/>
            </w:pPr>
            <w:r/>
            <w:r>
              <w:rPr>
                <w:b w:val="0"/>
                <w:sz w:val="17"/>
              </w:rPr>
              <w:t>2</w:t>
            </w:r>
          </w:p>
        </w:tc>
        <w:tc>
          <w:tcPr>
            <w:tcW w:type="dxa" w:w="2835"/>
          </w:tcPr>
          <w:p>
            <w:pPr>
              <w:jc w:val="left"/>
            </w:pPr>
            <w:r/>
            <w:r>
              <w:rPr>
                <w:b w:val="0"/>
                <w:sz w:val="17"/>
              </w:rPr>
              <w:t>Effectiveness of the assessment process</w:t>
            </w:r>
          </w:p>
        </w:tc>
      </w:tr>
      <w:tr>
        <w:tc>
          <w:tcPr>
            <w:tcW w:type="dxa" w:w="1020"/>
          </w:tcPr>
          <w:p>
            <w:pPr>
              <w:jc w:val="left"/>
            </w:pPr>
            <w:r/>
            <w:r>
              <w:rPr>
                <w:b w:val="0"/>
                <w:sz w:val="17"/>
              </w:rPr>
              <w:t>Context</w:t>
            </w:r>
          </w:p>
        </w:tc>
        <w:tc>
          <w:tcPr>
            <w:tcW w:type="dxa" w:w="1701"/>
          </w:tcPr>
          <w:p>
            <w:pPr>
              <w:jc w:val="left"/>
            </w:pPr>
            <w:r/>
            <w:r>
              <w:rPr>
                <w:b w:val="0"/>
                <w:sz w:val="17"/>
              </w:rPr>
              <w:t>Single items</w:t>
            </w:r>
          </w:p>
        </w:tc>
        <w:tc>
          <w:tcPr>
            <w:tcW w:type="dxa" w:w="2608"/>
          </w:tcPr>
          <w:p>
            <w:pPr>
              <w:jc w:val="left"/>
            </w:pPr>
            <w:r/>
            <w:r>
              <w:rPr>
                <w:b w:val="0"/>
                <w:sz w:val="17"/>
              </w:rPr>
              <w:t>3: C02, C03, C19</w:t>
            </w:r>
          </w:p>
        </w:tc>
        <w:tc>
          <w:tcPr>
            <w:tcW w:type="dxa" w:w="1020"/>
          </w:tcPr>
          <w:p>
            <w:pPr>
              <w:jc w:val="left"/>
            </w:pPr>
            <w:r/>
            <w:r>
              <w:rPr>
                <w:b w:val="0"/>
                <w:sz w:val="17"/>
              </w:rPr>
              <w:t>—</w:t>
            </w:r>
          </w:p>
        </w:tc>
        <w:tc>
          <w:tcPr>
            <w:tcW w:type="dxa" w:w="2835"/>
          </w:tcPr>
          <w:p>
            <w:pPr>
              <w:jc w:val="left"/>
            </w:pPr>
            <w:r/>
            <w:r>
              <w:rPr>
                <w:b w:val="0"/>
                <w:sz w:val="17"/>
              </w:rPr>
              <w:t>Policy and scope, legal requirements</w:t>
            </w:r>
          </w:p>
        </w:tc>
      </w:tr>
    </w:tbl>
    <w:p/>
    <w:p>
      <w:pPr>
        <w:spacing w:after="100" w:line="288" w:lineRule="auto"/>
        <w:jc w:val="left"/>
      </w:pPr>
      <w:r>
        <w:rPr>
          <w:b/>
          <w:color w:val="1F3864"/>
          <w:sz w:val="25"/>
        </w:rPr>
        <w:t>3.4 Data screening and common method bias</w:t>
      </w:r>
    </w:p>
    <w:p>
      <w:pPr>
        <w:spacing w:after="140" w:line="336" w:lineRule="auto"/>
        <w:jc w:val="both"/>
      </w:pPr>
      <w:r>
        <w:rPr>
          <w:b w:val="0"/>
        </w:rPr>
        <w:t>We screen for missing data (pattern and percentage), straight-lining, an embedded attention check, implausibly short completion times and outliers, and compare early and late respondents and respondent characteristics with the available frame to assess non-response bias. Common method bias is addressed procedurally by anonymity, separation of predictor and outcome sections and neutral wording (Podsakoff et al., 2003), and statistically by the full-collinearity variance inflation factors, with the conventional cut-off of 3.3 (Kock, 2015).</w:t>
      </w:r>
    </w:p>
    <w:p>
      <w:pPr>
        <w:spacing w:after="100" w:line="288" w:lineRule="auto"/>
        <w:jc w:val="left"/>
      </w:pPr>
      <w:r>
        <w:rPr>
          <w:b/>
          <w:color w:val="1F3864"/>
          <w:sz w:val="25"/>
        </w:rPr>
        <w:t>3.5 Analysis strategy</w:t>
      </w:r>
    </w:p>
    <w:p>
      <w:pPr>
        <w:spacing w:after="140" w:line="336" w:lineRule="auto"/>
        <w:jc w:val="both"/>
      </w:pPr>
      <w:r>
        <w:rPr>
          <w:b w:val="0"/>
        </w:rPr>
        <w:t>Analysis follows the reporting recommendations of Hair et al. (2019). The measurement models are assessed first (Table 4). The structural model is then assessed for collinearity, path coefficients and their bootstrap confidence intervals (at least 5,000 resamples), explained variance (R²), effect sizes (f²) and out-of-sample predictive power with PLSpredict (Hair et al., 2019). Mediation (H8) is tested with bootstrapped indirect effects, and moderation (H4) with a two-stage product-term approach and simple-slope plots. For the group comparison (H10) we first test measurement invariance of composites in three steps, configural invariance, compositional invariance by permutation, and equality of composite means and variances (Henseler et al., 2016), and compare paths by permutation-based multi-group analysis only where at least partial invariance is established, with Holm correction across paths; otherwise group models are reported side by side descriptively. Robustness checks re-estimate the model without outliers, with equal-weight composites, with a reflective specification for the constructs, and with the control variables added.</w:t>
      </w:r>
    </w:p>
    <w:p>
      <w:pPr>
        <w:spacing w:after="60" w:line="264" w:lineRule="auto"/>
        <w:jc w:val="left"/>
      </w:pPr>
      <w:r>
        <w:rPr>
          <w:b/>
          <w:sz w:val="21"/>
        </w:rPr>
        <w:t>Table 4. Assessment criteria</w:t>
      </w:r>
    </w:p>
    <w:tbl>
      <w:tblPr>
        <w:tblStyle w:val="TableGrid"/>
        <w:tblW w:type="auto" w:w="0"/>
        <w:tblLayout w:type="fixed"/>
        <w:tblLook w:firstColumn="1" w:firstRow="1" w:lastColumn="0" w:lastRow="0" w:noHBand="0" w:noVBand="1" w:val="04A0"/>
      </w:tblPr>
      <w:tblGrid>
        <w:gridCol w:w="1814"/>
        <w:gridCol w:w="5102"/>
        <w:gridCol w:w="2268"/>
      </w:tblGrid>
      <w:tr>
        <w:tc>
          <w:tcPr>
            <w:tcW w:type="dxa" w:w="1814"/>
            <w:shd w:val="clear" w:color="auto" w:fill="1F3864"/>
          </w:tcPr>
          <w:p>
            <w:pPr>
              <w:jc w:val="left"/>
            </w:pPr>
            <w:r/>
            <w:r>
              <w:rPr>
                <w:b/>
                <w:color w:val="FFFFFF"/>
                <w:sz w:val="17"/>
              </w:rPr>
              <w:t>Element</w:t>
            </w:r>
          </w:p>
        </w:tc>
        <w:tc>
          <w:tcPr>
            <w:tcW w:type="dxa" w:w="5102"/>
            <w:shd w:val="clear" w:color="auto" w:fill="1F3864"/>
          </w:tcPr>
          <w:p>
            <w:pPr>
              <w:jc w:val="left"/>
            </w:pPr>
            <w:r/>
            <w:r>
              <w:rPr>
                <w:b/>
                <w:color w:val="FFFFFF"/>
                <w:sz w:val="17"/>
              </w:rPr>
              <w:t>Criterion</w:t>
            </w:r>
          </w:p>
        </w:tc>
        <w:tc>
          <w:tcPr>
            <w:tcW w:type="dxa" w:w="2268"/>
            <w:shd w:val="clear" w:color="auto" w:fill="1F3864"/>
          </w:tcPr>
          <w:p>
            <w:pPr>
              <w:jc w:val="left"/>
            </w:pPr>
            <w:r/>
            <w:r>
              <w:rPr>
                <w:b/>
                <w:color w:val="FFFFFF"/>
                <w:sz w:val="17"/>
              </w:rPr>
              <w:t>Source</w:t>
            </w:r>
          </w:p>
        </w:tc>
      </w:tr>
      <w:tr>
        <w:tc>
          <w:tcPr>
            <w:tcW w:type="dxa" w:w="1814"/>
          </w:tcPr>
          <w:p>
            <w:pPr>
              <w:jc w:val="left"/>
            </w:pPr>
            <w:r/>
            <w:r>
              <w:rPr>
                <w:b w:val="0"/>
                <w:sz w:val="17"/>
              </w:rPr>
              <w:t>Formative composites</w:t>
            </w:r>
          </w:p>
        </w:tc>
        <w:tc>
          <w:tcPr>
            <w:tcW w:type="dxa" w:w="5102"/>
          </w:tcPr>
          <w:p>
            <w:pPr>
              <w:jc w:val="left"/>
            </w:pPr>
            <w:r/>
            <w:r>
              <w:rPr>
                <w:b w:val="0"/>
                <w:sz w:val="17"/>
              </w:rPr>
              <w:t>Indicator collinearity: VIF below 3 (values near 5 are critical); outer weights and loadings with bootstrap confidence intervals; an indicator with a non-significant weight but a loading of at least 0.50 is retained on content grounds; redundancy analysis: path from the composite to its global item of at least 0.70 (conventional)</w:t>
            </w:r>
          </w:p>
        </w:tc>
        <w:tc>
          <w:tcPr>
            <w:tcW w:type="dxa" w:w="2268"/>
          </w:tcPr>
          <w:p>
            <w:pPr>
              <w:jc w:val="left"/>
            </w:pPr>
            <w:r/>
            <w:r>
              <w:rPr>
                <w:b w:val="0"/>
                <w:sz w:val="17"/>
              </w:rPr>
              <w:t>Diamantopoulos &amp; Winklhofer (2001); Hair et al. (2019)</w:t>
            </w:r>
          </w:p>
        </w:tc>
      </w:tr>
      <w:tr>
        <w:tc>
          <w:tcPr>
            <w:tcW w:type="dxa" w:w="1814"/>
          </w:tcPr>
          <w:p>
            <w:pPr>
              <w:jc w:val="left"/>
            </w:pPr>
            <w:r/>
            <w:r>
              <w:rPr>
                <w:b w:val="0"/>
                <w:sz w:val="17"/>
              </w:rPr>
              <w:t>Reflective outcome (PEF)</w:t>
            </w:r>
          </w:p>
        </w:tc>
        <w:tc>
          <w:tcPr>
            <w:tcW w:type="dxa" w:w="5102"/>
          </w:tcPr>
          <w:p>
            <w:pPr>
              <w:jc w:val="left"/>
            </w:pPr>
            <w:r/>
            <w:r>
              <w:rPr>
                <w:b w:val="0"/>
                <w:sz w:val="17"/>
              </w:rPr>
              <w:t>Loadings ≥ 0.70 (0.40–0.70 retained if composite reliability and AVE are met); composite reliability 0.70–0.95; AVE ≥ 0.50; HTMT below 0.85 or 0.90 (conventional cut-offs)</w:t>
            </w:r>
          </w:p>
        </w:tc>
        <w:tc>
          <w:tcPr>
            <w:tcW w:type="dxa" w:w="2268"/>
          </w:tcPr>
          <w:p>
            <w:pPr>
              <w:jc w:val="left"/>
            </w:pPr>
            <w:r/>
            <w:r>
              <w:rPr>
                <w:b w:val="0"/>
                <w:sz w:val="17"/>
              </w:rPr>
              <w:t>Hair et al. (2019); Henseler et al. (2015)</w:t>
            </w:r>
          </w:p>
        </w:tc>
      </w:tr>
      <w:tr>
        <w:tc>
          <w:tcPr>
            <w:tcW w:type="dxa" w:w="1814"/>
          </w:tcPr>
          <w:p>
            <w:pPr>
              <w:jc w:val="left"/>
            </w:pPr>
            <w:r/>
            <w:r>
              <w:rPr>
                <w:b w:val="0"/>
                <w:sz w:val="17"/>
              </w:rPr>
              <w:t>Structural model</w:t>
            </w:r>
          </w:p>
        </w:tc>
        <w:tc>
          <w:tcPr>
            <w:tcW w:type="dxa" w:w="5102"/>
          </w:tcPr>
          <w:p>
            <w:pPr>
              <w:jc w:val="left"/>
            </w:pPr>
            <w:r/>
            <w:r>
              <w:rPr>
                <w:b w:val="0"/>
                <w:sz w:val="17"/>
              </w:rPr>
              <w:t>Inner VIF below 3; path coefficients with 5,000 bootstrap resamples; R², f²; PLSpredict (Q²predict and prediction error against a naive benchmark)</w:t>
            </w:r>
          </w:p>
        </w:tc>
        <w:tc>
          <w:tcPr>
            <w:tcW w:type="dxa" w:w="2268"/>
          </w:tcPr>
          <w:p>
            <w:pPr>
              <w:jc w:val="left"/>
            </w:pPr>
            <w:r/>
            <w:r>
              <w:rPr>
                <w:b w:val="0"/>
                <w:sz w:val="17"/>
              </w:rPr>
              <w:t>Hair et al. (2019)</w:t>
            </w:r>
          </w:p>
        </w:tc>
      </w:tr>
      <w:tr>
        <w:tc>
          <w:tcPr>
            <w:tcW w:type="dxa" w:w="1814"/>
          </w:tcPr>
          <w:p>
            <w:pPr>
              <w:jc w:val="left"/>
            </w:pPr>
            <w:r/>
            <w:r>
              <w:rPr>
                <w:b w:val="0"/>
                <w:sz w:val="17"/>
              </w:rPr>
              <w:t>Mediation and moderation</w:t>
            </w:r>
          </w:p>
        </w:tc>
        <w:tc>
          <w:tcPr>
            <w:tcW w:type="dxa" w:w="5102"/>
          </w:tcPr>
          <w:p>
            <w:pPr>
              <w:jc w:val="left"/>
            </w:pPr>
            <w:r/>
            <w:r>
              <w:rPr>
                <w:b w:val="0"/>
                <w:sz w:val="17"/>
              </w:rPr>
              <w:t>Bootstrapped indirect effects; two-stage interaction terms and simple slopes</w:t>
            </w:r>
          </w:p>
        </w:tc>
        <w:tc>
          <w:tcPr>
            <w:tcW w:type="dxa" w:w="2268"/>
          </w:tcPr>
          <w:p>
            <w:pPr>
              <w:jc w:val="left"/>
            </w:pPr>
            <w:r/>
            <w:r>
              <w:rPr>
                <w:b w:val="0"/>
                <w:sz w:val="17"/>
              </w:rPr>
              <w:t>Hair et al. (2019)</w:t>
            </w:r>
          </w:p>
        </w:tc>
      </w:tr>
      <w:tr>
        <w:tc>
          <w:tcPr>
            <w:tcW w:type="dxa" w:w="1814"/>
          </w:tcPr>
          <w:p>
            <w:pPr>
              <w:jc w:val="left"/>
            </w:pPr>
            <w:r/>
            <w:r>
              <w:rPr>
                <w:b w:val="0"/>
                <w:sz w:val="17"/>
              </w:rPr>
              <w:t>Group comparison</w:t>
            </w:r>
          </w:p>
        </w:tc>
        <w:tc>
          <w:tcPr>
            <w:tcW w:type="dxa" w:w="5102"/>
          </w:tcPr>
          <w:p>
            <w:pPr>
              <w:jc w:val="left"/>
            </w:pPr>
            <w:r/>
            <w:r>
              <w:rPr>
                <w:b w:val="0"/>
                <w:sz w:val="17"/>
              </w:rPr>
              <w:t>MICOM steps 1–3; permutation-based multi-group analysis with Holm correction</w:t>
            </w:r>
          </w:p>
        </w:tc>
        <w:tc>
          <w:tcPr>
            <w:tcW w:type="dxa" w:w="2268"/>
          </w:tcPr>
          <w:p>
            <w:pPr>
              <w:jc w:val="left"/>
            </w:pPr>
            <w:r/>
            <w:r>
              <w:rPr>
                <w:b w:val="0"/>
                <w:sz w:val="17"/>
              </w:rPr>
              <w:t>Henseler et al. (2016)</w:t>
            </w:r>
          </w:p>
        </w:tc>
      </w:tr>
      <w:tr>
        <w:tc>
          <w:tcPr>
            <w:tcW w:type="dxa" w:w="1814"/>
          </w:tcPr>
          <w:p>
            <w:pPr>
              <w:jc w:val="left"/>
            </w:pPr>
            <w:r/>
            <w:r>
              <w:rPr>
                <w:b w:val="0"/>
                <w:sz w:val="17"/>
              </w:rPr>
              <w:t>Common method bias</w:t>
            </w:r>
          </w:p>
        </w:tc>
        <w:tc>
          <w:tcPr>
            <w:tcW w:type="dxa" w:w="5102"/>
          </w:tcPr>
          <w:p>
            <w:pPr>
              <w:jc w:val="left"/>
            </w:pPr>
            <w:r/>
            <w:r>
              <w:rPr>
                <w:b w:val="0"/>
                <w:sz w:val="17"/>
              </w:rPr>
              <w:t>Full-collinearity VIF of 3.3 or lower</w:t>
            </w:r>
          </w:p>
        </w:tc>
        <w:tc>
          <w:tcPr>
            <w:tcW w:type="dxa" w:w="2268"/>
          </w:tcPr>
          <w:p>
            <w:pPr>
              <w:jc w:val="left"/>
            </w:pPr>
            <w:r/>
            <w:r>
              <w:rPr>
                <w:b w:val="0"/>
                <w:sz w:val="17"/>
              </w:rPr>
              <w:t>Kock (2015); Podsakoff et al. (2003)</w:t>
            </w:r>
          </w:p>
        </w:tc>
      </w:tr>
    </w:tbl>
    <w:p/>
    <w:p>
      <w:pPr>
        <w:spacing w:after="100" w:line="288" w:lineRule="auto"/>
        <w:jc w:val="left"/>
      </w:pPr>
      <w:r>
        <w:rPr>
          <w:b/>
          <w:color w:val="1F3864"/>
          <w:sz w:val="25"/>
        </w:rPr>
        <w:t>3.6 Ethics and data management</w:t>
      </w:r>
    </w:p>
    <w:p>
      <w:pPr>
        <w:spacing w:after="140" w:line="336" w:lineRule="auto"/>
        <w:jc w:val="both"/>
      </w:pPr>
      <w:r>
        <w:rPr>
          <w:b w:val="0"/>
        </w:rPr>
        <w:t>Participation is voluntary, anonymous and based on informed consent; no names of individuals or organizations are collected; data are stored on an encrypted drive for five years. The study is an independent research article and was not submitted to an institutional ethics committee; we applied the usual protections for survey research with professionals: informed consent on the first page of the questionnaire, voluntary participation, confidentiality, secure storage and no collection of sensitive personal data. Generative AI tools were used only for language editing, and the authors verified all content and references.</w:t>
      </w:r>
    </w:p>
    <w:p>
      <w:pPr>
        <w:spacing w:after="140" w:line="288" w:lineRule="auto"/>
        <w:jc w:val="left"/>
      </w:pPr>
      <w:r>
        <w:rPr>
          <w:b/>
          <w:color w:val="1F3864"/>
          <w:sz w:val="26"/>
        </w:rPr>
        <w:t>References</w:t>
      </w:r>
    </w:p>
    <w:p>
      <w:pPr>
        <w:spacing w:after="60" w:line="264" w:lineRule="auto"/>
        <w:ind w:left="567" w:hanging="567"/>
        <w:jc w:val="left"/>
      </w:pPr>
      <w:r>
        <w:rPr>
          <w:b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sz w:val="20"/>
        </w:rPr>
        <w:t>Barney, J. (1991). Firm resources and sustained competitive advantage. Journal of Management, 17(1), 99–120.</w:t>
      </w:r>
    </w:p>
    <w:p>
      <w:pPr>
        <w:spacing w:after="60" w:line="264" w:lineRule="auto"/>
        <w:ind w:left="567" w:hanging="567"/>
        <w:jc w:val="left"/>
      </w:pPr>
      <w:r>
        <w:rPr>
          <w:b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Diamantopoulos, A., &amp; Winklhofer, H. M. (2001). Index construction with formative indicators: An alternative to scale development. Journal of Marketing Research, 38(2), 269–277. https://doi.org/10.1509/jmkr.38.2.269.18845</w:t>
      </w:r>
    </w:p>
    <w:p>
      <w:pPr>
        <w:spacing w:after="60" w:line="264" w:lineRule="auto"/>
        <w:ind w:left="567" w:hanging="567"/>
        <w:jc w:val="left"/>
      </w:pPr>
      <w:r>
        <w:rPr>
          <w:b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sz w:val="20"/>
        </w:rPr>
        <w:t>Donaldson, L. (2001). The contingency theory of organizations. Sage.</w:t>
      </w:r>
    </w:p>
    <w:p>
      <w:pPr>
        <w:spacing w:after="60" w:line="264" w:lineRule="auto"/>
        <w:ind w:left="567" w:hanging="567"/>
        <w:jc w:val="left"/>
      </w:pPr>
      <w:r>
        <w:rPr>
          <w:b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sz w:val="20"/>
        </w:rPr>
        <w:t>Hair, J. F., Risher, J. J., Sarstedt, M., &amp; Ringle, C. M. (2019). When to use and how to report the results of PLS-SEM. European Business Review, 31(1), 2–24. https://doi.org/10.1108/EBR-11-2018-0203</w:t>
      </w:r>
    </w:p>
    <w:p>
      <w:pPr>
        <w:spacing w:after="60" w:line="264" w:lineRule="auto"/>
        <w:ind w:left="567" w:hanging="567"/>
        <w:jc w:val="left"/>
      </w:pPr>
      <w:r>
        <w:rPr>
          <w:b w:val="0"/>
          <w:sz w:val="20"/>
        </w:rPr>
        <w:t>Henseler, J., Ringle, C. M., &amp; Sarstedt, M. (2015). A new criterion for assessing discriminant validity in variance-based structural equation modeling. Journal of the Academy of Marketing Science, 43(1), 115–135. https://doi.org/10.1007/s11747-014-0403-8</w:t>
      </w:r>
    </w:p>
    <w:p>
      <w:pPr>
        <w:spacing w:after="60" w:line="264" w:lineRule="auto"/>
        <w:ind w:left="567" w:hanging="567"/>
        <w:jc w:val="left"/>
      </w:pPr>
      <w:r>
        <w:rPr>
          <w:b w:val="0"/>
          <w:sz w:val="20"/>
        </w:rPr>
        <w:t>Henseler, J., Ringle, C. M., &amp; Sarstedt, M. (2016). Testing measurement invariance of composites using partial least squares. International Marketing Review, 33(3), 405–431. https://doi.org/10.1108/IMR-09-2014-0304</w:t>
      </w:r>
    </w:p>
    <w:p>
      <w:pPr>
        <w:spacing w:after="60" w:line="264" w:lineRule="auto"/>
        <w:ind w:left="567" w:hanging="567"/>
        <w:jc w:val="left"/>
      </w:pPr>
      <w:r>
        <w:rPr>
          <w:b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sz w:val="20"/>
        </w:rPr>
        <w:t>IAASB. International Standard on Auditing 260 (Revised): Communication with those charged with governance (current edition). International Auditing and Assurance Standards Board.</w:t>
      </w:r>
    </w:p>
    <w:p>
      <w:pPr>
        <w:spacing w:after="60" w:line="264" w:lineRule="auto"/>
        <w:ind w:left="567" w:hanging="567"/>
        <w:jc w:val="left"/>
      </w:pPr>
      <w:r>
        <w:rPr>
          <w:b w:val="0"/>
          <w:sz w:val="20"/>
        </w:rPr>
        <w:t>IAASB. International Standard on Auditing 265: Communicating deficiencies in internal control to those charged with governance and management (current edition). International Auditing and Assurance Standards Board.</w:t>
      </w:r>
    </w:p>
    <w:p>
      <w:pPr>
        <w:spacing w:after="60" w:line="264" w:lineRule="auto"/>
        <w:ind w:left="567" w:hanging="567"/>
        <w:jc w:val="left"/>
      </w:pPr>
      <w:r>
        <w:rPr>
          <w:b w:val="0"/>
          <w:sz w:val="20"/>
        </w:rPr>
        <w:t>IAASB. International Standard on Auditing 620: Using the work of an auditor's expert (current edition). International Auditing and Assurance Standards Board.</w:t>
      </w:r>
    </w:p>
    <w:p>
      <w:pPr>
        <w:spacing w:after="60" w:line="264" w:lineRule="auto"/>
        <w:ind w:left="567" w:hanging="567"/>
        <w:jc w:val="left"/>
      </w:pPr>
      <w:r>
        <w:rPr>
          <w:b w:val="0"/>
          <w:sz w:val="20"/>
        </w:rPr>
        <w:t>IIA. (2025). Cybersecurity topical requirement. Institute of Internal Auditors.</w:t>
      </w:r>
    </w:p>
    <w:p>
      <w:pPr>
        <w:spacing w:after="60" w:line="264" w:lineRule="auto"/>
        <w:ind w:left="567" w:hanging="567"/>
        <w:jc w:val="left"/>
      </w:pPr>
      <w:r>
        <w:rPr>
          <w:b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sz w:val="20"/>
        </w:rPr>
        <w:t>ISO/IEC. (2022). ISO/IEC 27001:2022 Information security, cybersecurity and privacy protection — Information security management systems — Requirements. International Organization for Standardization.</w:t>
      </w:r>
    </w:p>
    <w:p>
      <w:pPr>
        <w:spacing w:after="60" w:line="264" w:lineRule="auto"/>
        <w:ind w:left="567" w:hanging="567"/>
        <w:jc w:val="left"/>
      </w:pPr>
      <w:r>
        <w:rPr>
          <w:b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sz w:val="20"/>
        </w:rPr>
        <w:t>Kock, N. (2015). Common method bias in PLS-SEM: A full collinearity assessment approach. International Journal of e-Collaboration, 11(4), 1–10. https://doi.org/10.4018/ijec.2015100101</w:t>
      </w:r>
    </w:p>
    <w:p>
      <w:pPr>
        <w:spacing w:after="60" w:line="264" w:lineRule="auto"/>
        <w:ind w:left="567" w:hanging="567"/>
        <w:jc w:val="left"/>
      </w:pPr>
      <w:r>
        <w:rPr>
          <w:b w:val="0"/>
          <w:sz w:val="20"/>
        </w:rPr>
        <w:t>Kock, N., &amp; Hadaya, P. (2018). Minimum sample size estimation in PLS-SEM: The inverse square root and gamma-exponential methods. Information Systems Journal, 28(1), 227–261. https://doi.org/10.1111/isj.12131</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sz w:val="20"/>
        </w:rPr>
        <w:t>Podsakoff, P. M., MacKenzie, S. B., Lee, J.-Y., &amp; Podsakoff, N. P. (2003). Common method biases in behavioral research: A critical review of the literature and recommended remedies. Journal of Applied Psychology, 88(5), 879–903. https://doi.org/10.1037/0021-9010.88.5.879</w:t>
      </w:r>
    </w:p>
    <w:p>
      <w:pPr>
        <w:spacing w:after="60" w:line="264" w:lineRule="auto"/>
        <w:ind w:left="567" w:hanging="567"/>
        <w:jc w:val="left"/>
      </w:pPr>
      <w:r>
        <w:rPr>
          <w:b w:val="0"/>
          <w:sz w:val="20"/>
        </w:rPr>
        <w:t>Sarstedt, M., Hair, J. F., Cheah, J.-H., Becker, J.-M., &amp; Ringle, C. M. (2019). How to specify, estimate, and validate higher-order constructs in PLS-SEM. Australasian Marketing Journal, 27(3), 197–211. https://doi.org/10.1016/j.ausmj.2019.05.003</w:t>
      </w:r>
    </w:p>
    <w:p>
      <w:pPr>
        <w:spacing w:after="60" w:line="264" w:lineRule="auto"/>
        <w:ind w:left="567" w:hanging="567"/>
        <w:jc w:val="left"/>
      </w:pPr>
      <w:r>
        <w:rPr>
          <w:b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sz w:val="20"/>
        </w:rPr>
        <w:t>Teece, D. J., Pisano, G., &amp; Shuen, A. (1997). Dynamic capabilities and strategic management. Strategic Management Journal, 18(7), 509–533.</w:t>
      </w:r>
    </w:p>
    <w:p>
      <w:pPr>
        <w:spacing w:after="60" w:line="264" w:lineRule="auto"/>
        <w:ind w:left="567" w:hanging="567"/>
        <w:jc w:val="left"/>
      </w:pPr>
      <w:r>
        <w:rPr>
          <w:b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