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اول</w:t>
      </w:r>
      <w:r>
        <w:rPr>
          <w:rFonts w:ascii="Times New Roman" w:hAnsi="Times New Roman" w:cs="B Nazanin" w:eastAsia="Times New Roman"/>
          <w:b/>
          <w:bCs/>
          <w:sz w:val="24"/>
          <w:szCs w:val="24"/>
          <w:lang w:val="en-US" w:bidi="fa-IR"/>
        </w:rPr>
        <w:t xml:space="preserve">∗</w:t>
      </w:r>
    </w:p>
    <w:p>
      <w:pPr>
        <w:bidi/>
        <w:spacing w:before="0" w:after="60" w:line="240" w:lineRule="auto"/>
        <w:jc w:val="center"/>
      </w:pPr>
      <w:r>
        <w:rPr>
          <w:rFonts w:ascii="Times New Roman" w:hAnsi="Times New Roman" w:cs="B Nazanin" w:eastAsia="Times New Roman"/>
          <w:sz w:val="24"/>
          <w:szCs w:val="24"/>
          <w:highlight w:val="yellow"/>
          <w:lang w:val="en-US" w:bidi="fa-IR"/>
        </w:rPr>
        <w:t xml:space="preserve">دانشجوی دکتری، رشتهٔ حسابداری، نام دانشگاه، شهر، ایران</w:t>
      </w:r>
      <w:r>
        <w:rPr>
          <w:rFonts w:ascii="Times New Roman" w:hAnsi="Times New Roman" w:cs="B Nazanin" w:eastAsia="Times New Roman"/>
          <w:sz w:val="24"/>
          <w:szCs w:val="24"/>
          <w:lang w:val="en-US" w:bidi="fa-IR"/>
        </w:rPr>
        <w:t xml:space="preserve"> — پست الکترونیکی: </w:t>
      </w:r>
      <w:r>
        <w:rPr>
          <w:rFonts w:ascii="Times New Roman" w:hAnsi="Times New Roman" w:cs="B Nazanin" w:eastAsia="Times New Roman"/>
          <w:sz w:val="24"/>
          <w:szCs w:val="24"/>
          <w:highlight w:val="yellow"/>
          <w:lang w:val="en-US" w:bidi="fa-IR"/>
        </w:rPr>
        <w:t xml:space="preserve">ایمیل سازمانی نویسنده مسئول</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دوم (در صورت وجود)</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رتبهٔ علمی، گروه، دانشگاه، شهر، ایران</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(فومو) و رفتار توده‌وار، و با تعدیل‌گری استفاده از اطلاعات حسابداری بررسی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روش‌شناسی:</w:t>
      </w:r>
      <w:r>
        <w:rPr>
          <w:rFonts w:ascii="Times New Roman" w:hAnsi="Times New Roman" w:cs="B Nazanin" w:eastAsia="Times New Roman"/>
          <w:sz w:val="24"/>
          <w:szCs w:val="24"/>
          <w:lang w:val="en-US" w:bidi="fa-IR"/>
        </w:rPr>
        <w:t xml:space="preserve"> پژوهش کمّی و پیمایشی است و با مدل‌سازی معادلات ساختاری مبتنی بر کوواریانس و تمام‌متغیرهای پنهان (هر گویه مستقیماً به سازهٔ خود متصل است) انجام شد. داده‌های ۳۸۶ سرمایه‌گذار حقیقی با ابزار ۲۶ گویه‌ای لیکرت و شبیه‌سازی واقع‌نما با پارامترهای از پیش تعیین‌شده تولید شد؛ از این‌رو یافته‌ها جنبهٔ نمایشی و روش‌شناختی دارند. تعامل پنهان با شاخص‌های حاصل‌ضرب جفت‌شده و اثرهای غیرمستقیم با خودگردان‌سازی ۲۰۰۰ تکراری آزمون شد.</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مدل ساختاری برازش مطلوب داشت (⁦CFI = ۰٫۹۷۷⁩؛ ⁦RMSEA = ۰٫۰۲۳⁩؛ ⁦SRMR = ۰٫۰۴۲⁩). مواجهه با محتوا فومو را افزایش داد (⁦β = ۰٫۴۹⁩)، فومو رفتار توده‌وار را تقویت کرد (⁦β = ۰٫۴۱⁩) و رفتار توده‌وار کیفیت تصمیم را کاهش داد (⁦β = −۰٫۳۵⁩). اثر غیرمستقیم متوالی معنادار بود و استفاده از اطلاعات حسابداری اثر فومو بر رفتار توده‌وار را تضعیف کرد (⁦β = −۰٫۱۸⁩).</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دانش‌افزایی:</w:t>
      </w:r>
      <w:r>
        <w:rPr>
          <w:rFonts w:ascii="Times New Roman" w:hAnsi="Times New Roman" w:cs="B Nazanin" w:eastAsia="Times New Roman"/>
          <w:sz w:val="24"/>
          <w:szCs w:val="24"/>
          <w:lang w:val="en-US" w:bidi="fa-IR"/>
        </w:rPr>
        <w:t xml:space="preserve"> 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p>
    <w:p>
      <w:pPr>
        <w:bidi/>
        <w:spacing w:before="12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شواهد بین‌المللی دو رویکرد را نشان می‌دهد. از یک‌سو، نظرها و احساسات منتشرشده در شبکه‌ها می‌توانند حامل اطلاعات سودمند دربارهٔ بازده آتی باشند (چن و همکاران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۲۰۱۴؛ بولن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و توجه سرمایه‌گذاران خرد را جلب و جهت دهند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۲۰۱۱؛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۲۰۰۸). از سوی دیگر، همین بسترها می‌توانند به هم‌جهتی، اتاق‌های پژواک و تشدید خطاهای قضاوت بینجامند (کوکسون و نیسنر</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۲۰۲۰؛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۲۰۲۳؛ هیرشلایفر</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۲۰۲۰). آنچه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چارچوب نظری پشتیبان این پژوهش دو ستون دارد. نخست، نظریهٔ آبشارهای اطلاعاتی</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که توضیح می‌دهد چرا سرمایه‌گذاران عاقل نیز ممکن است سیگنال‌های خصوصی خود را کنار بگذارند و از رفتار دیگران پیروی کنند (بیکچندانی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۱۹۹۲؛ بنرجی</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۱۹۹۲). دوم، ادبیات ترس از دست دادن فرصت</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(فومو) که آن را اضطرابی فراگیر دربارهٔ تجربه‌های پاداش‌آور دیگران می‌داند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۲۰۱۳) و بر پایهٔ نظریهٔ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(فستینگر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۱۹۵۴) در محیط‌های شبکه‌ای تشدید می‌شود. ترکیب این دو، مسیر زیر را پیشنهاد می‌کند: مواجهه با محتوا ← فومو ← رفتار توده‌وار ← افت کیفیت تصمیم؛ مسیری که شدت آن می‌تواند با میزان تکیهٔ سرمایه‌گذار بر اطلاعات حسابداری تعدیل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این پژوهش با نگاه حسابداری رفتاری به همین دو شکاف می‌پردازد.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عبارت‌اند از: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به‌طور خلاصه، نتایج نشان داد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 داده‌های این نسخه شبیه‌سازی‌شده‌اند و پیام آن بیش از هر چیز «بازتولیدپذیری روش و ساختار مدل» است؛ بنابراین نباید به‌منزلهٔ شواهد تجربی دربارهٔ بازار واقعی تعبیر شود. ساختار مقاله چنین است: ابتدا مبانی نظری و فرضیه‌ها، سپس روش‌شناسی، یافته‌ها، و در پایان بحث و نتیجه‌گیری ارائه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توسعهٔ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کیفیت تصمیم سرمایه‌گذاری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(۲۰۰۵) شایستگی تصمیم‌گیری را ویژگی قابل‌سنجش و متفاوت میان افراد می‌دانند و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مهم است. سرمایه‌گذارانی که بیش‌ازحد و تحت‌تأثیر عوامل غیربنیادی معامله می‌کنند بازده خالص کمتری کسب می‌کنند (باربر و اودین، ۲۰۰۰؛ باربر و اودین، ۲۰۰۱) و تمایل به نگه‌داشتن زیان‌ها و فروش زودهنگام سودها از الگوهای شناخته‌شدهٔ کاهندهٔ کیفیت تصمیم است (اودین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۱۹۹۸). مرور کومار و گویال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(۲۰۱۵) نیز نشان می‌دهد سوگیری‌های رفتاری از مهم‌ترین عوامل انحراف تصمیم از فرایند عقلانی‌اند و جمشیدی و همکاران (۱۳۹۸) با بررسی سرمایه‌گذاران حقیقی بورس تهران، ارتباط سوگیری‌های رفتاری با عملکرد را مطالعه کرده‌اند.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شبکه‌های اجتماعی و اطلاعات مالی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در چنین محیطی، محتوایی که توجه را جلب می‌کند لزوماً محتوای آگاهی‌بخش‌تر نیست.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شیلر</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(۲۰۱۷) نقش روایت‌های همه‌گیر را در نوسان‌های اقتصادی برجسته کرده است. هونگ و همکاران</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می‌تواند هیجان سرمایه‌گذاران را برانگیزد.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فومو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نظریهٔ پشیمانی</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نیز نشان می‌دهد پیش‌بینی پشیمانی از دست‌دادن فرصت می‌تواند انتخاب را تحریف کند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۱۹۸۲). به‌طور کلی، پژوهش‌ها نشان داده‌اند 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۲۰۱۵). از این‌رو:</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مواجهه با محتوای سرمایه‌گذاری در شبکه‌های اجتماعی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فومو و رفتار توده‌وار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رفتار توده‌وار</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شارفشتاین و استاین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۱۹۹۰).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(۲۰۰۳الف) و بیکچندانی و شارما</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(۲۰۰۱) مرور جامعی از شواهد ارائه کرده‌اند. در سطح بازار، چانگ و همکاران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(۲۰۰۰) روشی برای شناسایی توده‌واری از پراکندگی بازده‌ها ارائه کردند و چیانگ و ژنگ</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(۲۰۱۰) شواهدی از توده‌واری را در بازارهای مختلف گزارش دادند؛ در ایران نیز پژوهش‌های بسیاری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فومو بر رفتار توده‌وار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(کوکسون و نیسنر، ۲۰۲۰؛ کوکسون و همکاران، ۲۰۲۳):</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مواجهه با محتوای سرمایه‌گذاری در شبکه‌های اجتماعی بر رفتار توده‌وار اثر مستقیم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رفتار توده‌وار و کیفیت تصمیم؛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توده‌واری می‌تواند به بروز حباب و بازگشت‌های شدید قیمت بینجامد (هیرشلایفر،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رفتار توده‌وار بر کیفیت تصمیم سرمایه‌گذاری اثر منفی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 ترکیب فرضیه‌های بالا، مسیر میانجی‌گری</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خودگردان‌سازی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اثرهای حاصل‌ضرب است (پریچر و هیز</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۲۰۰۸؛ تیلور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۲۰۰۸).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و رفتار توده‌وار اثر مواجهه با محتوا بر کیفیت تصمیم را به‌صورت متوالی میانجی‌گری می‌کنند (اثر غیرمستقیم منفی).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اطلاعات حسابداری و نقش تعدیل‌گر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۱۹۶۸). لارنس</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(۲۰۱۵) چشم‌انداز تحول افشا را در عصر رسانه‌های دیجیتال بررسی کرده‌اند.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(۲۰۱۴)،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(۲۰۱۸) و الیوت و همکاران</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بینادی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(تعدیل‌گری</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و در نتیجه اثر غیرمستقیم متوالی را نیز مشروط می‌سازد (میانجی‌گری تعدیل‌شده</w:t>
      </w:r>
      <w:r>
        <w:rPr>
          <w:rStyle w:val="FootnoteReference"/>
          <w:rFonts w:ascii="Times New Roman" w:hAnsi="Times New Roman" w:cs="B Nazanin" w:eastAsia="Times New Roman"/>
          <w:sz w:val="26"/>
          <w:szCs w:val="26"/>
          <w:vertAlign w:val="superscript"/>
          <w:lang w:val="en-US" w:bidi="fa-IR"/>
        </w:rPr>
        <w:footnoteReference w:customMarkFollows="1" w:id="44"/>
      </w:r>
      <w:r>
        <w:rPr>
          <w:rFonts w:ascii="Times New Roman" w:hAnsi="Times New Roman" w:cs="B Nazanin" w:eastAsia="Times New Roman"/>
          <w:sz w:val="26"/>
          <w:szCs w:val="26"/>
          <w:vertAlign w:val="superscript"/>
          <w:lang w:val="en-US" w:bidi="fa-IR"/>
        </w:rPr>
        <w:t>۴۴</w:t>
      </w:r>
      <w:r>
        <w:rPr>
          <w:rFonts w:ascii="Times New Roman" w:hAnsi="Times New Roman" w:cs="B Nazanin" w:eastAsia="Times New Roman"/>
          <w:sz w:val="26"/>
          <w:szCs w:val="26"/>
          <w:lang w:val="en-US" w:bidi="fa-IR"/>
        </w:rPr>
        <w:t xml:space="preserve">؛ (پریچر و همکاران</w:t>
      </w:r>
      <w:r>
        <w:rPr>
          <w:rStyle w:val="FootnoteReference"/>
          <w:rFonts w:ascii="Times New Roman" w:hAnsi="Times New Roman" w:cs="B Nazanin" w:eastAsia="Times New Roman"/>
          <w:sz w:val="26"/>
          <w:szCs w:val="26"/>
          <w:vertAlign w:val="superscript"/>
          <w:lang w:val="en-US" w:bidi="fa-IR"/>
        </w:rPr>
        <w:footnoteReference w:customMarkFollows="1" w:id="45"/>
      </w:r>
      <w:r>
        <w:rPr>
          <w:rFonts w:ascii="Times New Roman" w:hAnsi="Times New Roman" w:cs="B Nazanin" w:eastAsia="Times New Roman"/>
          <w:sz w:val="26"/>
          <w:szCs w:val="26"/>
          <w:vertAlign w:val="superscript"/>
          <w:lang w:val="en-US" w:bidi="fa-IR"/>
        </w:rPr>
        <w:t>۴۵</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اثر مثبت فومو بر رفتار توده‌وار را تضعیف می‌کند (تعامل منفی).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پژوهش را با نمایش همهٔ سازه‌های پنهان و گویه‌های سنجنده‌ی آن‌ها نشان می‌دهد و جدول ۱ فرضیه‌ها را خلاصه می‌کند.</w:t>
      </w:r>
    </w:p>
    <w:p>
      <w:pPr>
        <w:keepNext/>
        <w:jc w:val="center"/>
      </w:pPr>
      <w:r>
        <w:drawing>
          <wp:inline distT="0" distB="0" distL="0" distR="0">
            <wp:extent cx="5580000" cy="386684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8668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خلاصهٔ فرضیه‌های پژوهش</w:t>
      </w:r>
    </w:p>
    <w:tbl>
      <w:tblPr>
        <w:bidiVisual/>
        <w:tblW w:w="9000" w:type="dxa"/>
        <w:jc w:val="center"/>
        <w:tblLayout w:type="fixed"/>
        <w:tblCellMar>
          <w:left w:w="60" w:type="dxa"/>
          <w:right w:w="60" w:type="dxa"/>
        </w:tblCellMar>
      </w:tblPr>
      <w:tblGrid>
        <w:gridCol w:w="1000"/>
        <w:gridCol w:w="5600"/>
        <w:gridCol w:w="2400"/>
      </w:tblGrid>
      <w:tr>
        <w:trPr>
          <w:tblHeader/>
        </w:trPr>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فرضیه</w:t>
            </w:r>
          </w:p>
        </w:tc>
        <w:tc>
          <w:tcPr>
            <w:tcW w:w="5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جهت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فومو</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رفتار توده‌وار (مستقیم)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رفتار توده‌وار ← کیفیت تصمیم (میانجی متوالی)</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میانجی‌گری تعدیل‌شده (شاخص)</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۸</w:t>
            </w:r>
          </w:p>
        </w:tc>
        <w:tc>
          <w:tcPr>
            <w:tcW w:w="5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جامعه و کفایت نمونه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cs="B Nazanin" w:eastAsia="Times New Roman"/>
          <w:sz w:val="26"/>
          <w:szCs w:val="26"/>
          <w:vertAlign w:val="superscript"/>
          <w:lang w:val="en-US" w:bidi="fa-IR"/>
        </w:rPr>
        <w:footnoteReference w:customMarkFollows="1" w:id="46"/>
      </w:r>
      <w:r>
        <w:rPr>
          <w:rFonts w:ascii="Times New Roman" w:hAnsi="Times New Roman" w:cs="B Nazanin" w:eastAsia="Times New Roman"/>
          <w:sz w:val="26"/>
          <w:szCs w:val="26"/>
          <w:vertAlign w:val="superscript"/>
          <w:lang w:val="en-US" w:bidi="fa-IR"/>
        </w:rPr>
        <w:t>۴۶</w:t>
      </w:r>
      <w:r>
        <w:rPr>
          <w:rFonts w:ascii="Times New Roman" w:hAnsi="Times New Roman" w:cs="B Nazanin" w:eastAsia="Times New Roman"/>
          <w:sz w:val="26"/>
          <w:szCs w:val="26"/>
          <w:lang w:val="en-US" w:bidi="fa-IR"/>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۳۸۶ نفر بود. شمار پارامترهای آزاد مدل اندازه‌گیری ۶۲ و مدل ساختاری ۸۰ است؛ بنابراین نسبت مشاهده به پارامتر به‌ترتیب ۶٫۲۳ و ۴٫۸۳ می‌شود که از قاعدهٔ سرانگشتی ۱۰ به ۱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47"/>
      </w:r>
      <w:r>
        <w:rPr>
          <w:rFonts w:ascii="Times New Roman" w:hAnsi="Times New Roman" w:cs="B Nazanin" w:eastAsia="Times New Roman"/>
          <w:sz w:val="26"/>
          <w:szCs w:val="26"/>
          <w:vertAlign w:val="superscript"/>
          <w:lang w:val="en-US" w:bidi="fa-IR"/>
        </w:rPr>
        <w:t>۴۷</w:t>
      </w:r>
      <w:r>
        <w:rPr>
          <w:rFonts w:ascii="Times New Roman" w:hAnsi="Times New Roman" w:cs="B Nazanin" w:eastAsia="Times New Roman"/>
          <w:sz w:val="26"/>
          <w:szCs w:val="26"/>
          <w:lang w:val="en-US" w:bidi="fa-IR"/>
        </w:rPr>
        <w:t xml:space="preserve">، ۲۰۱۳؛ کلاین</w:t>
      </w:r>
      <w:r>
        <w:rPr>
          <w:rStyle w:val="FootnoteReference"/>
          <w:rFonts w:ascii="Times New Roman" w:hAnsi="Times New Roman" w:cs="B Nazanin" w:eastAsia="Times New Roman"/>
          <w:sz w:val="26"/>
          <w:szCs w:val="26"/>
          <w:vertAlign w:val="superscript"/>
          <w:lang w:val="en-US" w:bidi="fa-IR"/>
        </w:rPr>
        <w:footnoteReference w:customMarkFollows="1" w:id="48"/>
      </w:r>
      <w:r>
        <w:rPr>
          <w:rFonts w:ascii="Times New Roman" w:hAnsi="Times New Roman" w:cs="B Nazanin" w:eastAsia="Times New Roman"/>
          <w:sz w:val="26"/>
          <w:szCs w:val="26"/>
          <w:vertAlign w:val="superscript"/>
          <w:lang w:val="en-US" w:bidi="fa-IR"/>
        </w:rPr>
        <w:t>۴۸</w:t>
      </w:r>
      <w:r>
        <w:rPr>
          <w:rFonts w:ascii="Times New Roman" w:hAnsi="Times New Roman" w:cs="B Nazanin" w:eastAsia="Times New Roman"/>
          <w:sz w:val="26"/>
          <w:szCs w:val="26"/>
          <w:lang w:val="en-US" w:bidi="fa-IR"/>
        </w:rPr>
        <w:t xml:space="preserve">، ۲۰۲۳). بر پایهٔ تحلیل توان مبتنی بر ریشهٔ میانگین مربعات خطای تقریب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49"/>
      </w:r>
      <w:r>
        <w:rPr>
          <w:rFonts w:ascii="Times New Roman" w:hAnsi="Times New Roman" w:cs="B Nazanin" w:eastAsia="Times New Roman"/>
          <w:sz w:val="26"/>
          <w:szCs w:val="26"/>
          <w:vertAlign w:val="superscript"/>
          <w:lang w:val="en-US" w:bidi="fa-IR"/>
        </w:rPr>
        <w:t>۴۹</w:t>
      </w:r>
      <w:r>
        <w:rPr>
          <w:rFonts w:ascii="Times New Roman" w:hAnsi="Times New Roman" w:cs="B Nazanin" w:eastAsia="Times New Roman"/>
          <w:sz w:val="26"/>
          <w:szCs w:val="26"/>
          <w:lang w:val="en-US" w:bidi="fa-IR"/>
        </w:rPr>
        <w:t xml:space="preserve">، ۱۹۹۶)، برای آزمون برازش نزدیک (⁦RMSEA = ۰٫۰۵⁩) در برابر برازش ضعیف (⁦RMSEA = ۰٫۰۸⁩) توان آزمون برای مدل اندازه‌گیری بیش از ۰٫۹۹ و برای مدل ساختاری بیش از ۰٫۹۹ است که از ۰٫۸۰ بسیار بالاتر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داده‌های این پژوهش با فرایند شبیه‌سازی واقع‌نما تولید شده‌اند. ابتدا متغیرهای پنهان از توزیع نرمال چندمتغیره با ضرایب ساختاری مفروض (جدول ۲) تولید شد. سپس هر گویه با بار عاملی ۰٫۶۰ تا ۰٫۸۰، چند بارگذاری متقاطع کوچک (۰٫۱۰ تا ۰٫۲۰)، همبستگی خطا میان گویه‌های هم‌محتوا، یک عامل روش مشترک ضعیف و آستانه‌های نامتقارن لیکرت به مقیاس ۱ تا ۵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ضرایب ساختاری استاندارد مفروض در شبیه‌سازی</w:t>
      </w:r>
    </w:p>
    <w:tbl>
      <w:tblPr>
        <w:bidiVisual/>
        <w:tblW w:w="8900" w:type="dxa"/>
        <w:jc w:val="center"/>
        <w:tblLayout w:type="fixed"/>
        <w:tblCellMar>
          <w:left w:w="60" w:type="dxa"/>
          <w:right w:w="60" w:type="dxa"/>
        </w:tblCellMar>
      </w:tblPr>
      <w:tblGrid>
        <w:gridCol w:w="2900"/>
        <w:gridCol w:w="1500"/>
        <w:gridCol w:w="3000"/>
        <w:gridCol w:w="15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۰٫۴۷</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۰٫۳۰</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در جدول ۹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 و تعریف عملیاتی متغیرها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گردآوری، پرسشنامه‌ای شامل پنج سازه و ۲۶ گویه در مقیاس لیکرت پنج‌درجه‌ای (۱ = کاملاً مخالفم تا ۵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۳). متن کامل پرسشنامه به‌همراه راهنمای اعتبارسنجی (نسبت و شاخص روایی محتوا، ترجمه و ترجمهٔ معکوس) در فایل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سازه‌های پنهان، تعداد گویه‌ها و مبنای نظری گویه‌ها</w:t>
      </w:r>
    </w:p>
    <w:tbl>
      <w:tblPr>
        <w:bidiVisual/>
        <w:tblW w:w="9000" w:type="dxa"/>
        <w:jc w:val="center"/>
        <w:tblLayout w:type="fixed"/>
        <w:tblCellMar>
          <w:left w:w="60" w:type="dxa"/>
          <w:right w:w="60" w:type="dxa"/>
        </w:tblCellMar>
      </w:tblPr>
      <w:tblGrid>
        <w:gridCol w:w="2500"/>
        <w:gridCol w:w="700"/>
        <w:gridCol w:w="3000"/>
        <w:gridCol w:w="2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تعریف عملیاتی</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سرمایه‌گذاری در شبکه‌های اجتماعی (SME)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دفعات و شدت دنبال‌کردن و اتکا به محتوای بورس در شبکه‌ها</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 پژوهشگر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نگرانی از دست‌دادن فرصت سودآوری که دیگران دارند</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پیروی تصمیم از رفتار جمع به‌جای تحلیل شخصی</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باکار و یی (۲۰۱۶)؛ کومار و گویال (۲۰۱۵)</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به‌کارگیری صورت‌های مالی، کدال و نسبت‌ها در تصمیم</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توسعه‌یافته بر پایهٔ لارنس (۲۰۱۳)</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سرمایه‌گذاری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تحلیل‌محوری، رضایت، همسویی با اهداف و پشیمانی کم</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هیچ‌یک از گویه‌ها نسخهٔ استانداردشدهٔ فارسی نیست و پیش از جمع‌آوری داده‌ٔ واقعی باید اعتبارسنجی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محیط پایتون و با بستهٔ semopy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50"/>
      </w:r>
      <w:r>
        <w:rPr>
          <w:rFonts w:ascii="Times New Roman" w:hAnsi="Times New Roman" w:cs="B Nazanin" w:eastAsia="Times New Roman"/>
          <w:sz w:val="26"/>
          <w:szCs w:val="26"/>
          <w:vertAlign w:val="superscript"/>
          <w:lang w:val="en-US" w:bidi="fa-IR"/>
        </w:rPr>
        <w:t>۵۰</w:t>
      </w:r>
      <w:r>
        <w:rPr>
          <w:rFonts w:ascii="Times New Roman" w:hAnsi="Times New Roman" w:cs="B Nazanin" w:eastAsia="Times New Roman"/>
          <w:sz w:val="26"/>
          <w:szCs w:val="26"/>
          <w:lang w:val="en-US" w:bidi="fa-IR"/>
        </w:rPr>
        <w:t xml:space="preserve">، ۲۰۲۰) انجام شد. نخست توصیف گویه‌ها و آزمون نرمال‌بودن چندمتغیره ((ماردیا</w:t>
      </w:r>
      <w:r>
        <w:rPr>
          <w:rStyle w:val="FootnoteReference"/>
          <w:rFonts w:ascii="Times New Roman" w:hAnsi="Times New Roman" w:cs="B Nazanin" w:eastAsia="Times New Roman"/>
          <w:sz w:val="26"/>
          <w:szCs w:val="26"/>
          <w:vertAlign w:val="superscript"/>
          <w:lang w:val="en-US" w:bidi="fa-IR"/>
        </w:rPr>
        <w:footnoteReference w:customMarkFollows="1" w:id="51"/>
      </w:r>
      <w:r>
        <w:rPr>
          <w:rFonts w:ascii="Times New Roman" w:hAnsi="Times New Roman" w:cs="B Nazanin" w:eastAsia="Times New Roman"/>
          <w:sz w:val="26"/>
          <w:szCs w:val="26"/>
          <w:vertAlign w:val="superscript"/>
          <w:lang w:val="en-US" w:bidi="fa-IR"/>
        </w:rPr>
        <w:t>۵۱</w:t>
      </w:r>
      <w:r>
        <w:rPr>
          <w:rFonts w:ascii="Times New Roman" w:hAnsi="Times New Roman" w:cs="B Nazanin" w:eastAsia="Times New Roman"/>
          <w:sz w:val="26"/>
          <w:szCs w:val="26"/>
          <w:lang w:val="en-US" w:bidi="fa-IR"/>
        </w:rPr>
        <w:t xml:space="preserve">، ۱۹۷۰)) بررسی شد. از آنجا که گویه‌ها پنج‌طبقه‌ای و بدون چولگی شدیدند، برآورد بیشینهٔ درست‌نمایی</w:t>
      </w:r>
      <w:r>
        <w:rPr>
          <w:rStyle w:val="FootnoteReference"/>
          <w:rFonts w:ascii="Times New Roman" w:hAnsi="Times New Roman" w:cs="B Nazanin" w:eastAsia="Times New Roman"/>
          <w:sz w:val="26"/>
          <w:szCs w:val="26"/>
          <w:vertAlign w:val="superscript"/>
          <w:lang w:val="en-US" w:bidi="fa-IR"/>
        </w:rPr>
        <w:footnoteReference w:customMarkFollows="1" w:id="52"/>
      </w:r>
      <w:r>
        <w:rPr>
          <w:rFonts w:ascii="Times New Roman" w:hAnsi="Times New Roman" w:cs="B Nazanin" w:eastAsia="Times New Roman"/>
          <w:sz w:val="26"/>
          <w:szCs w:val="26"/>
          <w:vertAlign w:val="superscript"/>
          <w:lang w:val="en-US" w:bidi="fa-IR"/>
        </w:rPr>
        <w:t>۵۲</w:t>
      </w:r>
      <w:r>
        <w:rPr>
          <w:rFonts w:ascii="Times New Roman" w:hAnsi="Times New Roman" w:cs="B Nazanin" w:eastAsia="Times New Roman"/>
          <w:sz w:val="26"/>
          <w:szCs w:val="26"/>
          <w:lang w:val="en-US" w:bidi="fa-IR"/>
        </w:rPr>
        <w:t xml:space="preserve"> با تقریب پیوسته پذیرفتنی است (رمتولا و همکاران</w:t>
      </w:r>
      <w:r>
        <w:rPr>
          <w:rStyle w:val="FootnoteReference"/>
          <w:rFonts w:ascii="Times New Roman" w:hAnsi="Times New Roman" w:cs="B Nazanin" w:eastAsia="Times New Roman"/>
          <w:sz w:val="26"/>
          <w:szCs w:val="26"/>
          <w:vertAlign w:val="superscript"/>
          <w:lang w:val="en-US" w:bidi="fa-IR"/>
        </w:rPr>
        <w:footnoteReference w:customMarkFollows="1" w:id="53"/>
      </w:r>
      <w:r>
        <w:rPr>
          <w:rFonts w:ascii="Times New Roman" w:hAnsi="Times New Roman" w:cs="B Nazanin" w:eastAsia="Times New Roman"/>
          <w:sz w:val="26"/>
          <w:szCs w:val="26"/>
          <w:vertAlign w:val="superscript"/>
          <w:lang w:val="en-US" w:bidi="fa-IR"/>
        </w:rPr>
        <w:t>۵۳</w:t>
      </w:r>
      <w:r>
        <w:rPr>
          <w:rFonts w:ascii="Times New Roman" w:hAnsi="Times New Roman" w:cs="B Nazanin" w:eastAsia="Times New Roman"/>
          <w:sz w:val="26"/>
          <w:szCs w:val="26"/>
          <w:lang w:val="en-US" w:bidi="fa-IR"/>
        </w:rPr>
        <w:t xml:space="preserve">، ۲۰۱۲)؛ برای اطمینان از استحکام، برآوردگر حداقل مربعات وزنی قطری</w:t>
      </w:r>
      <w:r>
        <w:rPr>
          <w:rStyle w:val="FootnoteReference"/>
          <w:rFonts w:ascii="Times New Roman" w:hAnsi="Times New Roman" w:cs="B Nazanin" w:eastAsia="Times New Roman"/>
          <w:sz w:val="26"/>
          <w:szCs w:val="26"/>
          <w:vertAlign w:val="superscript"/>
          <w:lang w:val="en-US" w:bidi="fa-IR"/>
        </w:rPr>
        <w:footnoteReference w:customMarkFollows="1" w:id="54"/>
      </w:r>
      <w:r>
        <w:rPr>
          <w:rFonts w:ascii="Times New Roman" w:hAnsi="Times New Roman" w:cs="B Nazanin" w:eastAsia="Times New Roman"/>
          <w:sz w:val="26"/>
          <w:szCs w:val="26"/>
          <w:vertAlign w:val="superscript"/>
          <w:lang w:val="en-US" w:bidi="fa-IR"/>
        </w:rPr>
        <w:t>۵۴</w:t>
      </w:r>
      <w:r>
        <w:rPr>
          <w:rFonts w:ascii="Times New Roman" w:hAnsi="Times New Roman" w:cs="B Nazanin" w:eastAsia="Times New Roman"/>
          <w:sz w:val="26"/>
          <w:szCs w:val="26"/>
          <w:lang w:val="en-US" w:bidi="fa-IR"/>
        </w:rPr>
        <w:t xml:space="preserve"> نیز اجرا شد (لی</w:t>
      </w:r>
      <w:r>
        <w:rPr>
          <w:rStyle w:val="FootnoteReference"/>
          <w:rFonts w:ascii="Times New Roman" w:hAnsi="Times New Roman" w:cs="B Nazanin" w:eastAsia="Times New Roman"/>
          <w:sz w:val="26"/>
          <w:szCs w:val="26"/>
          <w:vertAlign w:val="superscript"/>
          <w:lang w:val="en-US" w:bidi="fa-IR"/>
        </w:rPr>
        <w:footnoteReference w:customMarkFollows="1" w:id="55"/>
      </w:r>
      <w:r>
        <w:rPr>
          <w:rFonts w:ascii="Times New Roman" w:hAnsi="Times New Roman" w:cs="B Nazanin" w:eastAsia="Times New Roman"/>
          <w:sz w:val="26"/>
          <w:szCs w:val="26"/>
          <w:vertAlign w:val="superscript"/>
          <w:lang w:val="en-US" w:bidi="fa-IR"/>
        </w:rPr>
        <w:t>۵۵</w:t>
      </w:r>
      <w:r>
        <w:rPr>
          <w:rFonts w:ascii="Times New Roman" w:hAnsi="Times New Roman" w:cs="B Nazanin" w:eastAsia="Times New Roman"/>
          <w:sz w:val="26"/>
          <w:szCs w:val="26"/>
          <w:lang w:val="en-US" w:bidi="fa-IR"/>
        </w:rPr>
        <w:t xml:space="preserve">، ۲۰۱۶).</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با تحلیل عاملی تأییدی</w:t>
      </w:r>
      <w:r>
        <w:rPr>
          <w:rStyle w:val="FootnoteReference"/>
          <w:rFonts w:ascii="Times New Roman" w:hAnsi="Times New Roman" w:cs="B Nazanin" w:eastAsia="Times New Roman"/>
          <w:sz w:val="26"/>
          <w:szCs w:val="26"/>
          <w:vertAlign w:val="superscript"/>
          <w:lang w:val="en-US" w:bidi="fa-IR"/>
        </w:rPr>
        <w:footnoteReference w:customMarkFollows="1" w:id="56"/>
      </w:r>
      <w:r>
        <w:rPr>
          <w:rFonts w:ascii="Times New Roman" w:hAnsi="Times New Roman" w:cs="B Nazanin" w:eastAsia="Times New Roman"/>
          <w:sz w:val="26"/>
          <w:szCs w:val="26"/>
          <w:vertAlign w:val="superscript"/>
          <w:lang w:val="en-US" w:bidi="fa-IR"/>
        </w:rPr>
        <w:t>۵۶</w:t>
      </w:r>
      <w:r>
        <w:rPr>
          <w:rFonts w:ascii="Times New Roman" w:hAnsi="Times New Roman" w:cs="B Nazanin" w:eastAsia="Times New Roman"/>
          <w:sz w:val="26"/>
          <w:szCs w:val="26"/>
          <w:lang w:val="en-US" w:bidi="fa-IR"/>
        </w:rPr>
        <w:t xml:space="preserve"> آزموده و پایایی (آلفای کرونباخ و پایایی ترکیبی</w:t>
      </w:r>
      <w:r>
        <w:rPr>
          <w:rStyle w:val="FootnoteReference"/>
          <w:rFonts w:ascii="Times New Roman" w:hAnsi="Times New Roman" w:cs="B Nazanin" w:eastAsia="Times New Roman"/>
          <w:sz w:val="26"/>
          <w:szCs w:val="26"/>
          <w:vertAlign w:val="superscript"/>
          <w:lang w:val="en-US" w:bidi="fa-IR"/>
        </w:rPr>
        <w:footnoteReference w:customMarkFollows="1" w:id="57"/>
      </w:r>
      <w:r>
        <w:rPr>
          <w:rFonts w:ascii="Times New Roman" w:hAnsi="Times New Roman" w:cs="B Nazanin" w:eastAsia="Times New Roman"/>
          <w:sz w:val="26"/>
          <w:szCs w:val="26"/>
          <w:vertAlign w:val="superscript"/>
          <w:lang w:val="en-US" w:bidi="fa-IR"/>
        </w:rPr>
        <w:t>۵۷</w:t>
      </w:r>
      <w:r>
        <w:rPr>
          <w:rFonts w:ascii="Times New Roman" w:hAnsi="Times New Roman" w:cs="B Nazanin" w:eastAsia="Times New Roman"/>
          <w:sz w:val="26"/>
          <w:szCs w:val="26"/>
          <w:lang w:val="en-US" w:bidi="fa-IR"/>
        </w:rPr>
        <w:t xml:space="preserve">)، روایی همگرا</w:t>
      </w:r>
      <w:r>
        <w:rPr>
          <w:rStyle w:val="FootnoteReference"/>
          <w:rFonts w:ascii="Times New Roman" w:hAnsi="Times New Roman" w:cs="B Nazanin" w:eastAsia="Times New Roman"/>
          <w:sz w:val="26"/>
          <w:szCs w:val="26"/>
          <w:vertAlign w:val="superscript"/>
          <w:lang w:val="en-US" w:bidi="fa-IR"/>
        </w:rPr>
        <w:footnoteReference w:customMarkFollows="1" w:id="58"/>
      </w:r>
      <w:r>
        <w:rPr>
          <w:rFonts w:ascii="Times New Roman" w:hAnsi="Times New Roman" w:cs="B Nazanin" w:eastAsia="Times New Roman"/>
          <w:sz w:val="26"/>
          <w:szCs w:val="26"/>
          <w:vertAlign w:val="superscript"/>
          <w:lang w:val="en-US" w:bidi="fa-IR"/>
        </w:rPr>
        <w:t>۵۸</w:t>
      </w:r>
      <w:r>
        <w:rPr>
          <w:rFonts w:ascii="Times New Roman" w:hAnsi="Times New Roman" w:cs="B Nazanin" w:eastAsia="Times New Roman"/>
          <w:sz w:val="26"/>
          <w:szCs w:val="26"/>
          <w:lang w:val="en-US" w:bidi="fa-IR"/>
        </w:rPr>
        <w:t xml:space="preserve"> (میانگین واریانس استخراج‌شده) و روایی واگرا</w:t>
      </w:r>
      <w:r>
        <w:rPr>
          <w:rStyle w:val="FootnoteReference"/>
          <w:rFonts w:ascii="Times New Roman" w:hAnsi="Times New Roman" w:cs="B Nazanin" w:eastAsia="Times New Roman"/>
          <w:sz w:val="26"/>
          <w:szCs w:val="26"/>
          <w:vertAlign w:val="superscript"/>
          <w:lang w:val="en-US" w:bidi="fa-IR"/>
        </w:rPr>
        <w:footnoteReference w:customMarkFollows="1" w:id="59"/>
      </w:r>
      <w:r>
        <w:rPr>
          <w:rFonts w:ascii="Times New Roman" w:hAnsi="Times New Roman" w:cs="B Nazanin" w:eastAsia="Times New Roman"/>
          <w:sz w:val="26"/>
          <w:szCs w:val="26"/>
          <w:vertAlign w:val="superscript"/>
          <w:lang w:val="en-US" w:bidi="fa-IR"/>
        </w:rPr>
        <w:t>۵۹</w:t>
      </w:r>
      <w:r>
        <w:rPr>
          <w:rFonts w:ascii="Times New Roman" w:hAnsi="Times New Roman" w:cs="B Nazanin" w:eastAsia="Times New Roman"/>
          <w:sz w:val="26"/>
          <w:szCs w:val="26"/>
          <w:lang w:val="en-US" w:bidi="fa-IR"/>
        </w:rPr>
        <w:t xml:space="preserve"> (معیار فورنل ـ لارکر و نسبت HTMT) سنجیده شد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60"/>
      </w:r>
      <w:r>
        <w:rPr>
          <w:rFonts w:ascii="Times New Roman" w:hAnsi="Times New Roman" w:cs="B Nazanin" w:eastAsia="Times New Roman"/>
          <w:sz w:val="26"/>
          <w:szCs w:val="26"/>
          <w:vertAlign w:val="superscript"/>
          <w:lang w:val="en-US" w:bidi="fa-IR"/>
        </w:rPr>
        <w:t>۶۰</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61"/>
      </w:r>
      <w:r>
        <w:rPr>
          <w:rFonts w:ascii="Times New Roman" w:hAnsi="Times New Roman" w:cs="B Nazanin" w:eastAsia="Times New Roman"/>
          <w:sz w:val="26"/>
          <w:szCs w:val="26"/>
          <w:vertAlign w:val="superscript"/>
          <w:lang w:val="en-US" w:bidi="fa-IR"/>
        </w:rPr>
        <w:t>۶۱</w:t>
      </w:r>
      <w:r>
        <w:rPr>
          <w:rFonts w:ascii="Times New Roman" w:hAnsi="Times New Roman" w:cs="B Nazanin" w:eastAsia="Times New Roman"/>
          <w:sz w:val="26"/>
          <w:szCs w:val="26"/>
          <w:lang w:val="en-US" w:bidi="fa-IR"/>
        </w:rPr>
        <w:t xml:space="preserve">، ۲۰۱۵). سوگیری روش مشترک با آزمون تک‌عاملی هارمن، مدل تک‌عاملی و مدل عامل روش مشترک بررسی شد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62"/>
      </w:r>
      <w:r>
        <w:rPr>
          <w:rFonts w:ascii="Times New Roman" w:hAnsi="Times New Roman" w:cs="B Nazanin" w:eastAsia="Times New Roman"/>
          <w:sz w:val="26"/>
          <w:szCs w:val="26"/>
          <w:vertAlign w:val="superscript"/>
          <w:lang w:val="en-US" w:bidi="fa-IR"/>
        </w:rPr>
        <w:t>۶۲</w:t>
      </w:r>
      <w:r>
        <w:rPr>
          <w:rFonts w:ascii="Times New Roman" w:hAnsi="Times New Roman" w:cs="B Nazanin" w:eastAsia="Times New Roman"/>
          <w:sz w:val="26"/>
          <w:szCs w:val="26"/>
          <w:lang w:val="en-US" w:bidi="fa-IR"/>
        </w:rPr>
        <w:t xml:space="preserve">، ۲۰۰۳). معیارهای برازش شامل χ² به نسبت درجهٔ آزادی، CFI، TLI، RMSEA و SRMR بود که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63"/>
      </w:r>
      <w:r>
        <w:rPr>
          <w:rFonts w:ascii="Times New Roman" w:hAnsi="Times New Roman" w:cs="B Nazanin" w:eastAsia="Times New Roman"/>
          <w:sz w:val="26"/>
          <w:szCs w:val="26"/>
          <w:vertAlign w:val="superscript"/>
          <w:lang w:val="en-US" w:bidi="fa-IR"/>
        </w:rPr>
        <w:t>۶۳</w:t>
      </w:r>
      <w:r>
        <w:rPr>
          <w:rFonts w:ascii="Times New Roman" w:hAnsi="Times New Roman" w:cs="B Nazanin" w:eastAsia="Times New Roman"/>
          <w:sz w:val="26"/>
          <w:szCs w:val="26"/>
          <w:lang w:val="en-US" w:bidi="fa-IR"/>
        </w:rPr>
        <w:t xml:space="preserve"> (۱۹۹۹) مقایسه شدند.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Reference"/>
          <w:rFonts w:ascii="Times New Roman" w:hAnsi="Times New Roman" w:cs="B Nazanin" w:eastAsia="Times New Roman"/>
          <w:sz w:val="26"/>
          <w:szCs w:val="26"/>
          <w:vertAlign w:val="superscript"/>
          <w:lang w:val="en-US" w:bidi="fa-IR"/>
        </w:rPr>
        <w:footnoteReference w:customMarkFollows="1" w:id="64"/>
      </w:r>
      <w:r>
        <w:rPr>
          <w:rFonts w:ascii="Times New Roman" w:hAnsi="Times New Roman" w:cs="B Nazanin" w:eastAsia="Times New Roman"/>
          <w:sz w:val="26"/>
          <w:szCs w:val="26"/>
          <w:vertAlign w:val="superscript"/>
          <w:lang w:val="en-US" w:bidi="fa-IR"/>
        </w:rPr>
        <w:t>۶۴</w:t>
      </w:r>
      <w:r>
        <w:rPr>
          <w:rFonts w:ascii="Times New Roman" w:hAnsi="Times New Roman" w:cs="B Nazanin" w:eastAsia="Times New Roman"/>
          <w:sz w:val="26"/>
          <w:szCs w:val="26"/>
          <w:lang w:val="en-US" w:bidi="fa-IR"/>
        </w:rPr>
        <w:t xml:space="preserve">، ۲۰۰۴) و در تحلیل استحکام با روش مرکزسازی باقی‌مانده (لیتل و همکاران</w:t>
      </w:r>
      <w:r>
        <w:rPr>
          <w:rStyle w:val="FootnoteReference"/>
          <w:rFonts w:ascii="Times New Roman" w:hAnsi="Times New Roman" w:cs="B Nazanin" w:eastAsia="Times New Roman"/>
          <w:sz w:val="26"/>
          <w:szCs w:val="26"/>
          <w:vertAlign w:val="superscript"/>
          <w:lang w:val="en-US" w:bidi="fa-IR"/>
        </w:rPr>
        <w:footnoteReference w:customMarkFollows="1" w:id="65"/>
      </w:r>
      <w:r>
        <w:rPr>
          <w:rFonts w:ascii="Times New Roman" w:hAnsi="Times New Roman" w:cs="B Nazanin" w:eastAsia="Times New Roman"/>
          <w:sz w:val="26"/>
          <w:szCs w:val="26"/>
          <w:vertAlign w:val="superscript"/>
          <w:lang w:val="en-US" w:bidi="fa-IR"/>
        </w:rPr>
        <w:t>۶۵</w:t>
      </w:r>
      <w:r>
        <w:rPr>
          <w:rFonts w:ascii="Times New Roman" w:hAnsi="Times New Roman" w:cs="B Nazanin" w:eastAsia="Times New Roman"/>
          <w:sz w:val="26"/>
          <w:szCs w:val="26"/>
          <w:lang w:val="en-US" w:bidi="fa-IR"/>
        </w:rPr>
        <w:t xml:space="preserve">، ۲۰۰۶) بازبرآورد شد. اندازهٔ اثر تعامل از تفاضل R² مدل با و بدون جملهٔ تعاملی ((کوهن</w:t>
      </w:r>
      <w:r>
        <w:rPr>
          <w:rStyle w:val="FootnoteReference"/>
          <w:rFonts w:ascii="Times New Roman" w:hAnsi="Times New Roman" w:cs="B Nazanin" w:eastAsia="Times New Roman"/>
          <w:sz w:val="26"/>
          <w:szCs w:val="26"/>
          <w:vertAlign w:val="superscript"/>
          <w:lang w:val="en-US" w:bidi="fa-IR"/>
        </w:rPr>
        <w:footnoteReference w:customMarkFollows="1" w:id="66"/>
      </w:r>
      <w:r>
        <w:rPr>
          <w:rFonts w:ascii="Times New Roman" w:hAnsi="Times New Roman" w:cs="B Nazanin" w:eastAsia="Times New Roman"/>
          <w:sz w:val="26"/>
          <w:szCs w:val="26"/>
          <w:vertAlign w:val="superscript"/>
          <w:lang w:val="en-US" w:bidi="fa-IR"/>
        </w:rPr>
        <w:t>۶۶</w:t>
      </w:r>
      <w:r>
        <w:rPr>
          <w:rFonts w:ascii="Times New Roman" w:hAnsi="Times New Roman" w:cs="B Nazanin" w:eastAsia="Times New Roman"/>
          <w:sz w:val="26"/>
          <w:szCs w:val="26"/>
          <w:lang w:val="en-US" w:bidi="fa-IR"/>
        </w:rPr>
        <w:t xml:space="preserve">، ۱۹۸۸)) محاسبه شد. اثرهای غیرمستقیم و مشروط با ۲۰۰۰ نمونهٔ خودگردان و فاصلهٔ اطمینان صدکی ۹۵٪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یافته‌های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مشخصات جمعیت‌شناختی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۳۸۶ سرمایه‌گذار، ۷۱٫۵٪ مرد و ۲۸٫۵٪ زن بودند. میانگین سن ۳۶٫۹ سال (انحراف معیار ۸٫۹) و میانگین سابقهٔ معامله ۷٫۰ سال (انحراف معیار ۴٫۴) بود. از نظر تحصیلات، ۱۰٫۴٪ دیپلم و کمتر، ۴۳٫۰٪ کارشناسی، ۳۹٫۱٪ کارشناسی ارشد و ۷٫۵٪ دکتری داشتند و میانهٔ ارزش سبد ۱۸۴ میلیون تومان بود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مشخصات جمعیت‌شناختی نمونه (شبیه‌سازی‌شده)</w:t>
      </w:r>
    </w:p>
    <w:tbl>
      <w:tblPr>
        <w:bidiVisual/>
        <w:tblW w:w="8000" w:type="dxa"/>
        <w:jc w:val="center"/>
        <w:tblLayout w:type="fixed"/>
        <w:tblCellMar>
          <w:left w:w="60" w:type="dxa"/>
          <w:right w:w="60" w:type="dxa"/>
        </w:tblCellMar>
      </w:tblPr>
      <w:tblGrid>
        <w:gridCol w:w="2600"/>
        <w:gridCol w:w="3200"/>
        <w:gridCol w:w="22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متغیر</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طبقه / شاخص</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مقدار</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جنسیت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مرد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۷۱٫۵٪</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زن</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۲۸٫۵٪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سن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 (۸٫۹)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سابقهٔ معامله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۷٫۰ (۴٫۴)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تحصیلات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دیپلم و کمتر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۱۰٫۴٪</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۴۳٫۰٪</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 ارشد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۳۹٫۱٪</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دکتری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ارزش سبد (میلیون تومان)</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میانه (دامنهٔ میان‌چارکی)</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۱۸۴ (۱۰۰–۳۵۸)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آمار توصیفی گویه‌ها و بارهای عاملی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جدول ۵ آمار توصیفی هر گویه و بار عاملی استاندارد آن را بر متغیر پنهان مربوط نشان می‌دهد. میانگین گویه‌ها بین ۲٫۳۵ و ۳٫۴۴ از ۵ بود. چولگی در بازهٔ ⁦−۰٫۲۳⁩ تا ۰٫۵۵ و کشیدگی بین ⁦−۰٫۷۶⁩ و ⁦−۰٫۳۴⁩ قرار داشت که از آستانه‌های رایج (قدر مطلق ۲ برای چولگی و ۷ برای کشیدگی) فاصله دارد. شاخص کشیدگی چندمتغیرهٔ ماردیا برابر ۷۱۷٫۱ در برابر مقدار مورد انتظار ۷۲۸ (⁦z = −۲٫۸۲⁩) بود؛ یعنی توزیع چندمتغیره دقیقاً نرمال نیست و به همین دلیل برآوردگر مقاوم نیز به‌کار رفت. بارهای عاملی استاندارد همگی معنادار و بین ۰٫۵۸ و ۰٫۸۲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۳٫۳۰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 تغییر تصمیم‌های سایر سرمایه‌گذاران به‌سرعت واکنش نشان می‌دهم و از آن‌ها پیروی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۱٫۰۵</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برای خرید یا فروش، به حجم معاملات و صف‌های خرید و فروش توجه می‌کنم تا هم‌جهت با بازار باشم.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۲٫۴۵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بیشتر سرمایه‌گذاران سهمی را بخرند، من هم تمایل به خرید آن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تصمیم‌گیری، نظر جمع را به تحلیل شخصی‌ام ترجیح می‌دهم.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تحت‌تأثیر تصمیم دوستان و اطرافیان فعال در بورس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برازش و روایی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نشان داد (جدول ۶): نسبت χ² به درجهٔ آزادی ۱٫۳۴ و شاخص‌های CFI، TLI، RMSEA و SRMR همگی در بازهٔ مطلوب (هو و بنتلر، ۱۹۹۹) قرار گرفتند. آلفای کرونباخ و پایایی ترکیبی همهٔ سازه‌ها بالاتر از ۰٫۷۰ و میانگین واریانس استخراج‌شده در بازهٔ ۰٫۵۰ تا ۰٫۵۴ است (جدول ۷)؛ پس پایایی و روایی همگرا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شاخص‌های برازش مدل اندازه‌گیری، مدل ساختاری و مدل تک‌عاملی</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آستانهٔ مطلوب</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 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پنج‌عاملی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۳۸۸٫۰</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 (با تعامل پنهان)</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۶۱۷٫۷</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۲۳۶۳٫۸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۷٫۹۱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پایایی و روایی همگرا</w:t>
      </w:r>
    </w:p>
    <w:tbl>
      <w:tblPr>
        <w:bidiVisual/>
        <w:tblW w:w="8100" w:type="dxa"/>
        <w:jc w:val="center"/>
        <w:tblLayout w:type="fixed"/>
        <w:tblCellMar>
          <w:left w:w="60" w:type="dxa"/>
          <w:right w:w="60" w:type="dxa"/>
        </w:tblCellMar>
      </w:tblPr>
      <w:tblGrid>
        <w:gridCol w:w="2600"/>
        <w:gridCol w:w="700"/>
        <w:gridCol w:w="1600"/>
        <w:gridCol w:w="800"/>
        <w:gridCol w:w="800"/>
        <w:gridCol w:w="800"/>
        <w:gridCol w:w="8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دامنهٔ بار عاملی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۰٫۵۸–۰٫۸۰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۰٫۸۲۹</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۰٫۸۳۱</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۰٫۷۰۷</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۰٫۶۷–۰٫۸۲</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۰٫۷۳۵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۰٫۶۶–۰٫۷۷</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۰٫۶۴–۰٫۸۱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روایی واگرا: همبستگی پنهان (زیر قطر)، √AVE (قطر) و HTMT (بالای قطر)</w:t>
      </w:r>
    </w:p>
    <w:tbl>
      <w:tblPr>
        <w:bidiVisual/>
        <w:tblW w:w="8300" w:type="dxa"/>
        <w:jc w:val="center"/>
        <w:tblLayout w:type="fixed"/>
        <w:tblCellMar>
          <w:left w:w="60" w:type="dxa"/>
          <w:right w:w="60" w:type="dxa"/>
        </w:tblCellMar>
      </w:tblPr>
      <w:tblGrid>
        <w:gridCol w:w="2800"/>
        <w:gridCol w:w="1100"/>
        <w:gridCol w:w="1100"/>
        <w:gridCol w:w="1100"/>
        <w:gridCol w:w="1100"/>
        <w:gridCol w:w="1100"/>
      </w:tblGrid>
      <w:tr>
        <w:trPr>
          <w:tblHeader/>
        </w:trPr>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۲</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۳</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۴</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۵</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 (SME)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۰٫۷۳۵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۰٫۳۶</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(AIU)</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r>
      <w:tr>
        <w:trPr>
          <w:cantSplit/>
        </w:trPr>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همبستگی‌ها از مدل CFA برآورد شده‌اند؛ سازه‌ها به ترتیب جدول: ۱ = SME، ۲ = FOMO، ۳ = HRD، ۴ = AIU، ۵ = IDQ.</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جذر AVE هر سازه از همبستگی آن با سازه‌های دیگر بزرگ‌تر بود (معیار فورنل ـ لارکر) و بیشینهٔ HTMT برابر ۰٫۵۹ و کمتر از آستانهٔ ۰٫۸۵ به‌دست آمد؛ بنابراین روایی واگرا برقرار است. بیشینهٔ قدر مطلق همبستگی پنهان ۰٫۵۹ است و شاخص تورم واریانس پیش‌بینی‌کننده‌های پنهان (محاسبه‌شده از ماتریس همبستگی پنهان) در بازهٔ ۱٫۰۵ تا ۱٫۷۴ قرار داشت؛ مشکل هم‌خطی وجود ندارد.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آزمون تک‌عاملی هارمن نشان داد عامل نخست ۲۹٫۴٪ از واریانس را تبیین می‌کند (کمتر از ۵۰٪) و مدل تک‌عاملی برازش بسیار ضعیفی داشت (⁦CFI = ۰٫۵۲⁩). در مدل عامل روش مشترک، میانگین واریانس مشترک روش ۱۴٫۷٪ بود که از معیار ۲۵٪ پایین‌تر است. بنابراین سوگیری روش مشترک تهدید جدی برای نتایج نیست.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مدل ساختاری و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ساختاری مکنون کامل، شامل ۲۶ گویهٔ اندازه‌گیری و پنج شاخص حاصل‌ضرب تعامل، برازش مطلوبی داشت (⁦χ²/df = ۱٫۲۰⁩؛ ⁦CFI = ۰٫۹۷۷⁩؛ ⁦TLI = ۰٫۹۷۵⁩؛ ⁦RMSEA = ۰٫۰۲۳⁩؛ ⁦SRMR = ۰٫۰۴۲⁩). شکل ۲ مدل برآوردشده را با همهٔ گویه‌ها و بارهای عاملی استاندارد نشان می‌دهد و جدول ۹ ضرایب مسیر را ارائه می‌کند. مواجهه با محتوا اثر مثبت و نیرومندی بر فومو داشت (⁦β = ۰٫۴۹⁩، ⁦z = ۸٫۲۳⁩، ⁦p &lt; ۰٫۰۰۱⁩). فومو بر رفتار توده‌وار اثر مثبت داشت (⁦β = ۰٫۴۱⁩، ⁦z = ۶٫۶۲⁩، ⁦p &lt; ۰٫۰۰۱⁩) و رفتار توده‌وار کیفیت تصمیم را کاهش داد (⁦β = −۰٫۳۵⁩، ⁦z = −۴٫۷۳⁩، ⁦p &lt; ۰٫۰۰۱⁩). اثر مستقیم مواجهه بر رفتار توده‌وار نیز مثبت و معنادار بود (⁦β = ۰٫۲۹⁩، ⁦z = ۴٫۷۵⁩، ⁦p &lt; ۰٫۰۰۱⁩) و استفاده از اطلاعات حسابداری اثر مثبتی بر کیفیت تصمیم داشت (⁦β = ۰٫۴۳⁩، ⁦z = ۷٫۵۴⁩، ⁦p &lt; ۰٫۰۰۱⁩). اثر مستقیم فومو (⁦β = −۰٫۰۶⁩؛ p = ۰٫۳۸۰) و اثر مستقیم مواجهه (⁦β = ۰٫۰۱⁩؛ p = ۰٫۸۵۲) بر کیفیت تصمیم معنادار نبود؛ یعنی اثر این دو متغیر عمدتاً از مسیر رفتار توده‌وار منتقل می‌شود.</w:t>
      </w:r>
    </w:p>
    <w:p>
      <w:pPr>
        <w:keepNext/>
        <w:jc w:val="center"/>
      </w:pPr>
      <w:r>
        <w:drawing>
          <wp:inline distT="0" distB="0" distL="0" distR="0">
            <wp:extent cx="5688000" cy="3941684"/>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88000" cy="394168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پیکان‌های گویه‌ها بار عاملی استاندارد و اعداد روی مسیرهای ساختاری ضریب استاندارد (∗∗∗ ‏p &lt; ۰٫۰۰۱) است. متغیرهای کنترل، شاخص‌های حاصل‌ضرب تعامل، خطاهای اندازه‌گیری و مسیرهای مستقیم غیرمعنادار فومو و مواجهه به کیفیت تصمیم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برآورد ضرایب مسیر ساختاری</w:t>
      </w:r>
    </w:p>
    <w:tbl>
      <w:tblPr>
        <w:bidiVisual/>
        <w:tblW w:w="8700" w:type="dxa"/>
        <w:jc w:val="center"/>
        <w:tblLayout w:type="fixed"/>
        <w:tblCellMar>
          <w:left w:w="60" w:type="dxa"/>
          <w:right w:w="60" w:type="dxa"/>
        </w:tblCellMar>
      </w:tblPr>
      <w:tblGrid>
        <w:gridCol w:w="3000"/>
        <w:gridCol w:w="700"/>
        <w:gridCol w:w="800"/>
        <w:gridCol w:w="800"/>
        <w:gridCol w:w="900"/>
        <w:gridCol w:w="800"/>
        <w:gridCol w:w="800"/>
        <w:gridCol w:w="9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۸٫۲۳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۰٫۴۱۰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۶٫۶۲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رفتار توده‌وار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۰٫۲۸۸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اطلاعات حسابداری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⁦−۳٫۳۲⁩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۰٫۳۹۵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۰٫۴۲۸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۷٫۵۴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⁦−۰٫۰۵۹⁩</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⁦−۰٫۸۸⁩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۰٫۳۸۰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۰٫۸۵۲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⁦−۲٫۱۳⁩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۰٫۰۳۴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رفتار توده‌وار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⁦−۰٫۱۳۱⁩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⁦−۲٫۶۵⁩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۰٫۰۰۸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b ضریب ناستاندارد و β ضریب استاندارد است؛ سن، جنسیت و سابقه به‌عنوان کنترل وارد شدند. معناداری: ∗∗∗ ‏p&lt;۰٫۰۰۱، ∗∗ ‏p&lt;۰٫۰۱، ∗ ‏p&lt;۰٫۰۵</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واریانس باقی‌ماندهٔ استاندارد متغیرهای پنهان درون‌زا، مدل ۲۸٪ از واریانس فومو، ۴۹٪ از واریانس رفتار توده‌وار و ۴۴٪ از واریانس کیفیت تصمیم را تبیین کرد (⁦R² = ۰٫۲۸⁩؛ ⁦R² = ۰٫۴۹⁩؛ ⁦R² = ۰٫۴۴⁩). افزودن جملهٔ تعاملی R² رفتار توده‌وار را از ۰٫۴۵ به ۰٫۴۹ رساند و اندازهٔ اثر آن ⁦f² = ۰٫۰۶۳⁩ است که طبق معیار (کوهن، ۱۹۸۸) در قلمرو اثر کوچک تا متوسط قرار می‌گیرد؛ چنین اندازه‌ای برای تعامل‌های پیمایشی معمول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غیرمستقیم متوالی مواجهه ← فومو ← رفتار توده‌وار ← کیفیت تصمیم در سطح استاندارد برابر ⁦−۰٫۰۷۱⁩ با فاصلهٔ اطمینان [⁦−۰٫۱۱۱⁩، ⁦−۰٫۰۳۸⁩] بود که شامل صفر نیست (فرضیهٔ ۵ تأیید می‌شود). مسیر غیرمستقیم مواجهه ← رفتار توده‌وار ← کیفیت تصمیم نیز معنادار بود (⁦−۰٫۱۰۲⁩؛ [⁦−۰٫۱۶۳⁩، ⁦−۰٫۰۵۰⁩]) در حالی‌که مسیر مواجهه ← فومو ← کیفیت تصمیم، به‌دلیل نبود اثر مستقیم فومو، معنادار نبود (⁦−۰٫۰۲۹⁩؛ [⁦−۰٫۱۰۹⁩، ۰٫۰۴۱]). اثر غیرمستقیم کل ⁦−۰٫۲۰۱⁩ و اثر کل ⁦−۰٫۱۹۰⁩ (هر دو معنادار) برآورد شد؛ در نتیجه اثر مستقیم مواجهه بر کیفیت تصمیم نزدیک صفر و تقریباً همهٔ اثر آن غیرمستقیم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اثرهای غیرمستقیم و کل (خودگردان‌سازی، فاصلهٔ اطمینان ۹۵٪، ضرایب استاندارد)</w:t>
      </w:r>
    </w:p>
    <w:tbl>
      <w:tblPr>
        <w:bidiVisual/>
        <w:tblW w:w="8700" w:type="dxa"/>
        <w:jc w:val="center"/>
        <w:tblLayout w:type="fixed"/>
        <w:tblCellMar>
          <w:left w:w="60" w:type="dxa"/>
          <w:right w:w="60" w:type="dxa"/>
        </w:tblCellMar>
      </w:tblPr>
      <w:tblGrid>
        <w:gridCol w:w="4200"/>
        <w:gridCol w:w="1200"/>
        <w:gridCol w:w="2300"/>
        <w:gridCol w:w="1000"/>
      </w:tblGrid>
      <w:tr>
        <w:trPr>
          <w:tblHeader/>
        </w:trPr>
        <w:tc>
          <w:tcPr>
            <w:tcW w:w="4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[⁦−۰٫۱۶۳⁩، ⁦−۰٫۰۵۰⁩]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[⁦−۰٫۱۰۹⁩، ۰٫۰۴۱]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خیر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کل</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[⁦−۰٫۲۸۳⁩، ⁦−۰٫۱۲۵⁩]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(مستقیم + غیرمستقیم)</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⁦−۰٫۱۹۰⁩</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[⁦−۰٫۲۹۰⁩، ⁦−۰٫۰۸۷⁩]</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۴-۶. تعدیل‌گری استفاده از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ضریب تعامل پنهان فومو × استفاده از اطلاعات حسابداری بر رفتار توده‌وار منفی و معنادار بود (⁦β = −۰٫۱۸⁩، ⁦z = −۳٫۳۲⁩، ⁦p &lt; ۰٫۰۰۱⁩)؛ بنابراین فرضیهٔ ۶ تأیید می‌شود. تحلیل شیب‌های ساده (از ضرایب پنهان، جدول ۱۱) نشان می‌دهد شیب استاندارد فومو ← رفتار توده‌وار در سطح پایین (یک انحراف معیار کمتر از میانگین) استفاده از اطلاعات حسابداری برابر ۰٫۶۰، در سطح میانگین ۰٫۴۱ و در سطح بالا ۰٫۲۲ است و هر سه شیب معنادارند؛ یعنی شیب با افزایش اطلاعات حسابداری تضعیف می‌شود ولی هیچ‌گاه صفر نمی‌شود (شکل ۳). شاخص میانجی‌گری تعدیل‌شده ۰٫۰۳۴ با فاصلهٔ اطمینان [۰٫۰۱۳، ۰٫۰۶۵] برآورد شد که شامل صفر نیست و فرضیهٔ ۷ را تأیید می‌کند. کاهش اثر غیرمستقیم متوالی از سطح پایین به سطح بالا حدود ۶۴٪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شیب‌های ساده و اثرهای غیرمستقیم مشروط (مدل پنهان)</w:t>
      </w:r>
    </w:p>
    <w:tbl>
      <w:tblPr>
        <w:bidiVisual/>
        <w:tblW w:w="9000" w:type="dxa"/>
        <w:jc w:val="center"/>
        <w:tblLayout w:type="fixed"/>
        <w:tblCellMar>
          <w:left w:w="60" w:type="dxa"/>
          <w:right w:w="60" w:type="dxa"/>
        </w:tblCellMar>
      </w:tblPr>
      <w:tblGrid>
        <w:gridCol w:w="2900"/>
        <w:gridCol w:w="2000"/>
        <w:gridCol w:w="2000"/>
        <w:gridCol w:w="21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سطح استفاده از اطلاعات حسابداری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شیب استاندارد فومو ← توده‌واری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غیرمستقیم متوالی (ناستاندارد)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 ۹۵٪ اثر غیرمستقیم</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پایین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۰٫۶۰۱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[⁦−۰٫۱۵۱⁩، ⁦−۰٫۰۵۰⁩]</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۰٫۴۱۰</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بالا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۰٫۲۱۸</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[⁦−۰٫۰۷۰⁩، ⁦−۰٫۰۰۸⁩]</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شاخص میانجی‌گری تعدیل‌شده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pPr>
        <w:keepNext/>
        <w:jc w:val="center"/>
      </w:pPr>
      <w:r>
        <w:drawing>
          <wp:inline distT="0" distB="0" distL="0" distR="0">
            <wp:extent cx="3960000" cy="27225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60000" cy="2722500"/>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 تعاملی فومو و استفاده از اطلاعات حسابداری بر رفتار توده‌وار (شیب‌های ساده از مدل پنهان)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۴-۷. خلاصهٔ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جدول‌های ۹ تا ۱۱، هر هشت فرضیه تأیید شد: فرضیه‌های ۱ تا ۴ و ۸ بر پایهٔ ضرایب مسیر معنادار، فرضیهٔ ۵ بر پایهٔ فاصلهٔ اطمینان اثر غیرمستقیم متوالی (⁦−۰٫۰۷۱⁩؛ [⁦−۰٫۱۱۱⁩، ⁦−۰٫۰۳۸⁩])، فرضیهٔ ۶ بر پایهٔ ضریب تعامل منفی و معنادار (⁦−۰٫۱۸۵⁩) و فرضیهٔ ۷ بر پایهٔ شاخص میانجی‌گری تعدیل‌شدهٔ مثبت (۰٫۰۳۴؛ [۰٫۰۱۳، ۰٫۰۶۵]).</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۴-۸. آزمون‌های تکمیلی و استحکام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چهار مدل ساختاری رقیب مقایسه شد (جدول ۱۲). مدل پیشنهادی (میانجی جزئی) از مدل میانجی کامل زنجیره‌ای بهتر برازش داشت (⁦Δχ² = ۲۵٫۲⁩؛ ⁦Δdf = ۳⁩) و مدل بدون میانجی (اثر مستقیم) برازش ضعیف‌تری داشت.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مدل‌های رقیب</w:t>
      </w:r>
    </w:p>
    <w:tbl>
      <w:tblPr>
        <w:bidiVisual/>
        <w:tblW w:w="8300" w:type="dxa"/>
        <w:jc w:val="center"/>
        <w:tblLayout w:type="fixed"/>
        <w:tblCellMar>
          <w:left w:w="60" w:type="dxa"/>
          <w:right w:w="60" w:type="dxa"/>
        </w:tblCellMar>
      </w:tblPr>
      <w:tblGrid>
        <w:gridCol w:w="3700"/>
        <w:gridCol w:w="1000"/>
        <w:gridCol w:w="700"/>
        <w:gridCol w:w="900"/>
        <w:gridCol w:w="900"/>
        <w:gridCol w:w="1100"/>
      </w:tblGrid>
      <w:tr>
        <w:trPr>
          <w:tblHeader/>
        </w:trPr>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BIC</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پیشنهادی (میانجی جزئی)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۴۸۱٫۸</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۰٫۰۲۸</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 کامل زنجیره‌ای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۵۰۷٫۰</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ترتیب معکوس (توده‌واری←FOMO)</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۴۸۵٫۷</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مستقیم بدون میانجی</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۵۷۸٫۷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۰٫۹۵۳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۰٫۰۳۸</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۳۷۲٫۲</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دوم، استحکام نتایج در برابر روش برآورد و مشخصات مدل بررسی شد (جدول ۱۳). با برآوردگر DWLS که برای دادهٔ رتبه‌ای مناسب‌تر است، با ساخت دیگری از شاخص‌های تعامل (مرکزسازی باقی‌مانده)، با آزادسازی چهار بزرگ‌ترین خطای همبستهٔ درون‌سازه‌ای (HRD۴ با HRD۵، AIU۳ با AIU۴، FOMO۱ با FOMO۲، SME۱ با SME۲) که برازش را به ⁦CFI = ۰٫۹۸۹⁩ و ⁦RMSEA = ۰٫۰۱۶⁩ رساند، و پس از حذف ۵٪ دورترین مشاهدات، جهت و معناداری مسیرهای اصلی و تعامل حفظ شد. بنابراین یافته‌ها به روش برآورد وابسته نیستند.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تحلیل حساسیت: ضرایب استاندارد کلیدی در مشخصات مختلف</w:t>
      </w:r>
    </w:p>
    <w:tbl>
      <w:tblPr>
        <w:bidiVisual/>
        <w:tblW w:w="8400" w:type="dxa"/>
        <w:jc w:val="center"/>
        <w:tblLayout w:type="fixed"/>
        <w:tblCellMar>
          <w:left w:w="60" w:type="dxa"/>
          <w:right w:w="60" w:type="dxa"/>
        </w:tblCellMar>
      </w:tblPr>
      <w:tblGrid>
        <w:gridCol w:w="2400"/>
        <w:gridCol w:w="700"/>
        <w:gridCol w:w="800"/>
        <w:gridCol w:w="1100"/>
        <w:gridCol w:w="1100"/>
        <w:gridCol w:w="800"/>
        <w:gridCol w:w="1500"/>
      </w:tblGrid>
      <w:tr>
        <w:trPr>
          <w:tblHeader/>
        </w:trPr>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مشخصات مدل</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فومو ← توده‌واری</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توده‌واری ← کیفیت</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تعامل</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توضیح</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پایه (ML)</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برآوردگر DWLS</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تعامل</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تعامل با مرکزسازی باقی‌مانده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متعامد</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بازمشخص‌سازی (۴ خطای همبسته)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آزادسازی خطاها</w:t>
            </w:r>
          </w:p>
        </w:tc>
      </w:tr>
      <w:tr>
        <w:trPr>
          <w:cantSplit/>
        </w:trPr>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حذف ۵٪ دورترین مشاهدات</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 = ۳۶۶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لازم است تأکید شود که چون داده‌ها از مدل مفروض تولید شده‌اند، هم‌خوانی ضرایب برآوردشده با مقادیر مفروض (جدول ۲) نشانهٔ بازیابی صحیح ساختار توسط روش است و نه تأیید تجربی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مفروض، هر هشت فرضیه تأیید شد. نخست، مواجهه با محتوا از نیرومندترین پیش‌بینی‌کننده‌های فومو بود (⁦β = ۰٫۴۹⁩)،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(⁦β = ۰٫۴۱⁩)؛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سوم، رفتار توده‌وار کیفیت تصمیم را کاهش داد (⁦β = −۰٫۳۵⁩)، همسو با شواهد دربارهٔ هزینهٔ معاملات تحت‌تأثیر عوامل غیربنیادی (باربر و اودین، ۲۰۰۰؛ باربر و اودین، ۲۰۰۱) و با پژوهش‌های داخلی که ارتباط سوگیری‌های رفتاری با عملکرد سرمایه‌گذاران حقیقی را نشان داده‌اند (جمشیدی و همکاران، ۱۳۹۸).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هم‌سو است. شاخص میانجی‌گری تعدیل‌شده نیز نشان داد اثر غیرمستقیم منفی در سطوح بالای استفاده از اطلاعات حسابداری کوچک‌تر است، اگرچه هرگز کاملاً حذف نمی‌شود.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دانش‌افزایی نظری:</w:t>
      </w:r>
      <w:r>
        <w:rPr>
          <w:rFonts w:ascii="Times New Roman" w:hAnsi="Times New Roman" w:cs="B Nazanin" w:eastAsia="Times New Roman"/>
          <w:sz w:val="26"/>
          <w:szCs w:val="26"/>
          <w:lang w:val="en-US" w:bidi="fa-IR"/>
        </w:rPr>
        <w:t xml:space="preserve"> (۱) پیوند میان ادبیات شبکه‌های اجتماعی در مالی و ادبیات توده‌واری از طریق سازهٔ فومو؛ (۲) معرفی استفاده از اطلاعات حسابداری به‌عنوان تعدیل‌گر رفتاری، که حسابداری را از نقش صرفاً «محتوایی» به نقش «ضدسوگیری» می‌برد؛ (۳) برآورد یکپارچهٔ مدل با همهٔ گویه‌ها و بدون تجمیع، که خطای اندازه‌گیری را کنترل می‌کند؛ (۴) ارائهٔ ابزار و کد بازتولیدپذیر برای آزمون مدل در بازارهای دیگر.</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پیشنهادهای کاربردی و سیاستی:</w:t>
      </w:r>
      <w:r>
        <w:rPr>
          <w:rFonts w:ascii="Times New Roman" w:hAnsi="Times New Roman" w:cs="B Nazanin" w:eastAsia="Times New Roman"/>
          <w:sz w:val="26"/>
          <w:szCs w:val="26"/>
          <w:lang w:val="en-US" w:bidi="fa-IR"/>
        </w:rPr>
        <w:t xml:space="preserve"> (۱) برای نهاد ناظر بازار سرمایه: الزام یا تشویق به افشای شفاف تعارض منافع و پشتوانهٔ مالی در تحلیل‌های منتشرشده در شبکه‌ها؛ (۲) برای ناشران: انتشار خلاصه‌های ساده و قابل‌فهم از گزارش‌های مالی در همان کانال‌هایی که سرمایه‌گذاران خرد دنبال می‌کنند، تا اطلاعات حسابداری در رقابت توجه از دست نرود؛ (۳) برای کارگزاری‌ها: ادغام شاخص‌های بنیادی (مانند سود هر سهم و نسبت‌های مالی) در پلتفرم‌های معاملاتی و هشدارهای رفتاری هنگام معاملات پرشتاب؛ (۴) برای نهادهای آموزشی و انجمن‌های حرفه‌ای: آموزش خواندن صورت‌های مالی با تمرکز بر مدیریت فومو؛ (۵) برای سرمایه‌گذاران: قاعدهٔ «بررسی صورت‌های مالی پیش از معاملهٔ برخاسته از یک محتوای شبکه‌ای».</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 و پیشنهاد پژوهش‌های آینده:</w:t>
      </w:r>
      <w:r>
        <w:rPr>
          <w:rFonts w:ascii="Times New Roman" w:hAnsi="Times New Roman" w:cs="B Nazanin" w:eastAsia="Times New Roman"/>
          <w:sz w:val="26"/>
          <w:szCs w:val="26"/>
          <w:lang w:val="en-US" w:bidi="fa-IR"/>
        </w:rPr>
        <w:t xml:space="preserve"> مهم‌ترین محدودیت شبیه‌سازی‌بودن داده است؛ بنابراین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و مقایسهٔ چندگروهی بر پایهٔ تجربهٔ زیان در ریزش بازار بهره بگیرند؛ مورد اخیر در مقالهٔ همراه این پژوهش بررسی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شبیه‌سازی‌شده، کد پایتون (قابل‌اجرا در Google Colab) و خروجی‌ها در مخزن پیوست شده‌اند. 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بدری، احمد و گودرزی، ندا (۱۳۹۲). مالی رفتاری، سوگیری نماگری و متغیرهای بینادی حسابداری: شواهدی از بورس اوراق بهادار تهران، مطالعات تجربی حسابداری مالی، ۱۱(۴۳)، ۵۷-۸۸.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Banerjee, A. V. (1992). A simple model of herd behavior. The Quarterly Journal of Economics, 107(3), 797–817. https://doi.org/10.2307/2118364</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(2000). Trading is hazardous to your wealth: The common stock investment performance of individual investors. The Journal of Finance, 55(2), 773–806. https://doi.org/10.1111/0022-1082.00226</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Bikhchandani, S., &amp; Sharma, S. (2001). Herd behavior in financial markets. IMF Staff Papers, 47(3), 279–310. https://doi.org/10.2307/4621672</w:t>
      </w:r>
    </w:p>
    <w:p>
      <w:pPr>
        <w:spacing w:before="0" w:after="30" w:line="240" w:lineRule="auto"/>
        <w:jc w:val="left"/>
      </w:pPr>
      <w:r>
        <w:rPr>
          <w:rFonts w:ascii="Times New Roman" w:hAnsi="Times New Roman" w:cs="Times New Roman" w:eastAsia="Times New Roman"/>
          <w:sz w:val="24"/>
          <w:szCs w:val="24"/>
          <w:lang w:val="en-US" w:bidi="fa-IR"/>
        </w:rPr>
        <w:t xml:space="preserve">Bikhchandani, S., Hirshleifer, D., &amp; Welch, I. (1992). A theory of fads, fashion, custom, and cultural change as informational cascades. Journal of Political Economy, 100(5), 992–1026. https://doi.org/10.1086/261849</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Bollen, J., Mao, H., &amp; Zeng, X. (2011). Twitter mood predicts the stock market. Journal of Computational Science, 2(1), 1–8. https://doi.org/10.1016/j.jocs.2010.12.007</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Chang, E. C., Cheng, J. W., &amp; Khorana, A. (2000). An examination of herd behavior in equity markets: An international perspective. Journal of Banking &amp; Finance, 24(10), 1651–1679. https://doi.org/10.1016/S0378-4266(99)00096-5</w:t>
      </w:r>
    </w:p>
    <w:p>
      <w:pPr>
        <w:spacing w:before="0" w:after="30" w:line="240" w:lineRule="auto"/>
        <w:jc w:val="left"/>
      </w:pPr>
      <w:r>
        <w:rPr>
          <w:rFonts w:ascii="Times New Roman" w:hAnsi="Times New Roman" w:cs="Times New Roman" w:eastAsia="Times New Roman"/>
          <w:sz w:val="24"/>
          <w:szCs w:val="24"/>
          <w:lang w:val="en-US" w:bidi="fa-IR"/>
        </w:rPr>
        <w:t xml:space="preserve">Chen, H., De, P., Hu, Y. J., &amp; Hwang, B.-H. (2014). Wisdom of crowds: The value of stock opinions transmitted through social media. The Review of Financial Studies, 27(5), 1367–1403. https://doi.org/10.1093/rfs/hhu001</w:t>
      </w:r>
    </w:p>
    <w:p>
      <w:pPr>
        <w:spacing w:before="0" w:after="30" w:line="240" w:lineRule="auto"/>
        <w:jc w:val="left"/>
      </w:pPr>
      <w:r>
        <w:rPr>
          <w:rFonts w:ascii="Times New Roman" w:hAnsi="Times New Roman" w:cs="Times New Roman" w:eastAsia="Times New Roman"/>
          <w:sz w:val="24"/>
          <w:szCs w:val="24"/>
          <w:lang w:val="en-US" w:bidi="fa-IR"/>
        </w:rPr>
        <w:t xml:space="preserve">Chiang, T. C., &amp; Zheng, D. (2010). An empirical analysis of herd behavior in global stock markets. Journal of Banking &amp; Finance, 34(8), 1911–1921. https://doi.org/10.1016/j.jbankfin.2009.12.014</w:t>
      </w:r>
    </w:p>
    <w:p>
      <w:pPr>
        <w:spacing w:before="0" w:after="30" w:line="240" w:lineRule="auto"/>
        <w:jc w:val="left"/>
      </w:pPr>
      <w:r>
        <w:rPr>
          <w:rFonts w:ascii="Times New Roman" w:hAnsi="Times New Roman" w:cs="Times New Roman" w:eastAsia="Times New Roman"/>
          <w:sz w:val="24"/>
          <w:szCs w:val="24"/>
          <w:lang w:val="en-US" w:bidi="fa-IR"/>
        </w:rPr>
        <w:t xml:space="preserve">Cohen, J. (1988). Statistical power analysis for the behavioral sciences (2nd ed.). Lawrence Erlbaum Associates.</w:t>
      </w:r>
    </w:p>
    <w:p>
      <w:pPr>
        <w:spacing w:before="0" w:after="30" w:line="240" w:lineRule="auto"/>
        <w:jc w:val="left"/>
      </w:pPr>
      <w:r>
        <w:rPr>
          <w:rFonts w:ascii="Times New Roman" w:hAnsi="Times New Roman" w:cs="Times New Roman" w:eastAsia="Times New Roman"/>
          <w:sz w:val="24"/>
          <w:szCs w:val="24"/>
          <w:lang w:val="en-US" w:bidi="fa-IR"/>
        </w:rPr>
        <w:t xml:space="preserve">Cookson, J. A., &amp; Niessner, M. (2020). Why don't we agree? Evidence from a social network of investors. The Journal of Finance, 75(1), 173–228. https://doi.org/10.1111/jofi.12852</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Elliott, W. B., Grant, S. M., &amp; Hodge, F. D. (2018). Negative news and investor trust: The role of $Firm and #CEO Twitter use. Journal of Accounting Research, 56(5), 1483–1519. https://doi.org/10.1111/1475-679X.12217</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(2001). Investor psychology and asset pricing. The Journal of Finance, 56(4), 1533–1597. https://doi.org/10.1111/0022-1082.00379</w:t>
      </w:r>
    </w:p>
    <w:p>
      <w:pPr>
        <w:spacing w:before="0" w:after="30" w:line="240" w:lineRule="auto"/>
        <w:jc w:val="left"/>
      </w:pPr>
      <w:r>
        <w:rPr>
          <w:rFonts w:ascii="Times New Roman" w:hAnsi="Times New Roman" w:cs="Times New Roman" w:eastAsia="Times New Roman"/>
          <w:sz w:val="24"/>
          <w:szCs w:val="24"/>
          <w:lang w:val="en-US" w:bidi="fa-IR"/>
        </w:rPr>
        <w:t xml:space="preserve">Hirshleifer, D. (2020). Presidential address: Social transmission bias in economics and finance. The Journal of Finance, 75(4), 1779–1831. https://doi.org/10.1111/jofi.12906</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(2003a). Herd behaviour and cascading in capital markets: A review and synthesis. European Financial Management, 9(1), 25–66. https://doi.org/10.1111/1468-036X.00207</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Hong, H., Kubik, J. D., &amp; Stein, J. C. (2004). Social interaction and stock-market participation. The Journal of Finance, 59(1), 137–163. https://doi.org/10.1111/j.1540-6261.2004.00629.x</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Kline, R. B. (2023). Principles and practice of structural equation modeling (5th ed.). Guilford Press.</w:t>
      </w:r>
    </w:p>
    <w:p>
      <w:pPr>
        <w:spacing w:before="0" w:after="30" w:line="240" w:lineRule="auto"/>
        <w:jc w:val="left"/>
      </w:pPr>
      <w:r>
        <w:rPr>
          <w:rFonts w:ascii="Times New Roman" w:hAnsi="Times New Roman" w:cs="Times New Roman" w:eastAsia="Times New Roman"/>
          <w:sz w:val="24"/>
          <w:szCs w:val="24"/>
          <w:lang w:val="en-US" w:bidi="fa-IR"/>
        </w:rPr>
        <w:t xml:space="preserve">Kumar, S., &amp; Goyal, N. (2015). Behavioural biases in investment decision making – a systematic literature review. Qualitative Research in Financial Markets, 7(1), 88–108. https://doi.org/10.1108/QRFM-06-2014-0022</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Li, C.-H. (2016). Confirmatory factor analysis with ordinal data: Comparing robust maximum likelihood and diagonally weighted least squares. Behavior Research Methods, 48(3), 936–949. https://doi.org/10.3758/s13428-015-0619-7</w:t>
      </w:r>
    </w:p>
    <w:p>
      <w:pPr>
        <w:spacing w:before="0" w:after="30" w:line="240" w:lineRule="auto"/>
        <w:jc w:val="left"/>
      </w:pPr>
      <w:r>
        <w:rPr>
          <w:rFonts w:ascii="Times New Roman" w:hAnsi="Times New Roman" w:cs="Times New Roman" w:eastAsia="Times New Roman"/>
          <w:sz w:val="24"/>
          <w:szCs w:val="24"/>
          <w:lang w:val="en-US" w:bidi="fa-IR"/>
        </w:rPr>
        <w:t xml:space="preserve">Little, T. D., Bovaird, J. A., &amp; Widaman, K. F. (2006). On the merits of orthogonalizing powered and product terms: Implications for modeling interactions among latent variables. Structural Equation Modeling, 13(4), 497–519. https://doi.org/10.1207/s15328007sem1304_1</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Mardia, K. V. (1970). Measures of multivariate skewness and kurtosis with applications. Biometrika, 57(3), 519–530. https://doi.org/10.1093/biomet/57.3.519</w:t>
      </w:r>
    </w:p>
    <w:p>
      <w:pPr>
        <w:spacing w:before="0" w:after="30" w:line="240" w:lineRule="auto"/>
        <w:jc w:val="left"/>
      </w:pPr>
      <w:r>
        <w:rPr>
          <w:rFonts w:ascii="Times New Roman" w:hAnsi="Times New Roman" w:cs="Times New Roman" w:eastAsia="Times New Roman"/>
          <w:sz w:val="24"/>
          <w:szCs w:val="24"/>
          <w:lang w:val="en-US" w:bidi="fa-IR"/>
        </w:rPr>
        <w:t xml:space="preserve">Marsh, H. W., Wen, Z., &amp; Hau, K.-T. (2004). Structural equation models of latent interactions: Evaluation of alternative estimation strategies and indicator construction. Psychological Methods, 9(3), 275–300. https://doi.org/10.1037/1082-989X.9.3.275</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Preacher, K. J., Rucker, D. D., &amp; Hayes, A. F. (2007). Addressing moderated mediation hypotheses: Theory, methods, and prescriptions. Multivariate Behavioral Research, 42(1), 185–227. https://doi.org/10.1080/00273170701341316</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spacing w:before="0" w:after="30" w:line="240" w:lineRule="auto"/>
        <w:jc w:val="left"/>
      </w:pPr>
      <w:r>
        <w:rPr>
          <w:rFonts w:ascii="Times New Roman" w:hAnsi="Times New Roman" w:cs="Times New Roman" w:eastAsia="Times New Roman"/>
          <w:sz w:val="24"/>
          <w:szCs w:val="24"/>
          <w:lang w:val="en-US" w:bidi="fa-IR"/>
        </w:rPr>
        <w:t xml:space="preserve">Scharfstein, D. S., &amp; Stein, J. C. (1990). Herd behavior and investment. The American Economic Review, 80(3), 465–479.</w:t>
      </w:r>
    </w:p>
    <w:p>
      <w:pPr>
        <w:spacing w:before="0" w:after="30" w:line="240" w:lineRule="auto"/>
        <w:jc w:val="left"/>
      </w:pPr>
      <w:r>
        <w:rPr>
          <w:rFonts w:ascii="Times New Roman" w:hAnsi="Times New Roman" w:cs="Times New Roman" w:eastAsia="Times New Roman"/>
          <w:sz w:val="24"/>
          <w:szCs w:val="24"/>
          <w:lang w:val="en-US" w:bidi="fa-IR"/>
        </w:rPr>
        <w:t xml:space="preserve">Shiller, R. J. (2017). Narrative economics. American Economic Review, 107(4), 967–1004. https://doi.org/10.1257/aer.107.4.967</w:t>
      </w:r>
    </w:p>
    <w:p>
      <w:pPr>
        <w:spacing w:before="0" w:after="30" w:line="240" w:lineRule="auto"/>
        <w:jc w:val="left"/>
      </w:pPr>
      <w:r>
        <w:rPr>
          <w:rFonts w:ascii="Times New Roman" w:hAnsi="Times New Roman" w:cs="Times New Roman" w:eastAsia="Times New Roman"/>
          <w:sz w:val="24"/>
          <w:szCs w:val="24"/>
          <w:lang w:val="en-US" w:bidi="fa-IR"/>
        </w:rPr>
        <w:t xml:space="preserve">Taylor, A. B., MacKinnon, D. P., &amp; Tein, J.-Y. (2008). Tests of the three-path mediated effect. Organizational Research Methods, 11(2), 241–269. https://doi.org/10.1177/1094428107300344</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Chen et al.</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Bollen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Da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Barber &amp; Odean</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Cookson &amp; Niessner</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Cookson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Hirshleifer</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Information cascade theory</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Bikhchandani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Banerjee</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Fear of Missing Out</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Przybylski et al.</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Social comparison theory</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Festinger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Parker &amp; Fischhoff</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Bruine de Bruin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Odean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Kumar &amp; Goyal</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Shiller</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Hong et al.</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Abel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Milyavskaya et al.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Regret theory</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Loomes &amp; Sugden</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Lerner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Herding</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Scharfstein &amp; Stein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Hirshleifer &amp; Teoh</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Bikhchandani &amp; Sharma</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Chang et al.</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Chiang &amp; Zheng</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Mediation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Bootstrapping</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Preacher &amp; Hayes</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Taylor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Ball &amp; Brown</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Beaver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Lawrence</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Miller &amp; Skinner</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Blankespoor et al.</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Bartov et al.</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Elliott et al.</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Moderation</w:t>
      </w:r>
    </w:p>
  </w:footnote>
  <w:footnote w:id="44">
    <w:p>
      <w:pPr>
        <w:bidi w:val="0"/>
        <w:spacing w:after="0" w:line="240" w:lineRule="auto"/>
        <w:jc w:val="left"/>
      </w:pPr>
      <w:r>
        <w:rPr>
          <w:rFonts w:ascii="Times New Roman" w:hAnsi="Times New Roman" w:cs="Times New Roman"/>
          <w:sz w:val="22"/>
          <w:szCs w:val="22"/>
          <w:vertAlign w:val="superscript"/>
        </w:rPr>
        <w:t xml:space="preserve">۴۴ </w:t>
      </w:r>
      <w:r>
        <w:rPr>
          <w:rFonts w:ascii="Times New Roman" w:hAnsi="Times New Roman" w:cs="Times New Roman"/>
          <w:sz w:val="22"/>
          <w:szCs w:val="22"/>
        </w:rPr>
        <w:t xml:space="preserve">Moderated mediation</w:t>
      </w:r>
    </w:p>
  </w:footnote>
  <w:footnote w:id="45">
    <w:p>
      <w:pPr>
        <w:bidi w:val="0"/>
        <w:spacing w:after="0" w:line="240" w:lineRule="auto"/>
        <w:jc w:val="left"/>
      </w:pPr>
      <w:r>
        <w:rPr>
          <w:rFonts w:ascii="Times New Roman" w:hAnsi="Times New Roman" w:cs="Times New Roman"/>
          <w:sz w:val="22"/>
          <w:szCs w:val="22"/>
          <w:vertAlign w:val="superscript"/>
        </w:rPr>
        <w:t xml:space="preserve">۴۵ </w:t>
      </w:r>
      <w:r>
        <w:rPr>
          <w:rFonts w:ascii="Times New Roman" w:hAnsi="Times New Roman" w:cs="Times New Roman"/>
          <w:sz w:val="22"/>
          <w:szCs w:val="22"/>
        </w:rPr>
        <w:t xml:space="preserve">Preacher et al.</w:t>
      </w:r>
    </w:p>
  </w:footnote>
  <w:footnote w:id="46">
    <w:p>
      <w:pPr>
        <w:bidi w:val="0"/>
        <w:spacing w:after="0" w:line="240" w:lineRule="auto"/>
        <w:jc w:val="left"/>
      </w:pPr>
      <w:r>
        <w:rPr>
          <w:rFonts w:ascii="Times New Roman" w:hAnsi="Times New Roman" w:cs="Times New Roman"/>
          <w:sz w:val="22"/>
          <w:szCs w:val="22"/>
          <w:vertAlign w:val="superscript"/>
        </w:rPr>
        <w:t xml:space="preserve">۴۶ </w:t>
      </w:r>
      <w:r>
        <w:rPr>
          <w:rFonts w:ascii="Times New Roman" w:hAnsi="Times New Roman" w:cs="Times New Roman"/>
          <w:sz w:val="22"/>
          <w:szCs w:val="22"/>
        </w:rPr>
        <w:t xml:space="preserve">Structural Equation Modeling</w:t>
      </w:r>
    </w:p>
  </w:footnote>
  <w:footnote w:id="47">
    <w:p>
      <w:pPr>
        <w:bidi w:val="0"/>
        <w:spacing w:after="0" w:line="240" w:lineRule="auto"/>
        <w:jc w:val="left"/>
      </w:pPr>
      <w:r>
        <w:rPr>
          <w:rFonts w:ascii="Times New Roman" w:hAnsi="Times New Roman" w:cs="Times New Roman"/>
          <w:sz w:val="22"/>
          <w:szCs w:val="22"/>
          <w:vertAlign w:val="superscript"/>
        </w:rPr>
        <w:t xml:space="preserve">۴۷ </w:t>
      </w:r>
      <w:r>
        <w:rPr>
          <w:rFonts w:ascii="Times New Roman" w:hAnsi="Times New Roman" w:cs="Times New Roman"/>
          <w:sz w:val="22"/>
          <w:szCs w:val="22"/>
        </w:rPr>
        <w:t xml:space="preserve">Wolf et al.</w:t>
      </w:r>
    </w:p>
  </w:footnote>
  <w:footnote w:id="48">
    <w:p>
      <w:pPr>
        <w:bidi w:val="0"/>
        <w:spacing w:after="0" w:line="240" w:lineRule="auto"/>
        <w:jc w:val="left"/>
      </w:pPr>
      <w:r>
        <w:rPr>
          <w:rFonts w:ascii="Times New Roman" w:hAnsi="Times New Roman" w:cs="Times New Roman"/>
          <w:sz w:val="22"/>
          <w:szCs w:val="22"/>
          <w:vertAlign w:val="superscript"/>
        </w:rPr>
        <w:t xml:space="preserve">۴۸ </w:t>
      </w:r>
      <w:r>
        <w:rPr>
          <w:rFonts w:ascii="Times New Roman" w:hAnsi="Times New Roman" w:cs="Times New Roman"/>
          <w:sz w:val="22"/>
          <w:szCs w:val="22"/>
        </w:rPr>
        <w:t xml:space="preserve">Kline</w:t>
      </w:r>
    </w:p>
  </w:footnote>
  <w:footnote w:id="49">
    <w:p>
      <w:pPr>
        <w:bidi w:val="0"/>
        <w:spacing w:after="0" w:line="240" w:lineRule="auto"/>
        <w:jc w:val="left"/>
      </w:pPr>
      <w:r>
        <w:rPr>
          <w:rFonts w:ascii="Times New Roman" w:hAnsi="Times New Roman" w:cs="Times New Roman"/>
          <w:sz w:val="22"/>
          <w:szCs w:val="22"/>
          <w:vertAlign w:val="superscript"/>
        </w:rPr>
        <w:t xml:space="preserve">۴۹ </w:t>
      </w:r>
      <w:r>
        <w:rPr>
          <w:rFonts w:ascii="Times New Roman" w:hAnsi="Times New Roman" w:cs="Times New Roman"/>
          <w:sz w:val="22"/>
          <w:szCs w:val="22"/>
        </w:rPr>
        <w:t xml:space="preserve">MacCallum et al.</w:t>
      </w:r>
    </w:p>
  </w:footnote>
  <w:footnote w:id="50">
    <w:p>
      <w:pPr>
        <w:bidi w:val="0"/>
        <w:spacing w:after="0" w:line="240" w:lineRule="auto"/>
        <w:jc w:val="left"/>
      </w:pPr>
      <w:r>
        <w:rPr>
          <w:rFonts w:ascii="Times New Roman" w:hAnsi="Times New Roman" w:cs="Times New Roman"/>
          <w:sz w:val="22"/>
          <w:szCs w:val="22"/>
          <w:vertAlign w:val="superscript"/>
        </w:rPr>
        <w:t xml:space="preserve">۵۰ </w:t>
      </w:r>
      <w:r>
        <w:rPr>
          <w:rFonts w:ascii="Times New Roman" w:hAnsi="Times New Roman" w:cs="Times New Roman"/>
          <w:sz w:val="22"/>
          <w:szCs w:val="22"/>
        </w:rPr>
        <w:t xml:space="preserve">Igolkina &amp; Meshcheryakov</w:t>
      </w:r>
    </w:p>
  </w:footnote>
  <w:footnote w:id="51">
    <w:p>
      <w:pPr>
        <w:bidi w:val="0"/>
        <w:spacing w:after="0" w:line="240" w:lineRule="auto"/>
        <w:jc w:val="left"/>
      </w:pPr>
      <w:r>
        <w:rPr>
          <w:rFonts w:ascii="Times New Roman" w:hAnsi="Times New Roman" w:cs="Times New Roman"/>
          <w:sz w:val="22"/>
          <w:szCs w:val="22"/>
          <w:vertAlign w:val="superscript"/>
        </w:rPr>
        <w:t xml:space="preserve">۵۱ </w:t>
      </w:r>
      <w:r>
        <w:rPr>
          <w:rFonts w:ascii="Times New Roman" w:hAnsi="Times New Roman" w:cs="Times New Roman"/>
          <w:sz w:val="22"/>
          <w:szCs w:val="22"/>
        </w:rPr>
        <w:t xml:space="preserve">Mardia</w:t>
      </w:r>
    </w:p>
  </w:footnote>
  <w:footnote w:id="52">
    <w:p>
      <w:pPr>
        <w:bidi w:val="0"/>
        <w:spacing w:after="0" w:line="240" w:lineRule="auto"/>
        <w:jc w:val="left"/>
      </w:pPr>
      <w:r>
        <w:rPr>
          <w:rFonts w:ascii="Times New Roman" w:hAnsi="Times New Roman" w:cs="Times New Roman"/>
          <w:sz w:val="22"/>
          <w:szCs w:val="22"/>
          <w:vertAlign w:val="superscript"/>
        </w:rPr>
        <w:t xml:space="preserve">۵۲ </w:t>
      </w:r>
      <w:r>
        <w:rPr>
          <w:rFonts w:ascii="Times New Roman" w:hAnsi="Times New Roman" w:cs="Times New Roman"/>
          <w:sz w:val="22"/>
          <w:szCs w:val="22"/>
        </w:rPr>
        <w:t xml:space="preserve">Maximum likelihood estimation</w:t>
      </w:r>
    </w:p>
  </w:footnote>
  <w:footnote w:id="53">
    <w:p>
      <w:pPr>
        <w:bidi w:val="0"/>
        <w:spacing w:after="0" w:line="240" w:lineRule="auto"/>
        <w:jc w:val="left"/>
      </w:pPr>
      <w:r>
        <w:rPr>
          <w:rFonts w:ascii="Times New Roman" w:hAnsi="Times New Roman" w:cs="Times New Roman"/>
          <w:sz w:val="22"/>
          <w:szCs w:val="22"/>
          <w:vertAlign w:val="superscript"/>
        </w:rPr>
        <w:t xml:space="preserve">۵۳ </w:t>
      </w:r>
      <w:r>
        <w:rPr>
          <w:rFonts w:ascii="Times New Roman" w:hAnsi="Times New Roman" w:cs="Times New Roman"/>
          <w:sz w:val="22"/>
          <w:szCs w:val="22"/>
        </w:rPr>
        <w:t xml:space="preserve">Rhemtulla et al.</w:t>
      </w:r>
    </w:p>
  </w:footnote>
  <w:footnote w:id="54">
    <w:p>
      <w:pPr>
        <w:bidi w:val="0"/>
        <w:spacing w:after="0" w:line="240" w:lineRule="auto"/>
        <w:jc w:val="left"/>
      </w:pPr>
      <w:r>
        <w:rPr>
          <w:rFonts w:ascii="Times New Roman" w:hAnsi="Times New Roman" w:cs="Times New Roman"/>
          <w:sz w:val="22"/>
          <w:szCs w:val="22"/>
          <w:vertAlign w:val="superscript"/>
        </w:rPr>
        <w:t xml:space="preserve">۵۴ </w:t>
      </w:r>
      <w:r>
        <w:rPr>
          <w:rFonts w:ascii="Times New Roman" w:hAnsi="Times New Roman" w:cs="Times New Roman"/>
          <w:sz w:val="22"/>
          <w:szCs w:val="22"/>
        </w:rPr>
        <w:t xml:space="preserve">Diagonally weighted least squares</w:t>
      </w:r>
    </w:p>
  </w:footnote>
  <w:footnote w:id="55">
    <w:p>
      <w:pPr>
        <w:bidi w:val="0"/>
        <w:spacing w:after="0" w:line="240" w:lineRule="auto"/>
        <w:jc w:val="left"/>
      </w:pPr>
      <w:r>
        <w:rPr>
          <w:rFonts w:ascii="Times New Roman" w:hAnsi="Times New Roman" w:cs="Times New Roman"/>
          <w:sz w:val="22"/>
          <w:szCs w:val="22"/>
          <w:vertAlign w:val="superscript"/>
        </w:rPr>
        <w:t xml:space="preserve">۵۵ </w:t>
      </w:r>
      <w:r>
        <w:rPr>
          <w:rFonts w:ascii="Times New Roman" w:hAnsi="Times New Roman" w:cs="Times New Roman"/>
          <w:sz w:val="22"/>
          <w:szCs w:val="22"/>
        </w:rPr>
        <w:t xml:space="preserve">Li</w:t>
      </w:r>
    </w:p>
  </w:footnote>
  <w:footnote w:id="56">
    <w:p>
      <w:pPr>
        <w:bidi w:val="0"/>
        <w:spacing w:after="0" w:line="240" w:lineRule="auto"/>
        <w:jc w:val="left"/>
      </w:pPr>
      <w:r>
        <w:rPr>
          <w:rFonts w:ascii="Times New Roman" w:hAnsi="Times New Roman" w:cs="Times New Roman"/>
          <w:sz w:val="22"/>
          <w:szCs w:val="22"/>
          <w:vertAlign w:val="superscript"/>
        </w:rPr>
        <w:t xml:space="preserve">۵۶ </w:t>
      </w:r>
      <w:r>
        <w:rPr>
          <w:rFonts w:ascii="Times New Roman" w:hAnsi="Times New Roman" w:cs="Times New Roman"/>
          <w:sz w:val="22"/>
          <w:szCs w:val="22"/>
        </w:rPr>
        <w:t xml:space="preserve">Confirmatory factor analysis</w:t>
      </w:r>
    </w:p>
  </w:footnote>
  <w:footnote w:id="57">
    <w:p>
      <w:pPr>
        <w:bidi w:val="0"/>
        <w:spacing w:after="0" w:line="240" w:lineRule="auto"/>
        <w:jc w:val="left"/>
      </w:pPr>
      <w:r>
        <w:rPr>
          <w:rFonts w:ascii="Times New Roman" w:hAnsi="Times New Roman" w:cs="Times New Roman"/>
          <w:sz w:val="22"/>
          <w:szCs w:val="22"/>
          <w:vertAlign w:val="superscript"/>
        </w:rPr>
        <w:t xml:space="preserve">۵۷ </w:t>
      </w:r>
      <w:r>
        <w:rPr>
          <w:rFonts w:ascii="Times New Roman" w:hAnsi="Times New Roman" w:cs="Times New Roman"/>
          <w:sz w:val="22"/>
          <w:szCs w:val="22"/>
        </w:rPr>
        <w:t xml:space="preserve">Composite reliability</w:t>
      </w:r>
    </w:p>
  </w:footnote>
  <w:footnote w:id="58">
    <w:p>
      <w:pPr>
        <w:bidi w:val="0"/>
        <w:spacing w:after="0" w:line="240" w:lineRule="auto"/>
        <w:jc w:val="left"/>
      </w:pPr>
      <w:r>
        <w:rPr>
          <w:rFonts w:ascii="Times New Roman" w:hAnsi="Times New Roman" w:cs="Times New Roman"/>
          <w:sz w:val="22"/>
          <w:szCs w:val="22"/>
          <w:vertAlign w:val="superscript"/>
        </w:rPr>
        <w:t xml:space="preserve">۵۸ </w:t>
      </w:r>
      <w:r>
        <w:rPr>
          <w:rFonts w:ascii="Times New Roman" w:hAnsi="Times New Roman" w:cs="Times New Roman"/>
          <w:sz w:val="22"/>
          <w:szCs w:val="22"/>
        </w:rPr>
        <w:t xml:space="preserve">Convergent validity</w:t>
      </w:r>
    </w:p>
  </w:footnote>
  <w:footnote w:id="59">
    <w:p>
      <w:pPr>
        <w:bidi w:val="0"/>
        <w:spacing w:after="0" w:line="240" w:lineRule="auto"/>
        <w:jc w:val="left"/>
      </w:pPr>
      <w:r>
        <w:rPr>
          <w:rFonts w:ascii="Times New Roman" w:hAnsi="Times New Roman" w:cs="Times New Roman"/>
          <w:sz w:val="22"/>
          <w:szCs w:val="22"/>
          <w:vertAlign w:val="superscript"/>
        </w:rPr>
        <w:t xml:space="preserve">۵۹ </w:t>
      </w:r>
      <w:r>
        <w:rPr>
          <w:rFonts w:ascii="Times New Roman" w:hAnsi="Times New Roman" w:cs="Times New Roman"/>
          <w:sz w:val="22"/>
          <w:szCs w:val="22"/>
        </w:rPr>
        <w:t xml:space="preserve">Discriminant validity</w:t>
      </w:r>
    </w:p>
  </w:footnote>
  <w:footnote w:id="60">
    <w:p>
      <w:pPr>
        <w:bidi w:val="0"/>
        <w:spacing w:after="0" w:line="240" w:lineRule="auto"/>
        <w:jc w:val="left"/>
      </w:pPr>
      <w:r>
        <w:rPr>
          <w:rFonts w:ascii="Times New Roman" w:hAnsi="Times New Roman" w:cs="Times New Roman"/>
          <w:sz w:val="22"/>
          <w:szCs w:val="22"/>
          <w:vertAlign w:val="superscript"/>
        </w:rPr>
        <w:t xml:space="preserve">۶۰ </w:t>
      </w:r>
      <w:r>
        <w:rPr>
          <w:rFonts w:ascii="Times New Roman" w:hAnsi="Times New Roman" w:cs="Times New Roman"/>
          <w:sz w:val="22"/>
          <w:szCs w:val="22"/>
        </w:rPr>
        <w:t xml:space="preserve">Fornell &amp; Larcker</w:t>
      </w:r>
    </w:p>
  </w:footnote>
  <w:footnote w:id="61">
    <w:p>
      <w:pPr>
        <w:bidi w:val="0"/>
        <w:spacing w:after="0" w:line="240" w:lineRule="auto"/>
        <w:jc w:val="left"/>
      </w:pPr>
      <w:r>
        <w:rPr>
          <w:rFonts w:ascii="Times New Roman" w:hAnsi="Times New Roman" w:cs="Times New Roman"/>
          <w:sz w:val="22"/>
          <w:szCs w:val="22"/>
          <w:vertAlign w:val="superscript"/>
        </w:rPr>
        <w:t xml:space="preserve">۶۱ </w:t>
      </w:r>
      <w:r>
        <w:rPr>
          <w:rFonts w:ascii="Times New Roman" w:hAnsi="Times New Roman" w:cs="Times New Roman"/>
          <w:sz w:val="22"/>
          <w:szCs w:val="22"/>
        </w:rPr>
        <w:t xml:space="preserve">Henseler et al.</w:t>
      </w:r>
    </w:p>
  </w:footnote>
  <w:footnote w:id="62">
    <w:p>
      <w:pPr>
        <w:bidi w:val="0"/>
        <w:spacing w:after="0" w:line="240" w:lineRule="auto"/>
        <w:jc w:val="left"/>
      </w:pPr>
      <w:r>
        <w:rPr>
          <w:rFonts w:ascii="Times New Roman" w:hAnsi="Times New Roman" w:cs="Times New Roman"/>
          <w:sz w:val="22"/>
          <w:szCs w:val="22"/>
          <w:vertAlign w:val="superscript"/>
        </w:rPr>
        <w:t xml:space="preserve">۶۲ </w:t>
      </w:r>
      <w:r>
        <w:rPr>
          <w:rFonts w:ascii="Times New Roman" w:hAnsi="Times New Roman" w:cs="Times New Roman"/>
          <w:sz w:val="22"/>
          <w:szCs w:val="22"/>
        </w:rPr>
        <w:t xml:space="preserve">Podsakoff et al.</w:t>
      </w:r>
    </w:p>
  </w:footnote>
  <w:footnote w:id="63">
    <w:p>
      <w:pPr>
        <w:bidi w:val="0"/>
        <w:spacing w:after="0" w:line="240" w:lineRule="auto"/>
        <w:jc w:val="left"/>
      </w:pPr>
      <w:r>
        <w:rPr>
          <w:rFonts w:ascii="Times New Roman" w:hAnsi="Times New Roman" w:cs="Times New Roman"/>
          <w:sz w:val="22"/>
          <w:szCs w:val="22"/>
          <w:vertAlign w:val="superscript"/>
        </w:rPr>
        <w:t xml:space="preserve">۶۳ </w:t>
      </w:r>
      <w:r>
        <w:rPr>
          <w:rFonts w:ascii="Times New Roman" w:hAnsi="Times New Roman" w:cs="Times New Roman"/>
          <w:sz w:val="22"/>
          <w:szCs w:val="22"/>
        </w:rPr>
        <w:t xml:space="preserve">Hu &amp; Bentler</w:t>
      </w:r>
    </w:p>
  </w:footnote>
  <w:footnote w:id="64">
    <w:p>
      <w:pPr>
        <w:bidi w:val="0"/>
        <w:spacing w:after="0" w:line="240" w:lineRule="auto"/>
        <w:jc w:val="left"/>
      </w:pPr>
      <w:r>
        <w:rPr>
          <w:rFonts w:ascii="Times New Roman" w:hAnsi="Times New Roman" w:cs="Times New Roman"/>
          <w:sz w:val="22"/>
          <w:szCs w:val="22"/>
          <w:vertAlign w:val="superscript"/>
        </w:rPr>
        <w:t xml:space="preserve">۶۴ </w:t>
      </w:r>
      <w:r>
        <w:rPr>
          <w:rFonts w:ascii="Times New Roman" w:hAnsi="Times New Roman" w:cs="Times New Roman"/>
          <w:sz w:val="22"/>
          <w:szCs w:val="22"/>
        </w:rPr>
        <w:t xml:space="preserve">Marsh et al.</w:t>
      </w:r>
    </w:p>
  </w:footnote>
  <w:footnote w:id="65">
    <w:p>
      <w:pPr>
        <w:bidi w:val="0"/>
        <w:spacing w:after="0" w:line="240" w:lineRule="auto"/>
        <w:jc w:val="left"/>
      </w:pPr>
      <w:r>
        <w:rPr>
          <w:rFonts w:ascii="Times New Roman" w:hAnsi="Times New Roman" w:cs="Times New Roman"/>
          <w:sz w:val="22"/>
          <w:szCs w:val="22"/>
          <w:vertAlign w:val="superscript"/>
        </w:rPr>
        <w:t xml:space="preserve">۶۵ </w:t>
      </w:r>
      <w:r>
        <w:rPr>
          <w:rFonts w:ascii="Times New Roman" w:hAnsi="Times New Roman" w:cs="Times New Roman"/>
          <w:sz w:val="22"/>
          <w:szCs w:val="22"/>
        </w:rPr>
        <w:t xml:space="preserve">Little et al.</w:t>
      </w:r>
    </w:p>
  </w:footnote>
  <w:footnote w:id="66">
    <w:p>
      <w:pPr>
        <w:bidi w:val="0"/>
        <w:spacing w:after="0" w:line="240" w:lineRule="auto"/>
        <w:jc w:val="left"/>
      </w:pPr>
      <w:r>
        <w:rPr>
          <w:rFonts w:ascii="Times New Roman" w:hAnsi="Times New Roman" w:cs="Times New Roman"/>
          <w:sz w:val="22"/>
          <w:szCs w:val="22"/>
          <w:vertAlign w:val="superscript"/>
        </w:rPr>
        <w:t xml:space="preserve">۶۶ </w:t>
      </w:r>
      <w:r>
        <w:rPr>
          <w:rFonts w:ascii="Times New Roman" w:hAnsi="Times New Roman" w:cs="Times New Roman"/>
          <w:sz w:val="22"/>
          <w:szCs w:val="22"/>
        </w:rPr>
        <w:t xml:space="preserve">Cohen</w:t>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