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00" w:lineRule="auto"/>
        <w:jc w:val="left"/>
      </w:pPr>
      <w:r>
        <w:rPr>
          <w:rFonts w:ascii="Times New Roman" w:hAnsi="Times New Roman" w:cs="Times New Roman" w:eastAsia="Times New Roman"/>
          <w:b/>
          <w:bCs/>
          <w:sz w:val="28"/>
          <w:szCs w:val="28"/>
        </w:rPr>
        <w:t xml:space="preserve">Internal Control Architectures and Accountability Dimensions in Emerging Economy Bureaucracies</w:t>
      </w:r>
    </w:p>
    <w:p>
      <w:pPr>
        <w:spacing w:before="120" w:after="60" w:line="300" w:lineRule="auto"/>
        <w:jc w:val="left"/>
      </w:pPr>
      <w:r>
        <w:rPr>
          <w:rFonts w:ascii="Times New Roman" w:hAnsi="Times New Roman" w:cs="Times New Roman" w:eastAsia="Times New Roman"/>
          <w:b/>
          <w:bCs/>
          <w:sz w:val="24"/>
          <w:szCs w:val="24"/>
        </w:rPr>
        <w:t xml:space="preserve">Abstract</w:t>
      </w:r>
    </w:p>
    <w:p>
      <w:pPr>
        <w:spacing w:before="0" w:after="120" w:line="360" w:lineRule="auto"/>
        <w:jc w:val="both"/>
      </w:pPr>
      <w:r>
        <w:rPr>
          <w:rFonts w:ascii="Times New Roman" w:hAnsi="Times New Roman" w:cs="Times New Roman" w:eastAsia="Times New Roman"/>
          <w:sz w:val="24"/>
          <w:szCs w:val="24"/>
        </w:rPr>
        <w:t xml:space="preserve">This study examines how two components of internal financial control, procedural control activities and strategic financial management, relate to legal, organizational, political and professional accountability in public organizations. Survey data from 187 tax officials and accountants in Tehran were analyzed with covariance-based structural equation modeling. Both components were positively associated with all four dimensions. Control activities showed the largest effects on professional and legal accountability, and financial management on political and organizational accountability, but these differences were not statistically significant. The weakest paths were not robust to all specifications.</w:t>
      </w:r>
    </w:p>
    <w:p>
      <w:pPr>
        <w:spacing w:before="0" w:after="240" w:line="360" w:lineRule="auto"/>
        <w:jc w:val="left"/>
      </w:pPr>
      <w:r>
        <w:rPr>
          <w:rFonts w:ascii="Times New Roman" w:hAnsi="Times New Roman" w:cs="Times New Roman" w:eastAsia="Times New Roman"/>
          <w:b/>
          <w:bCs/>
          <w:sz w:val="24"/>
          <w:szCs w:val="24"/>
        </w:rPr>
        <w:t xml:space="preserve">Keywords</w:t>
      </w:r>
      <w:r>
        <w:rPr>
          <w:rFonts w:ascii="Times New Roman" w:hAnsi="Times New Roman" w:cs="Times New Roman" w:eastAsia="Times New Roman"/>
          <w:sz w:val="24"/>
          <w:szCs w:val="24"/>
        </w:rPr>
        <w:t xml:space="preserve"> Public sector accountability; Internal control; Strategic financial management; Structural equation modeling; Emerging economies; Tax administration</w:t>
      </w:r>
    </w:p>
    <w:p>
      <w:pPr>
        <w:keepNext/>
        <w:spacing w:before="240" w:after="120" w:line="360" w:lineRule="auto"/>
        <w:jc w:val="left"/>
      </w:pPr>
      <w:r>
        <w:rPr>
          <w:rFonts w:ascii="Times New Roman" w:hAnsi="Times New Roman" w:cs="Times New Roman" w:eastAsia="Times New Roman"/>
          <w:b/>
          <w:bCs/>
          <w:sz w:val="24"/>
          <w:szCs w:val="24"/>
        </w:rPr>
        <w:t xml:space="preserve">1  Introduction</w:t>
      </w:r>
    </w:p>
    <w:p>
      <w:pPr>
        <w:spacing w:before="0" w:after="120" w:line="360" w:lineRule="auto"/>
        <w:jc w:val="both"/>
      </w:pPr>
      <w:r>
        <w:rPr>
          <w:rFonts w:ascii="Times New Roman" w:hAnsi="Times New Roman" w:cs="Times New Roman" w:eastAsia="Times New Roman"/>
          <w:sz w:val="24"/>
          <w:szCs w:val="24"/>
        </w:rPr>
        <w:t xml:space="preserve">Escalating demands for transparency, fiscal discipline and value for money have placed financial control at the center of public governance debates (Chan, 2003; OECD, 2020; Robinson, 2013). Public institutions must not only comply with statutory and budgetary requirements but also protect state resources against fraud, waste and mismanagement (Committee of Sponsoring Organizations [COSO], 2013; Doyle &amp; McVay, 2007). Internal control provides reasonable assurance on these goals. COSO (2013) describes it through five components. Among them, control activities such as authorizations, reconciliations, supervisory reviews and segregation of duties directly govern transaction execution (Arens et al., 2014; Romney &amp; Steinbart, 2017). Strategic financial management, by contrast, covers planning, performance-oriented budgeting and fiscal oversight that connect resources to administrative goals (Atrill, 2006; Robinson, 2013).</w:t>
      </w:r>
    </w:p>
    <w:p>
      <w:pPr>
        <w:spacing w:before="0" w:after="120" w:line="360" w:lineRule="auto"/>
        <w:jc w:val="both"/>
      </w:pPr>
      <w:r>
        <w:rPr>
          <w:rFonts w:ascii="Times New Roman" w:hAnsi="Times New Roman" w:cs="Times New Roman" w:eastAsia="Times New Roman"/>
          <w:sz w:val="24"/>
          <w:szCs w:val="24"/>
        </w:rPr>
        <w:t xml:space="preserve">These mechanisms matter for public accountability, understood as a relationship in which an actor must explain and justify conduct to a forum that can judge and sanction it (Bovens, 2007). Public organizations face multiple and sometimes competing accountability expectations (Koppell, 2005). Accountability is therefore multidimensional. It comprises legal accountability (compliance with legislation and appropriation rules), professional accountability (technical and ethical standards), political accountability (justification to political authorities and citizens) and organizational accountability (efficient use of resources toward administrative objectives) (Demb &amp; Neubauer, 1992; Koppell, 2005; Schedler &amp; Proeller, 2010). Treating accountability as a single construct hides how particular control mechanisms may support different obligations.</w:t>
      </w:r>
    </w:p>
    <w:p>
      <w:pPr>
        <w:spacing w:before="0" w:after="120" w:line="360" w:lineRule="auto"/>
        <w:jc w:val="both"/>
      </w:pPr>
      <w:r>
        <w:rPr>
          <w:rFonts w:ascii="Times New Roman" w:hAnsi="Times New Roman" w:cs="Times New Roman" w:eastAsia="Times New Roman"/>
          <w:sz w:val="24"/>
          <w:szCs w:val="24"/>
        </w:rPr>
        <w:t xml:space="preserve">Corporate assumptions do not transfer directly to public organizations, which serve multiple principals under conflicting mandates (Koppell, 2005; OECD, 2020). Empirical studies of public-sector internal control often aggregate practices into one measure, which obscures the difference between procedural controls and strategic financial management (Gourbier et al., 2025; Hanim Fadzil et al., 2005; Lenz &amp; Hahn, 2015). Procedural controls enforce traceability, rule adherence and error prevention, whereas strategic financial management supports fiscal sustainability, resource prioritization and performance.</w:t>
      </w:r>
    </w:p>
    <w:p>
      <w:pPr>
        <w:spacing w:before="0" w:after="120" w:line="360" w:lineRule="auto"/>
        <w:jc w:val="both"/>
      </w:pPr>
      <w:r>
        <w:rPr>
          <w:rFonts w:ascii="Times New Roman" w:hAnsi="Times New Roman" w:cs="Times New Roman" w:eastAsia="Times New Roman"/>
          <w:sz w:val="24"/>
          <w:szCs w:val="24"/>
        </w:rPr>
        <w:t xml:space="preserve">Iran offers a relevant setting. State governance depends on budget formulation and expenditure oversight (World Bank, 2005), while external oversight by bodies such as the Supreme Audit Court remains shaped by evolving institutional structures and formal compliance requirements (Jalali &amp; Abdollahzade, 2022). Internal control is frequently perceived as a ceremonial compliance exercise, which raises the question of whether it works as a substantive accountability instrument.</w:t>
      </w:r>
    </w:p>
    <w:p>
      <w:pPr>
        <w:spacing w:before="0" w:after="120" w:line="360" w:lineRule="auto"/>
        <w:jc w:val="both"/>
      </w:pPr>
      <w:r>
        <w:rPr>
          <w:rFonts w:ascii="Times New Roman" w:hAnsi="Times New Roman" w:cs="Times New Roman" w:eastAsia="Times New Roman"/>
          <w:sz w:val="24"/>
          <w:szCs w:val="24"/>
        </w:rPr>
        <w:t xml:space="preserve">The study draws on agency theory and stewardship theory and makes three contributions. It disaggregates accountability into four dimensions, it separates financial control into procedural control activities and strategic financial management, and it provides evidence from an emerging, centralized bureaucratic context. Section 2 develops the hypotheses, Section 3 describes the method, Section 4 reports the results, and Section 5 discusses the findings.</w:t>
      </w:r>
    </w:p>
    <w:p>
      <w:pPr>
        <w:keepNext/>
        <w:spacing w:before="240" w:after="120" w:line="360" w:lineRule="auto"/>
        <w:jc w:val="left"/>
      </w:pPr>
      <w:r>
        <w:rPr>
          <w:rFonts w:ascii="Times New Roman" w:hAnsi="Times New Roman" w:cs="Times New Roman" w:eastAsia="Times New Roman"/>
          <w:b/>
          <w:bCs/>
          <w:sz w:val="24"/>
          <w:szCs w:val="24"/>
        </w:rPr>
        <w:t xml:space="preserve">2  Theoretical Background and Hypotheses</w:t>
      </w:r>
    </w:p>
    <w:p>
      <w:pPr>
        <w:keepNext/>
        <w:spacing w:before="160" w:after="120" w:line="360" w:lineRule="auto"/>
        <w:jc w:val="left"/>
      </w:pPr>
      <w:r>
        <w:rPr>
          <w:rFonts w:ascii="Times New Roman" w:hAnsi="Times New Roman" w:cs="Times New Roman" w:eastAsia="Times New Roman"/>
          <w:b/>
          <w:bCs/>
          <w:i/>
          <w:iCs/>
          <w:sz w:val="24"/>
          <w:szCs w:val="24"/>
        </w:rPr>
        <w:t xml:space="preserve">2.1  Accountability and Financial Control</w:t>
      </w:r>
    </w:p>
    <w:p>
      <w:pPr>
        <w:spacing w:before="0" w:after="120" w:line="360" w:lineRule="auto"/>
        <w:jc w:val="both"/>
      </w:pPr>
      <w:r>
        <w:rPr>
          <w:rFonts w:ascii="Times New Roman" w:hAnsi="Times New Roman" w:cs="Times New Roman" w:eastAsia="Times New Roman"/>
          <w:sz w:val="24"/>
          <w:szCs w:val="24"/>
        </w:rPr>
        <w:t xml:space="preserve">Following Bovens (2007), accountability is a relationship between an actor and a forum: the actor must explain and justify its conduct, the forum may pose questions and pass judgment, and the actor may face consequences. Because the term has been extended to so many relationships that it loses precision (Mulgan, 2000), accountability is treated here as a set of related obligations, each defined by the forum and the standard of judgment (Bovens et al., 2014). Organizational accountability is owed to superiors in the administrative hierarchy and rests on reporting lines, performance evaluation and internal audit (Ebrahim, 2003; Romzek &amp; Dubnick, 1987). Legal accountability concerns whether public authority, including the commitment of funds, stays within the limits of law and budgetary authorization, and its forums are courts, regulators and audit bodies (Demb &amp; Neubauer, 1992; Mulgan, 2000). Professional accountability derives from expertise and ethics and is sustained by codes of conduct and professional development (A. T. Hall, 2005; Uhr, 1993b). Political accountability links administrative action to democratic legitimacy through legislative scrutiny, public hearings and performance reporting (Behn, 2001).</w:t>
      </w:r>
    </w:p>
    <w:p>
      <w:pPr>
        <w:spacing w:before="0" w:after="120" w:line="360" w:lineRule="auto"/>
        <w:jc w:val="both"/>
      </w:pPr>
      <w:r>
        <w:rPr>
          <w:rFonts w:ascii="Times New Roman" w:hAnsi="Times New Roman" w:cs="Times New Roman" w:eastAsia="Times New Roman"/>
          <w:sz w:val="24"/>
          <w:szCs w:val="24"/>
        </w:rPr>
        <w:t xml:space="preserve">Financial control operates at two levels that are distinct but complementary. Procedural control activities, namely authorization, segregation of duties, documentation, supervisory review, reconciliation and compliance checks, reduce error and fraud and make transactions verifiable after the fact (Beckett &amp; Jonker, 2002; Goodwin-Stewart &amp; Kent, 2006; Merchant &amp; Van der Stede, 2007; Power, 1997). Strategic financial management covers budgeting, resource planning, expenditure monitoring, risk management and the alignment of resources with objectives (Anthony et al., 2007; Broadbent &amp; Guthrie, 2008; Cangiano et al., 2013). Procedural controls ask whether transactions are carried out correctly, whereas strategic financial management asks whether resources are directed toward the right ends. Its effectiveness depends on political commitment, institutional capacity and the competence of financial staff (Andrews, 2013).</w:t>
      </w:r>
    </w:p>
    <w:p>
      <w:pPr>
        <w:spacing w:before="0" w:after="120" w:line="360" w:lineRule="auto"/>
        <w:jc w:val="both"/>
      </w:pPr>
      <w:r>
        <w:rPr>
          <w:rFonts w:ascii="Times New Roman" w:hAnsi="Times New Roman" w:cs="Times New Roman" w:eastAsia="Times New Roman"/>
          <w:sz w:val="24"/>
          <w:szCs w:val="24"/>
        </w:rPr>
        <w:t xml:space="preserve">Agency theory provides the main rationale for procedural controls. Citizens, legislators and oversight bodies act as principals who delegate authority to officials who know more about their own actions (Eisenhardt, 1989; Jensen &amp; Meckling, 1976). Authorization, segregation of duties and reconciliation narrow the room for opportunism by producing independent evidence that principals can use to monitor agents. Stewardship theory assumes instead that managers may identify with the organization and its purposes (Davis et al., 1997). From this standpoint, a framework that grants discretion while tying it to shared goals matters more than close monitoring. Strategic financial management offers such a framework, because managers become answerable for results as well as procedures. Accountability theory links both levels to the four outcomes: accountability is achieved when actors provide information, forums deliberate on it and consequences follow (Bovens, 2007; Schedler, 1999), and financial controls contribute to these stages differently across forums.</w:t>
      </w:r>
    </w:p>
    <w:p>
      <w:pPr>
        <w:spacing w:before="0" w:after="120" w:line="360" w:lineRule="auto"/>
        <w:jc w:val="both"/>
      </w:pPr>
      <w:r>
        <w:rPr>
          <w:rFonts w:ascii="Times New Roman" w:hAnsi="Times New Roman" w:cs="Times New Roman" w:eastAsia="Times New Roman"/>
          <w:sz w:val="24"/>
          <w:szCs w:val="24"/>
        </w:rPr>
        <w:t xml:space="preserve">Other perspectives are consistent with this framework but are not part of the model. Institutional theory suggests that organizations may adopt control practices under coercive and normative pressure, sometimes more for legitimacy than for effect (DiMaggio &amp; Powell, 1983; Scott, 2004), and New Public Management shifted the emphasis of control from input compliance toward performance measurement and managerial responsibility (Hood, 1991). Both are relevant to the Iranian setting, where formal control requirements may be adopted without being used as accountability instruments.</w:t>
      </w:r>
    </w:p>
    <w:p>
      <w:pPr>
        <w:keepNext/>
        <w:spacing w:before="160" w:after="120" w:line="360" w:lineRule="auto"/>
        <w:jc w:val="left"/>
      </w:pPr>
      <w:r>
        <w:rPr>
          <w:rFonts w:ascii="Times New Roman" w:hAnsi="Times New Roman" w:cs="Times New Roman" w:eastAsia="Times New Roman"/>
          <w:b/>
          <w:bCs/>
          <w:i/>
          <w:iCs/>
          <w:sz w:val="24"/>
          <w:szCs w:val="24"/>
        </w:rPr>
        <w:t xml:space="preserve">2.2  Hypotheses</w:t>
      </w:r>
    </w:p>
    <w:p>
      <w:pPr>
        <w:spacing w:before="0" w:after="120" w:line="360" w:lineRule="auto"/>
        <w:jc w:val="both"/>
      </w:pPr>
      <w:r>
        <w:rPr>
          <w:rFonts w:ascii="Times New Roman" w:hAnsi="Times New Roman" w:cs="Times New Roman" w:eastAsia="Times New Roman"/>
          <w:sz w:val="24"/>
          <w:szCs w:val="24"/>
        </w:rPr>
        <w:t xml:space="preserve">Procedural controls supply managers with reliable information on whether processes work as intended (Merchant &amp; Van der Stede, 2007), and they assign responsibilities and expose deviations from approved policy (Ebrahim, 2003).</w:t>
      </w:r>
    </w:p>
    <w:p>
      <w:pPr>
        <w:spacing w:before="0" w:after="120" w:line="360" w:lineRule="auto"/>
        <w:ind w:left="360"/>
        <w:jc w:val="left"/>
      </w:pPr>
      <w:r>
        <w:rPr>
          <w:rFonts w:ascii="Times New Roman" w:hAnsi="Times New Roman" w:cs="Times New Roman" w:eastAsia="Times New Roman"/>
          <w:i/>
          <w:iCs/>
          <w:sz w:val="24"/>
          <w:szCs w:val="24"/>
        </w:rPr>
        <w:t xml:space="preserve">H1. Control activities have a positive effect on organizational accountability.</w:t>
      </w:r>
    </w:p>
    <w:p>
      <w:pPr>
        <w:spacing w:before="0" w:after="120" w:line="360" w:lineRule="auto"/>
        <w:jc w:val="both"/>
      </w:pPr>
      <w:r>
        <w:rPr>
          <w:rFonts w:ascii="Times New Roman" w:hAnsi="Times New Roman" w:cs="Times New Roman" w:eastAsia="Times New Roman"/>
          <w:sz w:val="24"/>
          <w:szCs w:val="24"/>
        </w:rPr>
        <w:t xml:space="preserve">Approval procedures, reconciliations and compliance reviews create the audit trail on which legal review depends, and they can identify irregularities before they become material violations (Arwinge, 2012; Beckett &amp; Jonker, 2002; Goh, 2009).</w:t>
      </w:r>
    </w:p>
    <w:p>
      <w:pPr>
        <w:spacing w:before="0" w:after="120" w:line="360" w:lineRule="auto"/>
        <w:ind w:left="360"/>
        <w:jc w:val="left"/>
      </w:pPr>
      <w:r>
        <w:rPr>
          <w:rFonts w:ascii="Times New Roman" w:hAnsi="Times New Roman" w:cs="Times New Roman" w:eastAsia="Times New Roman"/>
          <w:i/>
          <w:iCs/>
          <w:sz w:val="24"/>
          <w:szCs w:val="24"/>
        </w:rPr>
        <w:t xml:space="preserve">H2. Control activities have a positive effect on legal accountability.</w:t>
      </w:r>
    </w:p>
    <w:p>
      <w:pPr>
        <w:spacing w:before="0" w:after="120" w:line="360" w:lineRule="auto"/>
        <w:jc w:val="both"/>
      </w:pPr>
      <w:r>
        <w:rPr>
          <w:rFonts w:ascii="Times New Roman" w:hAnsi="Times New Roman" w:cs="Times New Roman" w:eastAsia="Times New Roman"/>
          <w:sz w:val="24"/>
          <w:szCs w:val="24"/>
        </w:rPr>
        <w:t xml:space="preserve">Codes of conduct, ethics training, supervisory review and independent audit give professional expectations explicit criteria and open individual judgments to review (Gendron et al., 2007; Kaptein, 2011).</w:t>
      </w:r>
    </w:p>
    <w:p>
      <w:pPr>
        <w:spacing w:before="0" w:after="120" w:line="360" w:lineRule="auto"/>
        <w:ind w:left="360"/>
        <w:jc w:val="left"/>
      </w:pPr>
      <w:r>
        <w:rPr>
          <w:rFonts w:ascii="Times New Roman" w:hAnsi="Times New Roman" w:cs="Times New Roman" w:eastAsia="Times New Roman"/>
          <w:i/>
          <w:iCs/>
          <w:sz w:val="24"/>
          <w:szCs w:val="24"/>
        </w:rPr>
        <w:t xml:space="preserve">H3. Control activities have a positive effect on professional accountability.</w:t>
      </w:r>
    </w:p>
    <w:p>
      <w:pPr>
        <w:spacing w:before="0" w:after="120" w:line="360" w:lineRule="auto"/>
        <w:jc w:val="both"/>
      </w:pPr>
      <w:r>
        <w:rPr>
          <w:rFonts w:ascii="Times New Roman" w:hAnsi="Times New Roman" w:cs="Times New Roman" w:eastAsia="Times New Roman"/>
          <w:sz w:val="24"/>
          <w:szCs w:val="24"/>
        </w:rPr>
        <w:t xml:space="preserve">Political forums are furthest from daily administration and depend on the accuracy and traceability of the information that reaches them (Behn, 2001; Schedler, 1999), which control activities improve.</w:t>
      </w:r>
    </w:p>
    <w:p>
      <w:pPr>
        <w:spacing w:before="0" w:after="120" w:line="360" w:lineRule="auto"/>
        <w:ind w:left="360"/>
        <w:jc w:val="left"/>
      </w:pPr>
      <w:r>
        <w:rPr>
          <w:rFonts w:ascii="Times New Roman" w:hAnsi="Times New Roman" w:cs="Times New Roman" w:eastAsia="Times New Roman"/>
          <w:i/>
          <w:iCs/>
          <w:sz w:val="24"/>
          <w:szCs w:val="24"/>
        </w:rPr>
        <w:t xml:space="preserve">H4. Control activities have a positive effect on political accountability.</w:t>
      </w:r>
    </w:p>
    <w:p>
      <w:pPr>
        <w:spacing w:before="0" w:after="120" w:line="360" w:lineRule="auto"/>
        <w:jc w:val="both"/>
      </w:pPr>
      <w:r>
        <w:rPr>
          <w:rFonts w:ascii="Times New Roman" w:hAnsi="Times New Roman" w:cs="Times New Roman" w:eastAsia="Times New Roman"/>
          <w:sz w:val="24"/>
          <w:szCs w:val="24"/>
        </w:rPr>
        <w:t xml:space="preserve">Strategic financial management links inputs and expenditure to outputs and performance targets, which allows organizations to monitor budget execution and justify corrective action, and gives senior managers verifiable information for evaluating performance and holding subordinates responsible (Anthony et al., 2007; Stewart, 1984).</w:t>
      </w:r>
    </w:p>
    <w:p>
      <w:pPr>
        <w:spacing w:before="0" w:after="120" w:line="360" w:lineRule="auto"/>
        <w:ind w:left="360"/>
        <w:jc w:val="left"/>
      </w:pPr>
      <w:r>
        <w:rPr>
          <w:rFonts w:ascii="Times New Roman" w:hAnsi="Times New Roman" w:cs="Times New Roman" w:eastAsia="Times New Roman"/>
          <w:i/>
          <w:iCs/>
          <w:sz w:val="24"/>
          <w:szCs w:val="24"/>
        </w:rPr>
        <w:t xml:space="preserve">H5. Strategic financial management has a positive effect on organizational accountability.</w:t>
      </w:r>
    </w:p>
    <w:p>
      <w:pPr>
        <w:spacing w:before="0" w:after="120" w:line="360" w:lineRule="auto"/>
        <w:jc w:val="both"/>
      </w:pPr>
      <w:r>
        <w:rPr>
          <w:rFonts w:ascii="Times New Roman" w:hAnsi="Times New Roman" w:cs="Times New Roman" w:eastAsia="Times New Roman"/>
          <w:sz w:val="24"/>
          <w:szCs w:val="24"/>
        </w:rPr>
        <w:t xml:space="preserve">Much of what makes public spending lawful is determined upstream, because appropriations, expenditure limits and accounting rules define what counts as authorized spending, and strategic planning, risk management and regular reporting build compliance into budgeting and procurement (Arwinge, 2012; Kaplan &amp; Mikes, 2016).</w:t>
      </w:r>
    </w:p>
    <w:p>
      <w:pPr>
        <w:spacing w:before="0" w:after="120" w:line="360" w:lineRule="auto"/>
        <w:ind w:left="360"/>
        <w:jc w:val="left"/>
      </w:pPr>
      <w:r>
        <w:rPr>
          <w:rFonts w:ascii="Times New Roman" w:hAnsi="Times New Roman" w:cs="Times New Roman" w:eastAsia="Times New Roman"/>
          <w:i/>
          <w:iCs/>
          <w:sz w:val="24"/>
          <w:szCs w:val="24"/>
        </w:rPr>
        <w:t xml:space="preserve">H6. Strategic financial management has a positive effect on legal accountability.</w:t>
      </w:r>
    </w:p>
    <w:p>
      <w:pPr>
        <w:spacing w:before="0" w:after="120" w:line="360" w:lineRule="auto"/>
        <w:jc w:val="both"/>
      </w:pPr>
      <w:r>
        <w:rPr>
          <w:rFonts w:ascii="Times New Roman" w:hAnsi="Times New Roman" w:cs="Times New Roman" w:eastAsia="Times New Roman"/>
          <w:sz w:val="24"/>
          <w:szCs w:val="24"/>
        </w:rPr>
        <w:t xml:space="preserve">Performance-based budgeting and reporting require staff to justify decisions in professional terms, and capable, trained officials working to clear standards act as responsible stewards (Andrews, 2013; Broadbent &amp; Guthrie, 2008; Jensen, 2023).</w:t>
      </w:r>
    </w:p>
    <w:p>
      <w:pPr>
        <w:spacing w:before="0" w:after="120" w:line="360" w:lineRule="auto"/>
        <w:ind w:left="360"/>
        <w:jc w:val="left"/>
      </w:pPr>
      <w:r>
        <w:rPr>
          <w:rFonts w:ascii="Times New Roman" w:hAnsi="Times New Roman" w:cs="Times New Roman" w:eastAsia="Times New Roman"/>
          <w:i/>
          <w:iCs/>
          <w:sz w:val="24"/>
          <w:szCs w:val="24"/>
        </w:rPr>
        <w:t xml:space="preserve">H7. Strategic financial management has a positive effect on professional accountability.</w:t>
      </w:r>
    </w:p>
    <w:p>
      <w:pPr>
        <w:spacing w:before="0" w:after="120" w:line="360" w:lineRule="auto"/>
        <w:jc w:val="both"/>
      </w:pPr>
      <w:r>
        <w:rPr>
          <w:rFonts w:ascii="Times New Roman" w:hAnsi="Times New Roman" w:cs="Times New Roman" w:eastAsia="Times New Roman"/>
          <w:sz w:val="24"/>
          <w:szCs w:val="24"/>
        </w:rPr>
        <w:t xml:space="preserve">Strategic financial management makes the allocation, use and outcomes of public resources visible and connects them to stated priorities, which legislatures and citizens need in order to judge responsiveness (Moynihan, 2008; Schedler, 1999; Stewart, 1984).</w:t>
      </w:r>
    </w:p>
    <w:p>
      <w:pPr>
        <w:spacing w:before="0" w:after="120" w:line="360" w:lineRule="auto"/>
        <w:ind w:left="360"/>
        <w:jc w:val="left"/>
      </w:pPr>
      <w:r>
        <w:rPr>
          <w:rFonts w:ascii="Times New Roman" w:hAnsi="Times New Roman" w:cs="Times New Roman" w:eastAsia="Times New Roman"/>
          <w:i/>
          <w:iCs/>
          <w:sz w:val="24"/>
          <w:szCs w:val="24"/>
        </w:rPr>
        <w:t xml:space="preserve">H8. Strategic financial management has a positive effect on political accountability.</w:t>
      </w:r>
    </w:p>
    <w:p>
      <w:pPr>
        <w:keepNext/>
        <w:spacing w:before="240" w:after="120" w:line="360" w:lineRule="auto"/>
        <w:jc w:val="left"/>
      </w:pPr>
      <w:r>
        <w:rPr>
          <w:rFonts w:ascii="Times New Roman" w:hAnsi="Times New Roman" w:cs="Times New Roman" w:eastAsia="Times New Roman"/>
          <w:b/>
          <w:bCs/>
          <w:sz w:val="24"/>
          <w:szCs w:val="24"/>
        </w:rPr>
        <w:t xml:space="preserve">3  Method</w:t>
      </w:r>
    </w:p>
    <w:p>
      <w:pPr>
        <w:keepNext/>
        <w:spacing w:before="160" w:after="120" w:line="360" w:lineRule="auto"/>
        <w:jc w:val="left"/>
      </w:pPr>
      <w:r>
        <w:rPr>
          <w:rFonts w:ascii="Times New Roman" w:hAnsi="Times New Roman" w:cs="Times New Roman" w:eastAsia="Times New Roman"/>
          <w:b/>
          <w:bCs/>
          <w:i/>
          <w:iCs/>
          <w:sz w:val="24"/>
          <w:szCs w:val="24"/>
        </w:rPr>
        <w:t xml:space="preserve">3.1  Sample and Procedure</w:t>
      </w:r>
    </w:p>
    <w:p>
      <w:pPr>
        <w:spacing w:before="0" w:after="120" w:line="360" w:lineRule="auto"/>
        <w:jc w:val="both"/>
      </w:pPr>
      <w:r>
        <w:rPr>
          <w:rFonts w:ascii="Times New Roman" w:hAnsi="Times New Roman" w:cs="Times New Roman" w:eastAsia="Times New Roman"/>
          <w:sz w:val="24"/>
          <w:szCs w:val="24"/>
        </w:rPr>
        <w:t xml:space="preserve">The population consisted of tax officials and certified professional accountants of the Tax Affairs Administration of Tehran, who authorize, record, audit and report public revenue and answer at the same time to superiors, legal and audit institutions, professional standards and taxpayers. The questionnaire was administered online in summer 2024, and 187 usable responses were retained. No responses had missing values. Participation was voluntary and anonymous, and submission of the questionnaire was taken as informed consent. Anonymity also served as a procedural remedy against social desirability and common method bias (Podsakoff et al., 2003). Most respondents were men (67.4%), 89.8% held a master’s degree or doctorate, and 39.6% had more than ten years of experience (Online Resource 1, Table S1).</w:t>
      </w:r>
    </w:p>
    <w:p>
      <w:pPr>
        <w:keepNext/>
        <w:spacing w:before="160" w:after="120" w:line="360" w:lineRule="auto"/>
        <w:jc w:val="left"/>
      </w:pPr>
      <w:r>
        <w:rPr>
          <w:rFonts w:ascii="Times New Roman" w:hAnsi="Times New Roman" w:cs="Times New Roman" w:eastAsia="Times New Roman"/>
          <w:b/>
          <w:bCs/>
          <w:i/>
          <w:iCs/>
          <w:sz w:val="24"/>
          <w:szCs w:val="24"/>
        </w:rPr>
        <w:t xml:space="preserve">3.2  Measures</w:t>
      </w:r>
    </w:p>
    <w:p>
      <w:pPr>
        <w:spacing w:before="0" w:after="120" w:line="360" w:lineRule="auto"/>
        <w:jc w:val="both"/>
      </w:pPr>
      <w:r>
        <w:rPr>
          <w:rFonts w:ascii="Times New Roman" w:hAnsi="Times New Roman" w:cs="Times New Roman" w:eastAsia="Times New Roman"/>
          <w:sz w:val="24"/>
          <w:szCs w:val="24"/>
        </w:rPr>
        <w:t xml:space="preserve">All constructs were reflective and measured on five-point scales (1 = very little, 5 = very much). Control activities (nine items) and financial management (four items) were adapted from Wakiriba et al. (2014). The 24 accountability items were adapted from Mulgan (2000), Bovens (2007) and Romzek and Dubnick (1987) because no validated scale exists for tax administration: organizational (seven items), legal (six), professional (seven) and political accountability (four). Because staff answered these items, accountability is measured as perceived from within the organization. The instrument is reported in Online Resource 1.</w:t>
      </w:r>
    </w:p>
    <w:p>
      <w:pPr>
        <w:keepNext/>
        <w:spacing w:before="160" w:after="120" w:line="360" w:lineRule="auto"/>
        <w:jc w:val="left"/>
      </w:pPr>
      <w:r>
        <w:rPr>
          <w:rFonts w:ascii="Times New Roman" w:hAnsi="Times New Roman" w:cs="Times New Roman" w:eastAsia="Times New Roman"/>
          <w:b/>
          <w:bCs/>
          <w:i/>
          <w:iCs/>
          <w:sz w:val="24"/>
          <w:szCs w:val="24"/>
        </w:rPr>
        <w:t xml:space="preserve">3.3  Analysis</w:t>
      </w:r>
    </w:p>
    <w:p>
      <w:pPr>
        <w:spacing w:before="0" w:after="120" w:line="360" w:lineRule="auto"/>
        <w:jc w:val="both"/>
      </w:pPr>
      <w:r>
        <w:rPr>
          <w:rFonts w:ascii="Times New Roman" w:hAnsi="Times New Roman" w:cs="Times New Roman" w:eastAsia="Times New Roman"/>
          <w:sz w:val="24"/>
          <w:szCs w:val="24"/>
        </w:rPr>
        <w:t xml:space="preserve">Normality was assessed with Kolmogorov–Smirnov (Lilliefors), Shapiro–Wilk and Mardia (1970) tests. Following the two-step approach of Anderson and Gerbing (1988), a six-factor confirmatory factor analysis (CFA) was estimated first. Reliability was judged with Cronbach’s alpha and composite reliability (CR ≥ 0.70), convergent validity with the average variance extracted (AVE ≥ 0.50, acceptable below this value when CR exceeds 0.60; Fornell &amp; Larcker, 1981), and discriminant validity with the Fornell–Larcker criterion and the heterotrait–monotrait ratio (HTMT &lt; 0.85; Henseler et al., 2015). Common method bias was examined with Harman’s test and CFA models with an unmeasured latent method factor (Podsakoff et al., 2003). The structural model was then estimated by maximum likelihood (ML). Fit was judged with the combined criteria of Hu and Bentler (1999): comparative fit index (CFI) and Tucker–Lewis index (TLI) ≥ 0.95, root mean square error of approximation (RMSEA) ≤ 0.06 and standardized root mean square residual (SRMR) ≤ 0.08. Paths were tested with 2,000 bootstrap resamples (Efron &amp; Tibshirani, 1993), including tests of the differences between the effects of the two predictors. Covariance-based modeling was chosen because the hypotheses are tested in a reflective model that requires confirmatory evidence of validity and global fit tests (Kline, 2016). Robustness was examined with competing models, diagonally weighted least squares (DWLS) and polychoric-based estimates, outlier removal, correlated residuals, a retained method factor and demographic controls.</w:t>
      </w:r>
    </w:p>
    <w:p>
      <w:pPr>
        <w:keepNext/>
        <w:spacing w:before="240" w:after="120" w:line="360" w:lineRule="auto"/>
        <w:jc w:val="left"/>
      </w:pPr>
      <w:r>
        <w:rPr>
          <w:rFonts w:ascii="Times New Roman" w:hAnsi="Times New Roman" w:cs="Times New Roman" w:eastAsia="Times New Roman"/>
          <w:b/>
          <w:bCs/>
          <w:sz w:val="24"/>
          <w:szCs w:val="24"/>
        </w:rPr>
        <w:t xml:space="preserve">4  Results</w:t>
      </w:r>
    </w:p>
    <w:p>
      <w:pPr>
        <w:keepNext/>
        <w:spacing w:before="160" w:after="120" w:line="360" w:lineRule="auto"/>
        <w:jc w:val="left"/>
      </w:pPr>
      <w:r>
        <w:rPr>
          <w:rFonts w:ascii="Times New Roman" w:hAnsi="Times New Roman" w:cs="Times New Roman" w:eastAsia="Times New Roman"/>
          <w:b/>
          <w:bCs/>
          <w:i/>
          <w:iCs/>
          <w:sz w:val="24"/>
          <w:szCs w:val="24"/>
        </w:rPr>
        <w:t xml:space="preserve">4.1  Descriptive Statistics and Normality</w:t>
      </w:r>
    </w:p>
    <w:p>
      <w:pPr>
        <w:spacing w:before="0" w:after="120" w:line="360" w:lineRule="auto"/>
        <w:jc w:val="both"/>
      </w:pPr>
      <w:r>
        <w:rPr>
          <w:rFonts w:ascii="Times New Roman" w:hAnsi="Times New Roman" w:cs="Times New Roman" w:eastAsia="Times New Roman"/>
          <w:sz w:val="24"/>
          <w:szCs w:val="24"/>
        </w:rPr>
        <w:t xml:space="preserve">Table 1 shows that construct means lie between 3.40 and 3.67 on the five-point scale. Skewness (−0.52 to −0.11) and kurtosis (−0.81 to 0.17) were small, and all item values lay within ±1. Univariate normality tests rejected normality for all constructs and items, as is usual with five-point items. Multivariate kurtosis did not differ from its expected value (z = 0.23, p = 0.82), and multivariate skewness was significant (p = 0.037) but exceeded its degrees of freedom by only 2.7%. Maximum likelihood estimation was therefore considered adequate and was complemented by bootstrap intervals. All construct correlations were positive and significant (0.29 to 0.53).</w:t>
      </w:r>
    </w:p>
    <w:p>
      <w:pPr>
        <w:keepNext/>
        <w:spacing w:before="160" w:after="60" w:line="240" w:lineRule="auto"/>
        <w:jc w:val="left"/>
      </w:pPr>
      <w:r>
        <w:rPr>
          <w:rFonts w:ascii="Times New Roman" w:hAnsi="Times New Roman" w:cs="Times New Roman" w:eastAsia="Times New Roman"/>
          <w:b/>
          <w:bCs/>
          <w:sz w:val="20"/>
          <w:szCs w:val="20"/>
        </w:rPr>
        <w:t xml:space="preserve">Table 1</w:t>
      </w:r>
      <w:r>
        <w:rPr>
          <w:rFonts w:ascii="Times New Roman" w:hAnsi="Times New Roman" w:cs="Times New Roman" w:eastAsia="Times New Roman"/>
          <w:sz w:val="20"/>
          <w:szCs w:val="20"/>
        </w:rPr>
        <w:t xml:space="preserve">  Descriptive statistics and correlations of the constructs (N = 187)</w:t>
      </w:r>
    </w:p>
    <w:tbl>
      <w:tblPr>
        <w:tblW w:w="9070" w:type="dxa"/>
        <w:tblBorders>
          <w:top w:val="single" w:sz="8" w:space="0" w:color="000000"/>
          <w:bottom w:val="single" w:sz="8" w:space="0" w:color="000000"/>
        </w:tblBorders>
        <w:tblLayout w:type="fixed"/>
        <w:tblCellMar>
          <w:left w:w="50" w:type="dxa"/>
          <w:right w:w="50" w:type="dxa"/>
        </w:tblCellMar>
      </w:tblPr>
      <w:tblGrid>
        <w:gridCol w:w="2544"/>
        <w:gridCol w:w="664"/>
        <w:gridCol w:w="664"/>
        <w:gridCol w:w="774"/>
        <w:gridCol w:w="774"/>
        <w:gridCol w:w="608"/>
        <w:gridCol w:w="608"/>
        <w:gridCol w:w="608"/>
        <w:gridCol w:w="608"/>
        <w:gridCol w:w="608"/>
        <w:gridCol w:w="610"/>
      </w:tblGrid>
      <w:tr>
        <w:trPr>
          <w:cantSplit/>
          <w:tblHeader/>
        </w:trPr>
        <w:tc>
          <w:tcPr>
            <w:tcW w:w="2544" w:type="dxa"/>
            <w:tcBorders>
              <w:bottom w:val="single" w:sz="4" w:space="0" w:color="000000"/>
            </w:tcBorders>
            <w:vAlign w:val="center"/>
          </w:tcPr>
          <w:p>
            <w:pPr>
              <w:spacing w:before="20" w:after="20"/>
              <w:jc w:val="left"/>
            </w:pPr>
            <w:r>
              <w:rPr>
                <w:rFonts w:ascii="Times New Roman" w:hAnsi="Times New Roman" w:cs="Times New Roman" w:eastAsia="Times New Roman"/>
                <w:b/>
                <w:bCs/>
                <w:sz w:val="17"/>
                <w:szCs w:val="17"/>
              </w:rPr>
              <w:t xml:space="preserve">Construct</w:t>
            </w:r>
          </w:p>
        </w:tc>
        <w:tc>
          <w:tcPr>
            <w:tcW w:w="6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M</w:t>
            </w:r>
          </w:p>
        </w:tc>
        <w:tc>
          <w:tcPr>
            <w:tcW w:w="66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SD</w:t>
            </w:r>
          </w:p>
        </w:tc>
        <w:tc>
          <w:tcPr>
            <w:tcW w:w="77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Skew.</w:t>
            </w:r>
          </w:p>
        </w:tc>
        <w:tc>
          <w:tcPr>
            <w:tcW w:w="77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Kurt.</w:t>
            </w:r>
          </w:p>
        </w:tc>
        <w:tc>
          <w:tcPr>
            <w:tcW w:w="60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1</w:t>
            </w:r>
          </w:p>
        </w:tc>
        <w:tc>
          <w:tcPr>
            <w:tcW w:w="60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2</w:t>
            </w:r>
          </w:p>
        </w:tc>
        <w:tc>
          <w:tcPr>
            <w:tcW w:w="60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3</w:t>
            </w:r>
          </w:p>
        </w:tc>
        <w:tc>
          <w:tcPr>
            <w:tcW w:w="60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4</w:t>
            </w:r>
          </w:p>
        </w:tc>
        <w:tc>
          <w:tcPr>
            <w:tcW w:w="60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5</w:t>
            </w:r>
          </w:p>
        </w:tc>
        <w:tc>
          <w:tcPr>
            <w:tcW w:w="61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6</w:t>
            </w:r>
          </w:p>
        </w:tc>
      </w:tr>
      <w:tr>
        <w:trPr>
          <w:cantSplit/>
        </w:trPr>
        <w:tc>
          <w:tcPr>
            <w:tcW w:w="2544" w:type="dxa"/>
            <w:vAlign w:val="center"/>
          </w:tcPr>
          <w:p>
            <w:pPr>
              <w:spacing w:before="20" w:after="20"/>
              <w:jc w:val="left"/>
            </w:pPr>
            <w:r>
              <w:rPr>
                <w:rFonts w:ascii="Times New Roman" w:hAnsi="Times New Roman" w:cs="Times New Roman" w:eastAsia="Times New Roman"/>
                <w:sz w:val="17"/>
                <w:szCs w:val="17"/>
              </w:rPr>
              <w:t xml:space="preserve">1 Control activities</w:t>
            </w:r>
          </w:p>
        </w:tc>
        <w:tc>
          <w:tcPr>
            <w:tcW w:w="664" w:type="dxa"/>
            <w:vAlign w:val="center"/>
          </w:tcPr>
          <w:p>
            <w:pPr>
              <w:spacing w:before="20" w:after="20"/>
              <w:jc w:val="center"/>
            </w:pPr>
            <w:r>
              <w:rPr>
                <w:rFonts w:ascii="Times New Roman" w:hAnsi="Times New Roman" w:cs="Times New Roman" w:eastAsia="Times New Roman"/>
                <w:sz w:val="17"/>
                <w:szCs w:val="17"/>
              </w:rPr>
              <w:t xml:space="preserve">3.48</w:t>
            </w:r>
          </w:p>
        </w:tc>
        <w:tc>
          <w:tcPr>
            <w:tcW w:w="664" w:type="dxa"/>
            <w:vAlign w:val="center"/>
          </w:tcPr>
          <w:p>
            <w:pPr>
              <w:spacing w:before="20" w:after="20"/>
              <w:jc w:val="center"/>
            </w:pPr>
            <w:r>
              <w:rPr>
                <w:rFonts w:ascii="Times New Roman" w:hAnsi="Times New Roman" w:cs="Times New Roman" w:eastAsia="Times New Roman"/>
                <w:sz w:val="17"/>
                <w:szCs w:val="17"/>
              </w:rPr>
              <w:t xml:space="preserve">0.81</w:t>
            </w:r>
          </w:p>
        </w:tc>
        <w:tc>
          <w:tcPr>
            <w:tcW w:w="774" w:type="dxa"/>
            <w:vAlign w:val="center"/>
          </w:tcPr>
          <w:p>
            <w:pPr>
              <w:spacing w:before="20" w:after="20"/>
              <w:jc w:val="center"/>
            </w:pPr>
            <w:r>
              <w:rPr>
                <w:rFonts w:ascii="Times New Roman" w:hAnsi="Times New Roman" w:cs="Times New Roman" w:eastAsia="Times New Roman"/>
                <w:sz w:val="17"/>
                <w:szCs w:val="17"/>
              </w:rPr>
              <w:t xml:space="preserve">-0.49</w:t>
            </w:r>
          </w:p>
        </w:tc>
        <w:tc>
          <w:tcPr>
            <w:tcW w:w="774" w:type="dxa"/>
            <w:vAlign w:val="center"/>
          </w:tcPr>
          <w:p>
            <w:pPr>
              <w:spacing w:before="20" w:after="20"/>
              <w:jc w:val="center"/>
            </w:pPr>
            <w:r>
              <w:rPr>
                <w:rFonts w:ascii="Times New Roman" w:hAnsi="Times New Roman" w:cs="Times New Roman" w:eastAsia="Times New Roman"/>
                <w:sz w:val="17"/>
                <w:szCs w:val="17"/>
              </w:rPr>
              <w:t xml:space="preserve">0.17</w:t>
            </w:r>
          </w:p>
        </w:tc>
        <w:tc>
          <w:tcPr>
            <w:tcW w:w="608" w:type="dxa"/>
            <w:vAlign w:val="center"/>
          </w:tcPr>
          <w:p>
            <w:pPr>
              <w:spacing w:before="20" w:after="20"/>
              <w:jc w:val="center"/>
            </w:pPr>
            <w:r>
              <w:rPr>
                <w:rFonts w:ascii="Times New Roman" w:hAnsi="Times New Roman" w:cs="Times New Roman" w:eastAsia="Times New Roman"/>
                <w:sz w:val="17"/>
                <w:szCs w:val="17"/>
              </w:rPr>
              <w:t xml:space="preserve">–</w:t>
            </w:r>
          </w:p>
        </w:tc>
        <w:tc>
          <w:tcPr>
            <w:tcW w:w="608" w:type="dxa"/>
            <w:vAlign w:val="center"/>
          </w:tcPr>
          <w:p>
            <w:pPr>
              <w:spacing w:before="20" w:after="20"/>
              <w:jc w:val="center"/>
            </w:pPr>
          </w:p>
        </w:tc>
        <w:tc>
          <w:tcPr>
            <w:tcW w:w="608" w:type="dxa"/>
            <w:vAlign w:val="center"/>
          </w:tcPr>
          <w:p>
            <w:pPr>
              <w:spacing w:before="20" w:after="20"/>
              <w:jc w:val="center"/>
            </w:pPr>
          </w:p>
        </w:tc>
        <w:tc>
          <w:tcPr>
            <w:tcW w:w="608" w:type="dxa"/>
            <w:vAlign w:val="center"/>
          </w:tcPr>
          <w:p>
            <w:pPr>
              <w:spacing w:before="20" w:after="20"/>
              <w:jc w:val="center"/>
            </w:pPr>
          </w:p>
        </w:tc>
        <w:tc>
          <w:tcPr>
            <w:tcW w:w="608" w:type="dxa"/>
            <w:vAlign w:val="center"/>
          </w:tcPr>
          <w:p>
            <w:pPr>
              <w:spacing w:before="20" w:after="20"/>
              <w:jc w:val="center"/>
            </w:pPr>
          </w:p>
        </w:tc>
        <w:tc>
          <w:tcPr>
            <w:tcW w:w="610" w:type="dxa"/>
            <w:vAlign w:val="center"/>
          </w:tcPr>
          <w:p>
            <w:pPr>
              <w:spacing w:before="20" w:after="20"/>
              <w:jc w:val="center"/>
            </w:pPr>
          </w:p>
        </w:tc>
      </w:tr>
      <w:tr>
        <w:trPr>
          <w:cantSplit/>
        </w:trPr>
        <w:tc>
          <w:tcPr>
            <w:tcW w:w="2544" w:type="dxa"/>
            <w:vAlign w:val="center"/>
          </w:tcPr>
          <w:p>
            <w:pPr>
              <w:spacing w:before="20" w:after="20"/>
              <w:jc w:val="left"/>
            </w:pPr>
            <w:r>
              <w:rPr>
                <w:rFonts w:ascii="Times New Roman" w:hAnsi="Times New Roman" w:cs="Times New Roman" w:eastAsia="Times New Roman"/>
                <w:sz w:val="17"/>
                <w:szCs w:val="17"/>
              </w:rPr>
              <w:t xml:space="preserve">2 Financial management</w:t>
            </w:r>
          </w:p>
        </w:tc>
        <w:tc>
          <w:tcPr>
            <w:tcW w:w="664" w:type="dxa"/>
            <w:vAlign w:val="center"/>
          </w:tcPr>
          <w:p>
            <w:pPr>
              <w:spacing w:before="20" w:after="20"/>
              <w:jc w:val="center"/>
            </w:pPr>
            <w:r>
              <w:rPr>
                <w:rFonts w:ascii="Times New Roman" w:hAnsi="Times New Roman" w:cs="Times New Roman" w:eastAsia="Times New Roman"/>
                <w:sz w:val="17"/>
                <w:szCs w:val="17"/>
              </w:rPr>
              <w:t xml:space="preserve">3.61</w:t>
            </w:r>
          </w:p>
        </w:tc>
        <w:tc>
          <w:tcPr>
            <w:tcW w:w="664" w:type="dxa"/>
            <w:vAlign w:val="center"/>
          </w:tcPr>
          <w:p>
            <w:pPr>
              <w:spacing w:before="20" w:after="20"/>
              <w:jc w:val="center"/>
            </w:pPr>
            <w:r>
              <w:rPr>
                <w:rFonts w:ascii="Times New Roman" w:hAnsi="Times New Roman" w:cs="Times New Roman" w:eastAsia="Times New Roman"/>
                <w:sz w:val="17"/>
                <w:szCs w:val="17"/>
              </w:rPr>
              <w:t xml:space="preserve">0.78</w:t>
            </w:r>
          </w:p>
        </w:tc>
        <w:tc>
          <w:tcPr>
            <w:tcW w:w="774" w:type="dxa"/>
            <w:vAlign w:val="center"/>
          </w:tcPr>
          <w:p>
            <w:pPr>
              <w:spacing w:before="20" w:after="20"/>
              <w:jc w:val="center"/>
            </w:pPr>
            <w:r>
              <w:rPr>
                <w:rFonts w:ascii="Times New Roman" w:hAnsi="Times New Roman" w:cs="Times New Roman" w:eastAsia="Times New Roman"/>
                <w:sz w:val="17"/>
                <w:szCs w:val="17"/>
              </w:rPr>
              <w:t xml:space="preserve">-0.40</w:t>
            </w:r>
          </w:p>
        </w:tc>
        <w:tc>
          <w:tcPr>
            <w:tcW w:w="774" w:type="dxa"/>
            <w:vAlign w:val="center"/>
          </w:tcPr>
          <w:p>
            <w:pPr>
              <w:spacing w:before="20" w:after="20"/>
              <w:jc w:val="center"/>
            </w:pPr>
            <w:r>
              <w:rPr>
                <w:rFonts w:ascii="Times New Roman" w:hAnsi="Times New Roman" w:cs="Times New Roman" w:eastAsia="Times New Roman"/>
                <w:sz w:val="17"/>
                <w:szCs w:val="17"/>
              </w:rPr>
              <w:t xml:space="preserve">-0.01</w:t>
            </w:r>
          </w:p>
        </w:tc>
        <w:tc>
          <w:tcPr>
            <w:tcW w:w="608" w:type="dxa"/>
            <w:vAlign w:val="center"/>
          </w:tcPr>
          <w:p>
            <w:pPr>
              <w:spacing w:before="20" w:after="20"/>
              <w:jc w:val="center"/>
            </w:pPr>
            <w:r>
              <w:rPr>
                <w:rFonts w:ascii="Times New Roman" w:hAnsi="Times New Roman" w:cs="Times New Roman" w:eastAsia="Times New Roman"/>
                <w:sz w:val="17"/>
                <w:szCs w:val="17"/>
              </w:rPr>
              <w:t xml:space="preserve">0.44</w:t>
            </w:r>
          </w:p>
        </w:tc>
        <w:tc>
          <w:tcPr>
            <w:tcW w:w="608" w:type="dxa"/>
            <w:vAlign w:val="center"/>
          </w:tcPr>
          <w:p>
            <w:pPr>
              <w:spacing w:before="20" w:after="20"/>
              <w:jc w:val="center"/>
            </w:pPr>
            <w:r>
              <w:rPr>
                <w:rFonts w:ascii="Times New Roman" w:hAnsi="Times New Roman" w:cs="Times New Roman" w:eastAsia="Times New Roman"/>
                <w:sz w:val="17"/>
                <w:szCs w:val="17"/>
              </w:rPr>
              <w:t xml:space="preserve">–</w:t>
            </w:r>
          </w:p>
        </w:tc>
        <w:tc>
          <w:tcPr>
            <w:tcW w:w="608" w:type="dxa"/>
            <w:vAlign w:val="center"/>
          </w:tcPr>
          <w:p>
            <w:pPr>
              <w:spacing w:before="20" w:after="20"/>
              <w:jc w:val="center"/>
            </w:pPr>
          </w:p>
        </w:tc>
        <w:tc>
          <w:tcPr>
            <w:tcW w:w="608" w:type="dxa"/>
            <w:vAlign w:val="center"/>
          </w:tcPr>
          <w:p>
            <w:pPr>
              <w:spacing w:before="20" w:after="20"/>
              <w:jc w:val="center"/>
            </w:pPr>
          </w:p>
        </w:tc>
        <w:tc>
          <w:tcPr>
            <w:tcW w:w="608" w:type="dxa"/>
            <w:vAlign w:val="center"/>
          </w:tcPr>
          <w:p>
            <w:pPr>
              <w:spacing w:before="20" w:after="20"/>
              <w:jc w:val="center"/>
            </w:pPr>
          </w:p>
        </w:tc>
        <w:tc>
          <w:tcPr>
            <w:tcW w:w="610" w:type="dxa"/>
            <w:vAlign w:val="center"/>
          </w:tcPr>
          <w:p>
            <w:pPr>
              <w:spacing w:before="20" w:after="20"/>
              <w:jc w:val="center"/>
            </w:pPr>
          </w:p>
        </w:tc>
      </w:tr>
      <w:tr>
        <w:trPr>
          <w:cantSplit/>
        </w:trPr>
        <w:tc>
          <w:tcPr>
            <w:tcW w:w="2544" w:type="dxa"/>
            <w:vAlign w:val="center"/>
          </w:tcPr>
          <w:p>
            <w:pPr>
              <w:spacing w:before="20" w:after="20"/>
              <w:jc w:val="left"/>
            </w:pPr>
            <w:r>
              <w:rPr>
                <w:rFonts w:ascii="Times New Roman" w:hAnsi="Times New Roman" w:cs="Times New Roman" w:eastAsia="Times New Roman"/>
                <w:sz w:val="17"/>
                <w:szCs w:val="17"/>
              </w:rPr>
              <w:t xml:space="preserve">3 Organizational</w:t>
            </w:r>
          </w:p>
        </w:tc>
        <w:tc>
          <w:tcPr>
            <w:tcW w:w="664" w:type="dxa"/>
            <w:vAlign w:val="center"/>
          </w:tcPr>
          <w:p>
            <w:pPr>
              <w:spacing w:before="20" w:after="20"/>
              <w:jc w:val="center"/>
            </w:pPr>
            <w:r>
              <w:rPr>
                <w:rFonts w:ascii="Times New Roman" w:hAnsi="Times New Roman" w:cs="Times New Roman" w:eastAsia="Times New Roman"/>
                <w:sz w:val="17"/>
                <w:szCs w:val="17"/>
              </w:rPr>
              <w:t xml:space="preserve">3.67</w:t>
            </w:r>
          </w:p>
        </w:tc>
        <w:tc>
          <w:tcPr>
            <w:tcW w:w="664" w:type="dxa"/>
            <w:vAlign w:val="center"/>
          </w:tcPr>
          <w:p>
            <w:pPr>
              <w:spacing w:before="20" w:after="20"/>
              <w:jc w:val="center"/>
            </w:pPr>
            <w:r>
              <w:rPr>
                <w:rFonts w:ascii="Times New Roman" w:hAnsi="Times New Roman" w:cs="Times New Roman" w:eastAsia="Times New Roman"/>
                <w:sz w:val="17"/>
                <w:szCs w:val="17"/>
              </w:rPr>
              <w:t xml:space="preserve">0.90</w:t>
            </w:r>
          </w:p>
        </w:tc>
        <w:tc>
          <w:tcPr>
            <w:tcW w:w="774" w:type="dxa"/>
            <w:vAlign w:val="center"/>
          </w:tcPr>
          <w:p>
            <w:pPr>
              <w:spacing w:before="20" w:after="20"/>
              <w:jc w:val="center"/>
            </w:pPr>
            <w:r>
              <w:rPr>
                <w:rFonts w:ascii="Times New Roman" w:hAnsi="Times New Roman" w:cs="Times New Roman" w:eastAsia="Times New Roman"/>
                <w:sz w:val="17"/>
                <w:szCs w:val="17"/>
              </w:rPr>
              <w:t xml:space="preserve">-0.52</w:t>
            </w:r>
          </w:p>
        </w:tc>
        <w:tc>
          <w:tcPr>
            <w:tcW w:w="774" w:type="dxa"/>
            <w:vAlign w:val="center"/>
          </w:tcPr>
          <w:p>
            <w:pPr>
              <w:spacing w:before="20" w:after="20"/>
              <w:jc w:val="center"/>
            </w:pPr>
            <w:r>
              <w:rPr>
                <w:rFonts w:ascii="Times New Roman" w:hAnsi="Times New Roman" w:cs="Times New Roman" w:eastAsia="Times New Roman"/>
                <w:sz w:val="17"/>
                <w:szCs w:val="17"/>
              </w:rPr>
              <w:t xml:space="preserve">-0.28</w:t>
            </w:r>
          </w:p>
        </w:tc>
        <w:tc>
          <w:tcPr>
            <w:tcW w:w="608" w:type="dxa"/>
            <w:vAlign w:val="center"/>
          </w:tcPr>
          <w:p>
            <w:pPr>
              <w:spacing w:before="20" w:after="20"/>
              <w:jc w:val="center"/>
            </w:pPr>
            <w:r>
              <w:rPr>
                <w:rFonts w:ascii="Times New Roman" w:hAnsi="Times New Roman" w:cs="Times New Roman" w:eastAsia="Times New Roman"/>
                <w:sz w:val="17"/>
                <w:szCs w:val="17"/>
              </w:rPr>
              <w:t xml:space="preserve">0.51</w:t>
            </w:r>
          </w:p>
        </w:tc>
        <w:tc>
          <w:tcPr>
            <w:tcW w:w="608" w:type="dxa"/>
            <w:vAlign w:val="center"/>
          </w:tcPr>
          <w:p>
            <w:pPr>
              <w:spacing w:before="20" w:after="20"/>
              <w:jc w:val="center"/>
            </w:pPr>
            <w:r>
              <w:rPr>
                <w:rFonts w:ascii="Times New Roman" w:hAnsi="Times New Roman" w:cs="Times New Roman" w:eastAsia="Times New Roman"/>
                <w:sz w:val="17"/>
                <w:szCs w:val="17"/>
              </w:rPr>
              <w:t xml:space="preserve">0.49</w:t>
            </w:r>
          </w:p>
        </w:tc>
        <w:tc>
          <w:tcPr>
            <w:tcW w:w="608" w:type="dxa"/>
            <w:vAlign w:val="center"/>
          </w:tcPr>
          <w:p>
            <w:pPr>
              <w:spacing w:before="20" w:after="20"/>
              <w:jc w:val="center"/>
            </w:pPr>
            <w:r>
              <w:rPr>
                <w:rFonts w:ascii="Times New Roman" w:hAnsi="Times New Roman" w:cs="Times New Roman" w:eastAsia="Times New Roman"/>
                <w:sz w:val="17"/>
                <w:szCs w:val="17"/>
              </w:rPr>
              <w:t xml:space="preserve">–</w:t>
            </w:r>
          </w:p>
        </w:tc>
        <w:tc>
          <w:tcPr>
            <w:tcW w:w="608" w:type="dxa"/>
            <w:vAlign w:val="center"/>
          </w:tcPr>
          <w:p>
            <w:pPr>
              <w:spacing w:before="20" w:after="20"/>
              <w:jc w:val="center"/>
            </w:pPr>
          </w:p>
        </w:tc>
        <w:tc>
          <w:tcPr>
            <w:tcW w:w="608" w:type="dxa"/>
            <w:vAlign w:val="center"/>
          </w:tcPr>
          <w:p>
            <w:pPr>
              <w:spacing w:before="20" w:after="20"/>
              <w:jc w:val="center"/>
            </w:pPr>
          </w:p>
        </w:tc>
        <w:tc>
          <w:tcPr>
            <w:tcW w:w="610" w:type="dxa"/>
            <w:vAlign w:val="center"/>
          </w:tcPr>
          <w:p>
            <w:pPr>
              <w:spacing w:before="20" w:after="20"/>
              <w:jc w:val="center"/>
            </w:pPr>
          </w:p>
        </w:tc>
      </w:tr>
      <w:tr>
        <w:trPr>
          <w:cantSplit/>
        </w:trPr>
        <w:tc>
          <w:tcPr>
            <w:tcW w:w="2544" w:type="dxa"/>
            <w:vAlign w:val="center"/>
          </w:tcPr>
          <w:p>
            <w:pPr>
              <w:spacing w:before="20" w:after="20"/>
              <w:jc w:val="left"/>
            </w:pPr>
            <w:r>
              <w:rPr>
                <w:rFonts w:ascii="Times New Roman" w:hAnsi="Times New Roman" w:cs="Times New Roman" w:eastAsia="Times New Roman"/>
                <w:sz w:val="17"/>
                <w:szCs w:val="17"/>
              </w:rPr>
              <w:t xml:space="preserve">4 Legal</w:t>
            </w:r>
          </w:p>
        </w:tc>
        <w:tc>
          <w:tcPr>
            <w:tcW w:w="664" w:type="dxa"/>
            <w:vAlign w:val="center"/>
          </w:tcPr>
          <w:p>
            <w:pPr>
              <w:spacing w:before="20" w:after="20"/>
              <w:jc w:val="center"/>
            </w:pPr>
            <w:r>
              <w:rPr>
                <w:rFonts w:ascii="Times New Roman" w:hAnsi="Times New Roman" w:cs="Times New Roman" w:eastAsia="Times New Roman"/>
                <w:sz w:val="17"/>
                <w:szCs w:val="17"/>
              </w:rPr>
              <w:t xml:space="preserve">3.48</w:t>
            </w:r>
          </w:p>
        </w:tc>
        <w:tc>
          <w:tcPr>
            <w:tcW w:w="664" w:type="dxa"/>
            <w:vAlign w:val="center"/>
          </w:tcPr>
          <w:p>
            <w:pPr>
              <w:spacing w:before="20" w:after="20"/>
              <w:jc w:val="center"/>
            </w:pPr>
            <w:r>
              <w:rPr>
                <w:rFonts w:ascii="Times New Roman" w:hAnsi="Times New Roman" w:cs="Times New Roman" w:eastAsia="Times New Roman"/>
                <w:sz w:val="17"/>
                <w:szCs w:val="17"/>
              </w:rPr>
              <w:t xml:space="preserve">0.86</w:t>
            </w:r>
          </w:p>
        </w:tc>
        <w:tc>
          <w:tcPr>
            <w:tcW w:w="774" w:type="dxa"/>
            <w:vAlign w:val="center"/>
          </w:tcPr>
          <w:p>
            <w:pPr>
              <w:spacing w:before="20" w:after="20"/>
              <w:jc w:val="center"/>
            </w:pPr>
            <w:r>
              <w:rPr>
                <w:rFonts w:ascii="Times New Roman" w:hAnsi="Times New Roman" w:cs="Times New Roman" w:eastAsia="Times New Roman"/>
                <w:sz w:val="17"/>
                <w:szCs w:val="17"/>
              </w:rPr>
              <w:t xml:space="preserve">-0.20</w:t>
            </w:r>
          </w:p>
        </w:tc>
        <w:tc>
          <w:tcPr>
            <w:tcW w:w="774" w:type="dxa"/>
            <w:vAlign w:val="center"/>
          </w:tcPr>
          <w:p>
            <w:pPr>
              <w:spacing w:before="20" w:after="20"/>
              <w:jc w:val="center"/>
            </w:pPr>
            <w:r>
              <w:rPr>
                <w:rFonts w:ascii="Times New Roman" w:hAnsi="Times New Roman" w:cs="Times New Roman" w:eastAsia="Times New Roman"/>
                <w:sz w:val="17"/>
                <w:szCs w:val="17"/>
              </w:rPr>
              <w:t xml:space="preserve">-0.81</w:t>
            </w:r>
          </w:p>
        </w:tc>
        <w:tc>
          <w:tcPr>
            <w:tcW w:w="608" w:type="dxa"/>
            <w:vAlign w:val="center"/>
          </w:tcPr>
          <w:p>
            <w:pPr>
              <w:spacing w:before="20" w:after="20"/>
              <w:jc w:val="center"/>
            </w:pPr>
            <w:r>
              <w:rPr>
                <w:rFonts w:ascii="Times New Roman" w:hAnsi="Times New Roman" w:cs="Times New Roman" w:eastAsia="Times New Roman"/>
                <w:sz w:val="17"/>
                <w:szCs w:val="17"/>
              </w:rPr>
              <w:t xml:space="preserve">0.47</w:t>
            </w:r>
          </w:p>
        </w:tc>
        <w:tc>
          <w:tcPr>
            <w:tcW w:w="608" w:type="dxa"/>
            <w:vAlign w:val="center"/>
          </w:tcPr>
          <w:p>
            <w:pPr>
              <w:spacing w:before="20" w:after="20"/>
              <w:jc w:val="center"/>
            </w:pPr>
            <w:r>
              <w:rPr>
                <w:rFonts w:ascii="Times New Roman" w:hAnsi="Times New Roman" w:cs="Times New Roman" w:eastAsia="Times New Roman"/>
                <w:sz w:val="17"/>
                <w:szCs w:val="17"/>
              </w:rPr>
              <w:t xml:space="preserve">0.32</w:t>
            </w:r>
          </w:p>
        </w:tc>
        <w:tc>
          <w:tcPr>
            <w:tcW w:w="608" w:type="dxa"/>
            <w:vAlign w:val="center"/>
          </w:tcPr>
          <w:p>
            <w:pPr>
              <w:spacing w:before="20" w:after="20"/>
              <w:jc w:val="center"/>
            </w:pPr>
            <w:r>
              <w:rPr>
                <w:rFonts w:ascii="Times New Roman" w:hAnsi="Times New Roman" w:cs="Times New Roman" w:eastAsia="Times New Roman"/>
                <w:sz w:val="17"/>
                <w:szCs w:val="17"/>
              </w:rPr>
              <w:t xml:space="preserve">0.37</w:t>
            </w:r>
          </w:p>
        </w:tc>
        <w:tc>
          <w:tcPr>
            <w:tcW w:w="608" w:type="dxa"/>
            <w:vAlign w:val="center"/>
          </w:tcPr>
          <w:p>
            <w:pPr>
              <w:spacing w:before="20" w:after="20"/>
              <w:jc w:val="center"/>
            </w:pPr>
            <w:r>
              <w:rPr>
                <w:rFonts w:ascii="Times New Roman" w:hAnsi="Times New Roman" w:cs="Times New Roman" w:eastAsia="Times New Roman"/>
                <w:sz w:val="17"/>
                <w:szCs w:val="17"/>
              </w:rPr>
              <w:t xml:space="preserve">–</w:t>
            </w:r>
          </w:p>
        </w:tc>
        <w:tc>
          <w:tcPr>
            <w:tcW w:w="608" w:type="dxa"/>
            <w:vAlign w:val="center"/>
          </w:tcPr>
          <w:p>
            <w:pPr>
              <w:spacing w:before="20" w:after="20"/>
              <w:jc w:val="center"/>
            </w:pPr>
          </w:p>
        </w:tc>
        <w:tc>
          <w:tcPr>
            <w:tcW w:w="610" w:type="dxa"/>
            <w:vAlign w:val="center"/>
          </w:tcPr>
          <w:p>
            <w:pPr>
              <w:spacing w:before="20" w:after="20"/>
              <w:jc w:val="center"/>
            </w:pPr>
          </w:p>
        </w:tc>
      </w:tr>
      <w:tr>
        <w:trPr>
          <w:cantSplit/>
        </w:trPr>
        <w:tc>
          <w:tcPr>
            <w:tcW w:w="2544" w:type="dxa"/>
            <w:vAlign w:val="center"/>
          </w:tcPr>
          <w:p>
            <w:pPr>
              <w:spacing w:before="20" w:after="20"/>
              <w:jc w:val="left"/>
            </w:pPr>
            <w:r>
              <w:rPr>
                <w:rFonts w:ascii="Times New Roman" w:hAnsi="Times New Roman" w:cs="Times New Roman" w:eastAsia="Times New Roman"/>
                <w:sz w:val="17"/>
                <w:szCs w:val="17"/>
              </w:rPr>
              <w:t xml:space="preserve">5 Professional</w:t>
            </w:r>
          </w:p>
        </w:tc>
        <w:tc>
          <w:tcPr>
            <w:tcW w:w="664" w:type="dxa"/>
            <w:vAlign w:val="center"/>
          </w:tcPr>
          <w:p>
            <w:pPr>
              <w:spacing w:before="20" w:after="20"/>
              <w:jc w:val="center"/>
            </w:pPr>
            <w:r>
              <w:rPr>
                <w:rFonts w:ascii="Times New Roman" w:hAnsi="Times New Roman" w:cs="Times New Roman" w:eastAsia="Times New Roman"/>
                <w:sz w:val="17"/>
                <w:szCs w:val="17"/>
              </w:rPr>
              <w:t xml:space="preserve">3.62</w:t>
            </w:r>
          </w:p>
        </w:tc>
        <w:tc>
          <w:tcPr>
            <w:tcW w:w="664" w:type="dxa"/>
            <w:vAlign w:val="center"/>
          </w:tcPr>
          <w:p>
            <w:pPr>
              <w:spacing w:before="20" w:after="20"/>
              <w:jc w:val="center"/>
            </w:pPr>
            <w:r>
              <w:rPr>
                <w:rFonts w:ascii="Times New Roman" w:hAnsi="Times New Roman" w:cs="Times New Roman" w:eastAsia="Times New Roman"/>
                <w:sz w:val="17"/>
                <w:szCs w:val="17"/>
              </w:rPr>
              <w:t xml:space="preserve">0.84</w:t>
            </w:r>
          </w:p>
        </w:tc>
        <w:tc>
          <w:tcPr>
            <w:tcW w:w="774" w:type="dxa"/>
            <w:vAlign w:val="center"/>
          </w:tcPr>
          <w:p>
            <w:pPr>
              <w:spacing w:before="20" w:after="20"/>
              <w:jc w:val="center"/>
            </w:pPr>
            <w:r>
              <w:rPr>
                <w:rFonts w:ascii="Times New Roman" w:hAnsi="Times New Roman" w:cs="Times New Roman" w:eastAsia="Times New Roman"/>
                <w:sz w:val="17"/>
                <w:szCs w:val="17"/>
              </w:rPr>
              <w:t xml:space="preserve">-0.38</w:t>
            </w:r>
          </w:p>
        </w:tc>
        <w:tc>
          <w:tcPr>
            <w:tcW w:w="774" w:type="dxa"/>
            <w:vAlign w:val="center"/>
          </w:tcPr>
          <w:p>
            <w:pPr>
              <w:spacing w:before="20" w:after="20"/>
              <w:jc w:val="center"/>
            </w:pPr>
            <w:r>
              <w:rPr>
                <w:rFonts w:ascii="Times New Roman" w:hAnsi="Times New Roman" w:cs="Times New Roman" w:eastAsia="Times New Roman"/>
                <w:sz w:val="17"/>
                <w:szCs w:val="17"/>
              </w:rPr>
              <w:t xml:space="preserve">-0.32</w:t>
            </w:r>
          </w:p>
        </w:tc>
        <w:tc>
          <w:tcPr>
            <w:tcW w:w="608" w:type="dxa"/>
            <w:vAlign w:val="center"/>
          </w:tcPr>
          <w:p>
            <w:pPr>
              <w:spacing w:before="20" w:after="20"/>
              <w:jc w:val="center"/>
            </w:pPr>
            <w:r>
              <w:rPr>
                <w:rFonts w:ascii="Times New Roman" w:hAnsi="Times New Roman" w:cs="Times New Roman" w:eastAsia="Times New Roman"/>
                <w:sz w:val="17"/>
                <w:szCs w:val="17"/>
              </w:rPr>
              <w:t xml:space="preserve">0.53</w:t>
            </w:r>
          </w:p>
        </w:tc>
        <w:tc>
          <w:tcPr>
            <w:tcW w:w="608" w:type="dxa"/>
            <w:vAlign w:val="center"/>
          </w:tcPr>
          <w:p>
            <w:pPr>
              <w:spacing w:before="20" w:after="20"/>
              <w:jc w:val="center"/>
            </w:pPr>
            <w:r>
              <w:rPr>
                <w:rFonts w:ascii="Times New Roman" w:hAnsi="Times New Roman" w:cs="Times New Roman" w:eastAsia="Times New Roman"/>
                <w:sz w:val="17"/>
                <w:szCs w:val="17"/>
              </w:rPr>
              <w:t xml:space="preserve">0.40</w:t>
            </w:r>
          </w:p>
        </w:tc>
        <w:tc>
          <w:tcPr>
            <w:tcW w:w="608" w:type="dxa"/>
            <w:vAlign w:val="center"/>
          </w:tcPr>
          <w:p>
            <w:pPr>
              <w:spacing w:before="20" w:after="20"/>
              <w:jc w:val="center"/>
            </w:pPr>
            <w:r>
              <w:rPr>
                <w:rFonts w:ascii="Times New Roman" w:hAnsi="Times New Roman" w:cs="Times New Roman" w:eastAsia="Times New Roman"/>
                <w:sz w:val="17"/>
                <w:szCs w:val="17"/>
              </w:rPr>
              <w:t xml:space="preserve">0.29</w:t>
            </w:r>
          </w:p>
        </w:tc>
        <w:tc>
          <w:tcPr>
            <w:tcW w:w="608" w:type="dxa"/>
            <w:vAlign w:val="center"/>
          </w:tcPr>
          <w:p>
            <w:pPr>
              <w:spacing w:before="20" w:after="20"/>
              <w:jc w:val="center"/>
            </w:pPr>
            <w:r>
              <w:rPr>
                <w:rFonts w:ascii="Times New Roman" w:hAnsi="Times New Roman" w:cs="Times New Roman" w:eastAsia="Times New Roman"/>
                <w:sz w:val="17"/>
                <w:szCs w:val="17"/>
              </w:rPr>
              <w:t xml:space="preserve">0.29</w:t>
            </w:r>
          </w:p>
        </w:tc>
        <w:tc>
          <w:tcPr>
            <w:tcW w:w="608" w:type="dxa"/>
            <w:vAlign w:val="center"/>
          </w:tcPr>
          <w:p>
            <w:pPr>
              <w:spacing w:before="20" w:after="20"/>
              <w:jc w:val="center"/>
            </w:pPr>
            <w:r>
              <w:rPr>
                <w:rFonts w:ascii="Times New Roman" w:hAnsi="Times New Roman" w:cs="Times New Roman" w:eastAsia="Times New Roman"/>
                <w:sz w:val="17"/>
                <w:szCs w:val="17"/>
              </w:rPr>
              <w:t xml:space="preserve">–</w:t>
            </w:r>
          </w:p>
        </w:tc>
        <w:tc>
          <w:tcPr>
            <w:tcW w:w="610" w:type="dxa"/>
            <w:vAlign w:val="center"/>
          </w:tcPr>
          <w:p>
            <w:pPr>
              <w:spacing w:before="20" w:after="20"/>
              <w:jc w:val="center"/>
            </w:pPr>
          </w:p>
        </w:tc>
      </w:tr>
      <w:tr>
        <w:trPr>
          <w:cantSplit/>
        </w:trPr>
        <w:tc>
          <w:tcPr>
            <w:tcW w:w="2544" w:type="dxa"/>
            <w:vAlign w:val="center"/>
          </w:tcPr>
          <w:p>
            <w:pPr>
              <w:spacing w:before="20" w:after="20"/>
              <w:jc w:val="left"/>
            </w:pPr>
            <w:r>
              <w:rPr>
                <w:rFonts w:ascii="Times New Roman" w:hAnsi="Times New Roman" w:cs="Times New Roman" w:eastAsia="Times New Roman"/>
                <w:sz w:val="17"/>
                <w:szCs w:val="17"/>
              </w:rPr>
              <w:t xml:space="preserve">6 Political</w:t>
            </w:r>
          </w:p>
        </w:tc>
        <w:tc>
          <w:tcPr>
            <w:tcW w:w="664" w:type="dxa"/>
            <w:vAlign w:val="center"/>
          </w:tcPr>
          <w:p>
            <w:pPr>
              <w:spacing w:before="20" w:after="20"/>
              <w:jc w:val="center"/>
            </w:pPr>
            <w:r>
              <w:rPr>
                <w:rFonts w:ascii="Times New Roman" w:hAnsi="Times New Roman" w:cs="Times New Roman" w:eastAsia="Times New Roman"/>
                <w:sz w:val="17"/>
                <w:szCs w:val="17"/>
              </w:rPr>
              <w:t xml:space="preserve">3.40</w:t>
            </w:r>
          </w:p>
        </w:tc>
        <w:tc>
          <w:tcPr>
            <w:tcW w:w="664" w:type="dxa"/>
            <w:vAlign w:val="center"/>
          </w:tcPr>
          <w:p>
            <w:pPr>
              <w:spacing w:before="20" w:after="20"/>
              <w:jc w:val="center"/>
            </w:pPr>
            <w:r>
              <w:rPr>
                <w:rFonts w:ascii="Times New Roman" w:hAnsi="Times New Roman" w:cs="Times New Roman" w:eastAsia="Times New Roman"/>
                <w:sz w:val="17"/>
                <w:szCs w:val="17"/>
              </w:rPr>
              <w:t xml:space="preserve">0.90</w:t>
            </w:r>
          </w:p>
        </w:tc>
        <w:tc>
          <w:tcPr>
            <w:tcW w:w="774" w:type="dxa"/>
            <w:vAlign w:val="center"/>
          </w:tcPr>
          <w:p>
            <w:pPr>
              <w:spacing w:before="20" w:after="20"/>
              <w:jc w:val="center"/>
            </w:pPr>
            <w:r>
              <w:rPr>
                <w:rFonts w:ascii="Times New Roman" w:hAnsi="Times New Roman" w:cs="Times New Roman" w:eastAsia="Times New Roman"/>
                <w:sz w:val="17"/>
                <w:szCs w:val="17"/>
              </w:rPr>
              <w:t xml:space="preserve">-0.11</w:t>
            </w:r>
          </w:p>
        </w:tc>
        <w:tc>
          <w:tcPr>
            <w:tcW w:w="774" w:type="dxa"/>
            <w:vAlign w:val="center"/>
          </w:tcPr>
          <w:p>
            <w:pPr>
              <w:spacing w:before="20" w:after="20"/>
              <w:jc w:val="center"/>
            </w:pPr>
            <w:r>
              <w:rPr>
                <w:rFonts w:ascii="Times New Roman" w:hAnsi="Times New Roman" w:cs="Times New Roman" w:eastAsia="Times New Roman"/>
                <w:sz w:val="17"/>
                <w:szCs w:val="17"/>
              </w:rPr>
              <w:t xml:space="preserve">-0.67</w:t>
            </w:r>
          </w:p>
        </w:tc>
        <w:tc>
          <w:tcPr>
            <w:tcW w:w="608" w:type="dxa"/>
            <w:vAlign w:val="center"/>
          </w:tcPr>
          <w:p>
            <w:pPr>
              <w:spacing w:before="20" w:after="20"/>
              <w:jc w:val="center"/>
            </w:pPr>
            <w:r>
              <w:rPr>
                <w:rFonts w:ascii="Times New Roman" w:hAnsi="Times New Roman" w:cs="Times New Roman" w:eastAsia="Times New Roman"/>
                <w:sz w:val="17"/>
                <w:szCs w:val="17"/>
              </w:rPr>
              <w:t xml:space="preserve">0.47</w:t>
            </w:r>
          </w:p>
        </w:tc>
        <w:tc>
          <w:tcPr>
            <w:tcW w:w="608" w:type="dxa"/>
            <w:vAlign w:val="center"/>
          </w:tcPr>
          <w:p>
            <w:pPr>
              <w:spacing w:before="20" w:after="20"/>
              <w:jc w:val="center"/>
            </w:pPr>
            <w:r>
              <w:rPr>
                <w:rFonts w:ascii="Times New Roman" w:hAnsi="Times New Roman" w:cs="Times New Roman" w:eastAsia="Times New Roman"/>
                <w:sz w:val="17"/>
                <w:szCs w:val="17"/>
              </w:rPr>
              <w:t xml:space="preserve">0.50</w:t>
            </w:r>
          </w:p>
        </w:tc>
        <w:tc>
          <w:tcPr>
            <w:tcW w:w="608" w:type="dxa"/>
            <w:vAlign w:val="center"/>
          </w:tcPr>
          <w:p>
            <w:pPr>
              <w:spacing w:before="20" w:after="20"/>
              <w:jc w:val="center"/>
            </w:pPr>
            <w:r>
              <w:rPr>
                <w:rFonts w:ascii="Times New Roman" w:hAnsi="Times New Roman" w:cs="Times New Roman" w:eastAsia="Times New Roman"/>
                <w:sz w:val="17"/>
                <w:szCs w:val="17"/>
              </w:rPr>
              <w:t xml:space="preserve">0.36</w:t>
            </w:r>
          </w:p>
        </w:tc>
        <w:tc>
          <w:tcPr>
            <w:tcW w:w="608" w:type="dxa"/>
            <w:vAlign w:val="center"/>
          </w:tcPr>
          <w:p>
            <w:pPr>
              <w:spacing w:before="20" w:after="20"/>
              <w:jc w:val="center"/>
            </w:pPr>
            <w:r>
              <w:rPr>
                <w:rFonts w:ascii="Times New Roman" w:hAnsi="Times New Roman" w:cs="Times New Roman" w:eastAsia="Times New Roman"/>
                <w:sz w:val="17"/>
                <w:szCs w:val="17"/>
              </w:rPr>
              <w:t xml:space="preserve">0.36</w:t>
            </w:r>
          </w:p>
        </w:tc>
        <w:tc>
          <w:tcPr>
            <w:tcW w:w="608" w:type="dxa"/>
            <w:vAlign w:val="center"/>
          </w:tcPr>
          <w:p>
            <w:pPr>
              <w:spacing w:before="20" w:after="20"/>
              <w:jc w:val="center"/>
            </w:pPr>
            <w:r>
              <w:rPr>
                <w:rFonts w:ascii="Times New Roman" w:hAnsi="Times New Roman" w:cs="Times New Roman" w:eastAsia="Times New Roman"/>
                <w:sz w:val="17"/>
                <w:szCs w:val="17"/>
              </w:rPr>
              <w:t xml:space="preserve">0.38</w:t>
            </w:r>
          </w:p>
        </w:tc>
        <w:tc>
          <w:tcPr>
            <w:tcW w:w="610" w:type="dxa"/>
            <w:vAlign w:val="center"/>
          </w:tcPr>
          <w:p>
            <w:pPr>
              <w:spacing w:before="20" w:after="20"/>
              <w:jc w:val="center"/>
            </w:pPr>
            <w:r>
              <w:rPr>
                <w:rFonts w:ascii="Times New Roman" w:hAnsi="Times New Roman" w:cs="Times New Roman" w:eastAsia="Times New Roman"/>
                <w:sz w:val="17"/>
                <w:szCs w:val="17"/>
              </w:rPr>
              <w:t xml:space="preserve">–</w:t>
            </w:r>
          </w:p>
        </w:tc>
      </w:tr>
    </w:tbl>
    <w:p>
      <w:pPr>
        <w:spacing w:before="0" w:after="160" w:line="240" w:lineRule="auto"/>
        <w:jc w:val="both"/>
      </w:pPr>
      <w:r>
        <w:rPr>
          <w:rFonts w:ascii="Times New Roman" w:hAnsi="Times New Roman" w:cs="Times New Roman" w:eastAsia="Times New Roman"/>
          <w:sz w:val="18"/>
          <w:szCs w:val="18"/>
        </w:rPr>
        <w:t xml:space="preserve">Note. M = mean; SD = standard deviation; Skew. = skewness; Kurt. = kurtosis. Construct scores are item means (five-point scales). All correlations are significant at p &lt; 0.001.</w:t>
      </w:r>
    </w:p>
    <w:p>
      <w:pPr>
        <w:keepNext/>
        <w:spacing w:before="160" w:after="120" w:line="360" w:lineRule="auto"/>
        <w:jc w:val="left"/>
      </w:pPr>
      <w:r>
        <w:rPr>
          <w:rFonts w:ascii="Times New Roman" w:hAnsi="Times New Roman" w:cs="Times New Roman" w:eastAsia="Times New Roman"/>
          <w:b/>
          <w:bCs/>
          <w:i/>
          <w:iCs/>
          <w:sz w:val="24"/>
          <w:szCs w:val="24"/>
        </w:rPr>
        <w:t xml:space="preserve">4.2  Measurement Model</w:t>
      </w:r>
    </w:p>
    <w:p>
      <w:pPr>
        <w:spacing w:before="0" w:after="120" w:line="360" w:lineRule="auto"/>
        <w:jc w:val="both"/>
      </w:pPr>
      <w:r>
        <w:rPr>
          <w:rFonts w:ascii="Times New Roman" w:hAnsi="Times New Roman" w:cs="Times New Roman" w:eastAsia="Times New Roman"/>
          <w:sz w:val="24"/>
          <w:szCs w:val="24"/>
        </w:rPr>
        <w:t xml:space="preserve">The six-factor CFA fitted well, χ²(614) = 725.72, χ²/df = 1.18, CFI = 0.975, TLI = 0.973, RMSEA = 0.031 and SRMR = 0.048. All 37 standardized loadings were significant and ranged from 0.677 to 0.874, and no item was removed. Cronbach’s alpha (0.80–0.94) and CR (0.80–0.94) exceeded 0.70 for all constructs (Table 2). AVE exceeded 0.50 for five constructs. Financial management had an AVE of 0.498, marginally below the cut-off, with CR = 0.80, which Fornell and Larcker (1981) regard as adequate; results for this construct should nevertheless be read with some caution. Discriminant validity was supported: the square root of AVE exceeded all latent correlations (maximum 0.597), AVE exceeded the maximum shared variance, and HTMT values ranged from 0.31 to 0.60, with bootstrap upper limits below 0.71.</w:t>
      </w:r>
    </w:p>
    <w:p>
      <w:pPr>
        <w:keepNext/>
        <w:spacing w:before="160" w:after="60" w:line="240" w:lineRule="auto"/>
        <w:jc w:val="left"/>
      </w:pPr>
      <w:r>
        <w:rPr>
          <w:rFonts w:ascii="Times New Roman" w:hAnsi="Times New Roman" w:cs="Times New Roman" w:eastAsia="Times New Roman"/>
          <w:b/>
          <w:bCs/>
          <w:sz w:val="20"/>
          <w:szCs w:val="20"/>
        </w:rPr>
        <w:t xml:space="preserve">Table 2</w:t>
      </w:r>
      <w:r>
        <w:rPr>
          <w:rFonts w:ascii="Times New Roman" w:hAnsi="Times New Roman" w:cs="Times New Roman" w:eastAsia="Times New Roman"/>
          <w:sz w:val="20"/>
          <w:szCs w:val="20"/>
        </w:rPr>
        <w:t xml:space="preserve">  Reliability, convergent and discriminant validity</w:t>
      </w:r>
    </w:p>
    <w:tbl>
      <w:tblPr>
        <w:tblW w:w="9070" w:type="dxa"/>
        <w:tblBorders>
          <w:top w:val="single" w:sz="8" w:space="0" w:color="000000"/>
          <w:bottom w:val="single" w:sz="8" w:space="0" w:color="000000"/>
        </w:tblBorders>
        <w:tblLayout w:type="fixed"/>
        <w:tblCellMar>
          <w:left w:w="50" w:type="dxa"/>
          <w:right w:w="50" w:type="dxa"/>
        </w:tblCellMar>
      </w:tblPr>
      <w:tblGrid>
        <w:gridCol w:w="2674"/>
        <w:gridCol w:w="698"/>
        <w:gridCol w:w="1279"/>
        <w:gridCol w:w="814"/>
        <w:gridCol w:w="814"/>
        <w:gridCol w:w="814"/>
        <w:gridCol w:w="814"/>
        <w:gridCol w:w="1163"/>
      </w:tblGrid>
      <w:tr>
        <w:trPr>
          <w:cantSplit/>
          <w:tblHeader/>
        </w:trPr>
        <w:tc>
          <w:tcPr>
            <w:tcW w:w="2674" w:type="dxa"/>
            <w:tcBorders>
              <w:bottom w:val="single" w:sz="4" w:space="0" w:color="000000"/>
            </w:tcBorders>
            <w:vAlign w:val="center"/>
          </w:tcPr>
          <w:p>
            <w:pPr>
              <w:spacing w:before="20" w:after="20"/>
              <w:jc w:val="left"/>
            </w:pPr>
            <w:r>
              <w:rPr>
                <w:rFonts w:ascii="Times New Roman" w:hAnsi="Times New Roman" w:cs="Times New Roman" w:eastAsia="Times New Roman"/>
                <w:b/>
                <w:bCs/>
                <w:sz w:val="17"/>
                <w:szCs w:val="17"/>
              </w:rPr>
              <w:t xml:space="preserve">Construct</w:t>
            </w:r>
          </w:p>
        </w:tc>
        <w:tc>
          <w:tcPr>
            <w:tcW w:w="69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Items</w:t>
            </w:r>
          </w:p>
        </w:tc>
        <w:tc>
          <w:tcPr>
            <w:tcW w:w="1279"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Loadings</w:t>
            </w:r>
          </w:p>
        </w:tc>
        <w:tc>
          <w:tcPr>
            <w:tcW w:w="81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α</w:t>
            </w:r>
          </w:p>
        </w:tc>
        <w:tc>
          <w:tcPr>
            <w:tcW w:w="81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CR</w:t>
            </w:r>
          </w:p>
        </w:tc>
        <w:tc>
          <w:tcPr>
            <w:tcW w:w="81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AVE</w:t>
            </w:r>
          </w:p>
        </w:tc>
        <w:tc>
          <w:tcPr>
            <w:tcW w:w="81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MSV</w:t>
            </w:r>
          </w:p>
        </w:tc>
        <w:tc>
          <w:tcPr>
            <w:tcW w:w="116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Max. HTMT</w:t>
            </w:r>
          </w:p>
        </w:tc>
      </w:tr>
      <w:tr>
        <w:trPr>
          <w:cantSplit/>
        </w:trPr>
        <w:tc>
          <w:tcPr>
            <w:tcW w:w="2674" w:type="dxa"/>
            <w:vAlign w:val="center"/>
          </w:tcPr>
          <w:p>
            <w:pPr>
              <w:spacing w:before="20" w:after="20"/>
              <w:jc w:val="left"/>
            </w:pPr>
            <w:r>
              <w:rPr>
                <w:rFonts w:ascii="Times New Roman" w:hAnsi="Times New Roman" w:cs="Times New Roman" w:eastAsia="Times New Roman"/>
                <w:sz w:val="17"/>
                <w:szCs w:val="17"/>
              </w:rPr>
              <w:t xml:space="preserve">Control activities</w:t>
            </w:r>
          </w:p>
        </w:tc>
        <w:tc>
          <w:tcPr>
            <w:tcW w:w="698" w:type="dxa"/>
            <w:vAlign w:val="center"/>
          </w:tcPr>
          <w:p>
            <w:pPr>
              <w:spacing w:before="20" w:after="20"/>
              <w:jc w:val="center"/>
            </w:pPr>
            <w:r>
              <w:rPr>
                <w:rFonts w:ascii="Times New Roman" w:hAnsi="Times New Roman" w:cs="Times New Roman" w:eastAsia="Times New Roman"/>
                <w:sz w:val="17"/>
                <w:szCs w:val="17"/>
              </w:rPr>
              <w:t xml:space="preserve">9</w:t>
            </w:r>
          </w:p>
        </w:tc>
        <w:tc>
          <w:tcPr>
            <w:tcW w:w="1279" w:type="dxa"/>
            <w:vAlign w:val="center"/>
          </w:tcPr>
          <w:p>
            <w:pPr>
              <w:spacing w:before="20" w:after="20"/>
              <w:jc w:val="center"/>
            </w:pPr>
            <w:r>
              <w:rPr>
                <w:rFonts w:ascii="Times New Roman" w:hAnsi="Times New Roman" w:cs="Times New Roman" w:eastAsia="Times New Roman"/>
                <w:sz w:val="17"/>
                <w:szCs w:val="17"/>
              </w:rPr>
              <w:t xml:space="preserve">0.72–0.82</w:t>
            </w:r>
          </w:p>
        </w:tc>
        <w:tc>
          <w:tcPr>
            <w:tcW w:w="814" w:type="dxa"/>
            <w:vAlign w:val="center"/>
          </w:tcPr>
          <w:p>
            <w:pPr>
              <w:spacing w:before="20" w:after="20"/>
              <w:jc w:val="center"/>
            </w:pPr>
            <w:r>
              <w:rPr>
                <w:rFonts w:ascii="Times New Roman" w:hAnsi="Times New Roman" w:cs="Times New Roman" w:eastAsia="Times New Roman"/>
                <w:sz w:val="17"/>
                <w:szCs w:val="17"/>
              </w:rPr>
              <w:t xml:space="preserve">0.930</w:t>
            </w:r>
          </w:p>
        </w:tc>
        <w:tc>
          <w:tcPr>
            <w:tcW w:w="814" w:type="dxa"/>
            <w:vAlign w:val="center"/>
          </w:tcPr>
          <w:p>
            <w:pPr>
              <w:spacing w:before="20" w:after="20"/>
              <w:jc w:val="center"/>
            </w:pPr>
            <w:r>
              <w:rPr>
                <w:rFonts w:ascii="Times New Roman" w:hAnsi="Times New Roman" w:cs="Times New Roman" w:eastAsia="Times New Roman"/>
                <w:sz w:val="17"/>
                <w:szCs w:val="17"/>
              </w:rPr>
              <w:t xml:space="preserve">0.931</w:t>
            </w:r>
          </w:p>
        </w:tc>
        <w:tc>
          <w:tcPr>
            <w:tcW w:w="814" w:type="dxa"/>
            <w:vAlign w:val="center"/>
          </w:tcPr>
          <w:p>
            <w:pPr>
              <w:spacing w:before="20" w:after="20"/>
              <w:jc w:val="center"/>
            </w:pPr>
            <w:r>
              <w:rPr>
                <w:rFonts w:ascii="Times New Roman" w:hAnsi="Times New Roman" w:cs="Times New Roman" w:eastAsia="Times New Roman"/>
                <w:sz w:val="17"/>
                <w:szCs w:val="17"/>
              </w:rPr>
              <w:t xml:space="preserve">0.601</w:t>
            </w:r>
          </w:p>
        </w:tc>
        <w:tc>
          <w:tcPr>
            <w:tcW w:w="814" w:type="dxa"/>
            <w:vAlign w:val="center"/>
          </w:tcPr>
          <w:p>
            <w:pPr>
              <w:spacing w:before="20" w:after="20"/>
              <w:jc w:val="center"/>
            </w:pPr>
            <w:r>
              <w:rPr>
                <w:rFonts w:ascii="Times New Roman" w:hAnsi="Times New Roman" w:cs="Times New Roman" w:eastAsia="Times New Roman"/>
                <w:sz w:val="17"/>
                <w:szCs w:val="17"/>
              </w:rPr>
              <w:t xml:space="preserve">0.330</w:t>
            </w:r>
          </w:p>
        </w:tc>
        <w:tc>
          <w:tcPr>
            <w:tcW w:w="1163" w:type="dxa"/>
            <w:vAlign w:val="center"/>
          </w:tcPr>
          <w:p>
            <w:pPr>
              <w:spacing w:before="20" w:after="20"/>
              <w:jc w:val="center"/>
            </w:pPr>
            <w:r>
              <w:rPr>
                <w:rFonts w:ascii="Times New Roman" w:hAnsi="Times New Roman" w:cs="Times New Roman" w:eastAsia="Times New Roman"/>
                <w:sz w:val="17"/>
                <w:szCs w:val="17"/>
              </w:rPr>
              <w:t xml:space="preserve">0.573</w:t>
            </w:r>
          </w:p>
        </w:tc>
      </w:tr>
      <w:tr>
        <w:trPr>
          <w:cantSplit/>
        </w:trPr>
        <w:tc>
          <w:tcPr>
            <w:tcW w:w="2674" w:type="dxa"/>
            <w:vAlign w:val="center"/>
          </w:tcPr>
          <w:p>
            <w:pPr>
              <w:spacing w:before="20" w:after="20"/>
              <w:jc w:val="left"/>
            </w:pPr>
            <w:r>
              <w:rPr>
                <w:rFonts w:ascii="Times New Roman" w:hAnsi="Times New Roman" w:cs="Times New Roman" w:eastAsia="Times New Roman"/>
                <w:sz w:val="17"/>
                <w:szCs w:val="17"/>
              </w:rPr>
              <w:t xml:space="preserve">Financial management</w:t>
            </w:r>
          </w:p>
        </w:tc>
        <w:tc>
          <w:tcPr>
            <w:tcW w:w="698" w:type="dxa"/>
            <w:vAlign w:val="center"/>
          </w:tcPr>
          <w:p>
            <w:pPr>
              <w:spacing w:before="20" w:after="20"/>
              <w:jc w:val="center"/>
            </w:pPr>
            <w:r>
              <w:rPr>
                <w:rFonts w:ascii="Times New Roman" w:hAnsi="Times New Roman" w:cs="Times New Roman" w:eastAsia="Times New Roman"/>
                <w:sz w:val="17"/>
                <w:szCs w:val="17"/>
              </w:rPr>
              <w:t xml:space="preserve">4</w:t>
            </w:r>
          </w:p>
        </w:tc>
        <w:tc>
          <w:tcPr>
            <w:tcW w:w="1279" w:type="dxa"/>
            <w:vAlign w:val="center"/>
          </w:tcPr>
          <w:p>
            <w:pPr>
              <w:spacing w:before="20" w:after="20"/>
              <w:jc w:val="center"/>
            </w:pPr>
            <w:r>
              <w:rPr>
                <w:rFonts w:ascii="Times New Roman" w:hAnsi="Times New Roman" w:cs="Times New Roman" w:eastAsia="Times New Roman"/>
                <w:sz w:val="17"/>
                <w:szCs w:val="17"/>
              </w:rPr>
              <w:t xml:space="preserve">0.68–0.75</w:t>
            </w:r>
          </w:p>
        </w:tc>
        <w:tc>
          <w:tcPr>
            <w:tcW w:w="814" w:type="dxa"/>
            <w:vAlign w:val="center"/>
          </w:tcPr>
          <w:p>
            <w:pPr>
              <w:spacing w:before="20" w:after="20"/>
              <w:jc w:val="center"/>
            </w:pPr>
            <w:r>
              <w:rPr>
                <w:rFonts w:ascii="Times New Roman" w:hAnsi="Times New Roman" w:cs="Times New Roman" w:eastAsia="Times New Roman"/>
                <w:sz w:val="17"/>
                <w:szCs w:val="17"/>
              </w:rPr>
              <w:t xml:space="preserve">0.798</w:t>
            </w:r>
          </w:p>
        </w:tc>
        <w:tc>
          <w:tcPr>
            <w:tcW w:w="814" w:type="dxa"/>
            <w:vAlign w:val="center"/>
          </w:tcPr>
          <w:p>
            <w:pPr>
              <w:spacing w:before="20" w:after="20"/>
              <w:jc w:val="center"/>
            </w:pPr>
            <w:r>
              <w:rPr>
                <w:rFonts w:ascii="Times New Roman" w:hAnsi="Times New Roman" w:cs="Times New Roman" w:eastAsia="Times New Roman"/>
                <w:sz w:val="17"/>
                <w:szCs w:val="17"/>
              </w:rPr>
              <w:t xml:space="preserve">0.799</w:t>
            </w:r>
          </w:p>
        </w:tc>
        <w:tc>
          <w:tcPr>
            <w:tcW w:w="814" w:type="dxa"/>
            <w:vAlign w:val="center"/>
          </w:tcPr>
          <w:p>
            <w:pPr>
              <w:spacing w:before="20" w:after="20"/>
              <w:jc w:val="center"/>
            </w:pPr>
            <w:r>
              <w:rPr>
                <w:rFonts w:ascii="Times New Roman" w:hAnsi="Times New Roman" w:cs="Times New Roman" w:eastAsia="Times New Roman"/>
                <w:sz w:val="17"/>
                <w:szCs w:val="17"/>
              </w:rPr>
              <w:t xml:space="preserve">0.498</w:t>
            </w:r>
          </w:p>
        </w:tc>
        <w:tc>
          <w:tcPr>
            <w:tcW w:w="814" w:type="dxa"/>
            <w:vAlign w:val="center"/>
          </w:tcPr>
          <w:p>
            <w:pPr>
              <w:spacing w:before="20" w:after="20"/>
              <w:jc w:val="center"/>
            </w:pPr>
            <w:r>
              <w:rPr>
                <w:rFonts w:ascii="Times New Roman" w:hAnsi="Times New Roman" w:cs="Times New Roman" w:eastAsia="Times New Roman"/>
                <w:sz w:val="17"/>
                <w:szCs w:val="17"/>
              </w:rPr>
              <w:t xml:space="preserve">0.356</w:t>
            </w:r>
          </w:p>
        </w:tc>
        <w:tc>
          <w:tcPr>
            <w:tcW w:w="1163" w:type="dxa"/>
            <w:vAlign w:val="center"/>
          </w:tcPr>
          <w:p>
            <w:pPr>
              <w:spacing w:before="20" w:after="20"/>
              <w:jc w:val="center"/>
            </w:pPr>
            <w:r>
              <w:rPr>
                <w:rFonts w:ascii="Times New Roman" w:hAnsi="Times New Roman" w:cs="Times New Roman" w:eastAsia="Times New Roman"/>
                <w:sz w:val="17"/>
                <w:szCs w:val="17"/>
              </w:rPr>
              <w:t xml:space="preserve">0.596</w:t>
            </w:r>
          </w:p>
        </w:tc>
      </w:tr>
      <w:tr>
        <w:trPr>
          <w:cantSplit/>
        </w:trPr>
        <w:tc>
          <w:tcPr>
            <w:tcW w:w="2674" w:type="dxa"/>
            <w:vAlign w:val="center"/>
          </w:tcPr>
          <w:p>
            <w:pPr>
              <w:spacing w:before="20" w:after="20"/>
              <w:jc w:val="left"/>
            </w:pPr>
            <w:r>
              <w:rPr>
                <w:rFonts w:ascii="Times New Roman" w:hAnsi="Times New Roman" w:cs="Times New Roman" w:eastAsia="Times New Roman"/>
                <w:sz w:val="17"/>
                <w:szCs w:val="17"/>
              </w:rPr>
              <w:t xml:space="preserve">Organizational</w:t>
            </w:r>
          </w:p>
        </w:tc>
        <w:tc>
          <w:tcPr>
            <w:tcW w:w="698" w:type="dxa"/>
            <w:vAlign w:val="center"/>
          </w:tcPr>
          <w:p>
            <w:pPr>
              <w:spacing w:before="20" w:after="20"/>
              <w:jc w:val="center"/>
            </w:pPr>
            <w:r>
              <w:rPr>
                <w:rFonts w:ascii="Times New Roman" w:hAnsi="Times New Roman" w:cs="Times New Roman" w:eastAsia="Times New Roman"/>
                <w:sz w:val="17"/>
                <w:szCs w:val="17"/>
              </w:rPr>
              <w:t xml:space="preserve">7</w:t>
            </w:r>
          </w:p>
        </w:tc>
        <w:tc>
          <w:tcPr>
            <w:tcW w:w="1279" w:type="dxa"/>
            <w:vAlign w:val="center"/>
          </w:tcPr>
          <w:p>
            <w:pPr>
              <w:spacing w:before="20" w:after="20"/>
              <w:jc w:val="center"/>
            </w:pPr>
            <w:r>
              <w:rPr>
                <w:rFonts w:ascii="Times New Roman" w:hAnsi="Times New Roman" w:cs="Times New Roman" w:eastAsia="Times New Roman"/>
                <w:sz w:val="17"/>
                <w:szCs w:val="17"/>
              </w:rPr>
              <w:t xml:space="preserve">0.81–0.87</w:t>
            </w:r>
          </w:p>
        </w:tc>
        <w:tc>
          <w:tcPr>
            <w:tcW w:w="814" w:type="dxa"/>
            <w:vAlign w:val="center"/>
          </w:tcPr>
          <w:p>
            <w:pPr>
              <w:spacing w:before="20" w:after="20"/>
              <w:jc w:val="center"/>
            </w:pPr>
            <w:r>
              <w:rPr>
                <w:rFonts w:ascii="Times New Roman" w:hAnsi="Times New Roman" w:cs="Times New Roman" w:eastAsia="Times New Roman"/>
                <w:sz w:val="17"/>
                <w:szCs w:val="17"/>
              </w:rPr>
              <w:t xml:space="preserve">0.941</w:t>
            </w:r>
          </w:p>
        </w:tc>
        <w:tc>
          <w:tcPr>
            <w:tcW w:w="814" w:type="dxa"/>
            <w:vAlign w:val="center"/>
          </w:tcPr>
          <w:p>
            <w:pPr>
              <w:spacing w:before="20" w:after="20"/>
              <w:jc w:val="center"/>
            </w:pPr>
            <w:r>
              <w:rPr>
                <w:rFonts w:ascii="Times New Roman" w:hAnsi="Times New Roman" w:cs="Times New Roman" w:eastAsia="Times New Roman"/>
                <w:sz w:val="17"/>
                <w:szCs w:val="17"/>
              </w:rPr>
              <w:t xml:space="preserve">0.941</w:t>
            </w:r>
          </w:p>
        </w:tc>
        <w:tc>
          <w:tcPr>
            <w:tcW w:w="814" w:type="dxa"/>
            <w:vAlign w:val="center"/>
          </w:tcPr>
          <w:p>
            <w:pPr>
              <w:spacing w:before="20" w:after="20"/>
              <w:jc w:val="center"/>
            </w:pPr>
            <w:r>
              <w:rPr>
                <w:rFonts w:ascii="Times New Roman" w:hAnsi="Times New Roman" w:cs="Times New Roman" w:eastAsia="Times New Roman"/>
                <w:sz w:val="17"/>
                <w:szCs w:val="17"/>
              </w:rPr>
              <w:t xml:space="preserve">0.697</w:t>
            </w:r>
          </w:p>
        </w:tc>
        <w:tc>
          <w:tcPr>
            <w:tcW w:w="814" w:type="dxa"/>
            <w:vAlign w:val="center"/>
          </w:tcPr>
          <w:p>
            <w:pPr>
              <w:spacing w:before="20" w:after="20"/>
              <w:jc w:val="center"/>
            </w:pPr>
            <w:r>
              <w:rPr>
                <w:rFonts w:ascii="Times New Roman" w:hAnsi="Times New Roman" w:cs="Times New Roman" w:eastAsia="Times New Roman"/>
                <w:sz w:val="17"/>
                <w:szCs w:val="17"/>
              </w:rPr>
              <w:t xml:space="preserve">0.324</w:t>
            </w:r>
          </w:p>
        </w:tc>
        <w:tc>
          <w:tcPr>
            <w:tcW w:w="1163" w:type="dxa"/>
            <w:vAlign w:val="center"/>
          </w:tcPr>
          <w:p>
            <w:pPr>
              <w:spacing w:before="20" w:after="20"/>
              <w:jc w:val="center"/>
            </w:pPr>
            <w:r>
              <w:rPr>
                <w:rFonts w:ascii="Times New Roman" w:hAnsi="Times New Roman" w:cs="Times New Roman" w:eastAsia="Times New Roman"/>
                <w:sz w:val="17"/>
                <w:szCs w:val="17"/>
              </w:rPr>
              <w:t xml:space="preserve">0.569</w:t>
            </w:r>
          </w:p>
        </w:tc>
      </w:tr>
      <w:tr>
        <w:trPr>
          <w:cantSplit/>
        </w:trPr>
        <w:tc>
          <w:tcPr>
            <w:tcW w:w="2674" w:type="dxa"/>
            <w:vAlign w:val="center"/>
          </w:tcPr>
          <w:p>
            <w:pPr>
              <w:spacing w:before="20" w:after="20"/>
              <w:jc w:val="left"/>
            </w:pPr>
            <w:r>
              <w:rPr>
                <w:rFonts w:ascii="Times New Roman" w:hAnsi="Times New Roman" w:cs="Times New Roman" w:eastAsia="Times New Roman"/>
                <w:sz w:val="17"/>
                <w:szCs w:val="17"/>
              </w:rPr>
              <w:t xml:space="preserve">Legal</w:t>
            </w:r>
          </w:p>
        </w:tc>
        <w:tc>
          <w:tcPr>
            <w:tcW w:w="698" w:type="dxa"/>
            <w:vAlign w:val="center"/>
          </w:tcPr>
          <w:p>
            <w:pPr>
              <w:spacing w:before="20" w:after="20"/>
              <w:jc w:val="center"/>
            </w:pPr>
            <w:r>
              <w:rPr>
                <w:rFonts w:ascii="Times New Roman" w:hAnsi="Times New Roman" w:cs="Times New Roman" w:eastAsia="Times New Roman"/>
                <w:sz w:val="17"/>
                <w:szCs w:val="17"/>
              </w:rPr>
              <w:t xml:space="preserve">6</w:t>
            </w:r>
          </w:p>
        </w:tc>
        <w:tc>
          <w:tcPr>
            <w:tcW w:w="1279" w:type="dxa"/>
            <w:vAlign w:val="center"/>
          </w:tcPr>
          <w:p>
            <w:pPr>
              <w:spacing w:before="20" w:after="20"/>
              <w:jc w:val="center"/>
            </w:pPr>
            <w:r>
              <w:rPr>
                <w:rFonts w:ascii="Times New Roman" w:hAnsi="Times New Roman" w:cs="Times New Roman" w:eastAsia="Times New Roman"/>
                <w:sz w:val="17"/>
                <w:szCs w:val="17"/>
              </w:rPr>
              <w:t xml:space="preserve">0.68–0.87</w:t>
            </w:r>
          </w:p>
        </w:tc>
        <w:tc>
          <w:tcPr>
            <w:tcW w:w="814" w:type="dxa"/>
            <w:vAlign w:val="center"/>
          </w:tcPr>
          <w:p>
            <w:pPr>
              <w:spacing w:before="20" w:after="20"/>
              <w:jc w:val="center"/>
            </w:pPr>
            <w:r>
              <w:rPr>
                <w:rFonts w:ascii="Times New Roman" w:hAnsi="Times New Roman" w:cs="Times New Roman" w:eastAsia="Times New Roman"/>
                <w:sz w:val="17"/>
                <w:szCs w:val="17"/>
              </w:rPr>
              <w:t xml:space="preserve">0.900</w:t>
            </w:r>
          </w:p>
        </w:tc>
        <w:tc>
          <w:tcPr>
            <w:tcW w:w="814" w:type="dxa"/>
            <w:vAlign w:val="center"/>
          </w:tcPr>
          <w:p>
            <w:pPr>
              <w:spacing w:before="20" w:after="20"/>
              <w:jc w:val="center"/>
            </w:pPr>
            <w:r>
              <w:rPr>
                <w:rFonts w:ascii="Times New Roman" w:hAnsi="Times New Roman" w:cs="Times New Roman" w:eastAsia="Times New Roman"/>
                <w:sz w:val="17"/>
                <w:szCs w:val="17"/>
              </w:rPr>
              <w:t xml:space="preserve">0.902</w:t>
            </w:r>
          </w:p>
        </w:tc>
        <w:tc>
          <w:tcPr>
            <w:tcW w:w="814" w:type="dxa"/>
            <w:vAlign w:val="center"/>
          </w:tcPr>
          <w:p>
            <w:pPr>
              <w:spacing w:before="20" w:after="20"/>
              <w:jc w:val="center"/>
            </w:pPr>
            <w:r>
              <w:rPr>
                <w:rFonts w:ascii="Times New Roman" w:hAnsi="Times New Roman" w:cs="Times New Roman" w:eastAsia="Times New Roman"/>
                <w:sz w:val="17"/>
                <w:szCs w:val="17"/>
              </w:rPr>
              <w:t xml:space="preserve">0.608</w:t>
            </w:r>
          </w:p>
        </w:tc>
        <w:tc>
          <w:tcPr>
            <w:tcW w:w="814" w:type="dxa"/>
            <w:vAlign w:val="center"/>
          </w:tcPr>
          <w:p>
            <w:pPr>
              <w:spacing w:before="20" w:after="20"/>
              <w:jc w:val="center"/>
            </w:pPr>
            <w:r>
              <w:rPr>
                <w:rFonts w:ascii="Times New Roman" w:hAnsi="Times New Roman" w:cs="Times New Roman" w:eastAsia="Times New Roman"/>
                <w:sz w:val="17"/>
                <w:szCs w:val="17"/>
              </w:rPr>
              <w:t xml:space="preserve">0.238</w:t>
            </w:r>
          </w:p>
        </w:tc>
        <w:tc>
          <w:tcPr>
            <w:tcW w:w="1163" w:type="dxa"/>
            <w:vAlign w:val="center"/>
          </w:tcPr>
          <w:p>
            <w:pPr>
              <w:spacing w:before="20" w:after="20"/>
              <w:jc w:val="center"/>
            </w:pPr>
            <w:r>
              <w:rPr>
                <w:rFonts w:ascii="Times New Roman" w:hAnsi="Times New Roman" w:cs="Times New Roman" w:eastAsia="Times New Roman"/>
                <w:sz w:val="17"/>
                <w:szCs w:val="17"/>
              </w:rPr>
              <w:t xml:space="preserve">0.506</w:t>
            </w:r>
          </w:p>
        </w:tc>
      </w:tr>
      <w:tr>
        <w:trPr>
          <w:cantSplit/>
        </w:trPr>
        <w:tc>
          <w:tcPr>
            <w:tcW w:w="2674" w:type="dxa"/>
            <w:vAlign w:val="center"/>
          </w:tcPr>
          <w:p>
            <w:pPr>
              <w:spacing w:before="20" w:after="20"/>
              <w:jc w:val="left"/>
            </w:pPr>
            <w:r>
              <w:rPr>
                <w:rFonts w:ascii="Times New Roman" w:hAnsi="Times New Roman" w:cs="Times New Roman" w:eastAsia="Times New Roman"/>
                <w:sz w:val="17"/>
                <w:szCs w:val="17"/>
              </w:rPr>
              <w:t xml:space="preserve">Professional</w:t>
            </w:r>
          </w:p>
        </w:tc>
        <w:tc>
          <w:tcPr>
            <w:tcW w:w="698" w:type="dxa"/>
            <w:vAlign w:val="center"/>
          </w:tcPr>
          <w:p>
            <w:pPr>
              <w:spacing w:before="20" w:after="20"/>
              <w:jc w:val="center"/>
            </w:pPr>
            <w:r>
              <w:rPr>
                <w:rFonts w:ascii="Times New Roman" w:hAnsi="Times New Roman" w:cs="Times New Roman" w:eastAsia="Times New Roman"/>
                <w:sz w:val="17"/>
                <w:szCs w:val="17"/>
              </w:rPr>
              <w:t xml:space="preserve">7</w:t>
            </w:r>
          </w:p>
        </w:tc>
        <w:tc>
          <w:tcPr>
            <w:tcW w:w="1279" w:type="dxa"/>
            <w:vAlign w:val="center"/>
          </w:tcPr>
          <w:p>
            <w:pPr>
              <w:spacing w:before="20" w:after="20"/>
              <w:jc w:val="center"/>
            </w:pPr>
            <w:r>
              <w:rPr>
                <w:rFonts w:ascii="Times New Roman" w:hAnsi="Times New Roman" w:cs="Times New Roman" w:eastAsia="Times New Roman"/>
                <w:sz w:val="17"/>
                <w:szCs w:val="17"/>
              </w:rPr>
              <w:t xml:space="preserve">0.72–0.87</w:t>
            </w:r>
          </w:p>
        </w:tc>
        <w:tc>
          <w:tcPr>
            <w:tcW w:w="814" w:type="dxa"/>
            <w:vAlign w:val="center"/>
          </w:tcPr>
          <w:p>
            <w:pPr>
              <w:spacing w:before="20" w:after="20"/>
              <w:jc w:val="center"/>
            </w:pPr>
            <w:r>
              <w:rPr>
                <w:rFonts w:ascii="Times New Roman" w:hAnsi="Times New Roman" w:cs="Times New Roman" w:eastAsia="Times New Roman"/>
                <w:sz w:val="17"/>
                <w:szCs w:val="17"/>
              </w:rPr>
              <w:t xml:space="preserve">0.921</w:t>
            </w:r>
          </w:p>
        </w:tc>
        <w:tc>
          <w:tcPr>
            <w:tcW w:w="814" w:type="dxa"/>
            <w:vAlign w:val="center"/>
          </w:tcPr>
          <w:p>
            <w:pPr>
              <w:spacing w:before="20" w:after="20"/>
              <w:jc w:val="center"/>
            </w:pPr>
            <w:r>
              <w:rPr>
                <w:rFonts w:ascii="Times New Roman" w:hAnsi="Times New Roman" w:cs="Times New Roman" w:eastAsia="Times New Roman"/>
                <w:sz w:val="17"/>
                <w:szCs w:val="17"/>
              </w:rPr>
              <w:t xml:space="preserve">0.922</w:t>
            </w:r>
          </w:p>
        </w:tc>
        <w:tc>
          <w:tcPr>
            <w:tcW w:w="814" w:type="dxa"/>
            <w:vAlign w:val="center"/>
          </w:tcPr>
          <w:p>
            <w:pPr>
              <w:spacing w:before="20" w:after="20"/>
              <w:jc w:val="center"/>
            </w:pPr>
            <w:r>
              <w:rPr>
                <w:rFonts w:ascii="Times New Roman" w:hAnsi="Times New Roman" w:cs="Times New Roman" w:eastAsia="Times New Roman"/>
                <w:sz w:val="17"/>
                <w:szCs w:val="17"/>
              </w:rPr>
              <w:t xml:space="preserve">0.628</w:t>
            </w:r>
          </w:p>
        </w:tc>
        <w:tc>
          <w:tcPr>
            <w:tcW w:w="814" w:type="dxa"/>
            <w:vAlign w:val="center"/>
          </w:tcPr>
          <w:p>
            <w:pPr>
              <w:spacing w:before="20" w:after="20"/>
              <w:jc w:val="center"/>
            </w:pPr>
            <w:r>
              <w:rPr>
                <w:rFonts w:ascii="Times New Roman" w:hAnsi="Times New Roman" w:cs="Times New Roman" w:eastAsia="Times New Roman"/>
                <w:sz w:val="17"/>
                <w:szCs w:val="17"/>
              </w:rPr>
              <w:t xml:space="preserve">0.330</w:t>
            </w:r>
          </w:p>
        </w:tc>
        <w:tc>
          <w:tcPr>
            <w:tcW w:w="1163" w:type="dxa"/>
            <w:vAlign w:val="center"/>
          </w:tcPr>
          <w:p>
            <w:pPr>
              <w:spacing w:before="20" w:after="20"/>
              <w:jc w:val="center"/>
            </w:pPr>
            <w:r>
              <w:rPr>
                <w:rFonts w:ascii="Times New Roman" w:hAnsi="Times New Roman" w:cs="Times New Roman" w:eastAsia="Times New Roman"/>
                <w:sz w:val="17"/>
                <w:szCs w:val="17"/>
              </w:rPr>
              <w:t xml:space="preserve">0.573</w:t>
            </w:r>
          </w:p>
        </w:tc>
      </w:tr>
      <w:tr>
        <w:trPr>
          <w:cantSplit/>
        </w:trPr>
        <w:tc>
          <w:tcPr>
            <w:tcW w:w="2674" w:type="dxa"/>
            <w:vAlign w:val="center"/>
          </w:tcPr>
          <w:p>
            <w:pPr>
              <w:spacing w:before="20" w:after="20"/>
              <w:jc w:val="left"/>
            </w:pPr>
            <w:r>
              <w:rPr>
                <w:rFonts w:ascii="Times New Roman" w:hAnsi="Times New Roman" w:cs="Times New Roman" w:eastAsia="Times New Roman"/>
                <w:sz w:val="17"/>
                <w:szCs w:val="17"/>
              </w:rPr>
              <w:t xml:space="preserve">Political</w:t>
            </w:r>
          </w:p>
        </w:tc>
        <w:tc>
          <w:tcPr>
            <w:tcW w:w="698" w:type="dxa"/>
            <w:vAlign w:val="center"/>
          </w:tcPr>
          <w:p>
            <w:pPr>
              <w:spacing w:before="20" w:after="20"/>
              <w:jc w:val="center"/>
            </w:pPr>
            <w:r>
              <w:rPr>
                <w:rFonts w:ascii="Times New Roman" w:hAnsi="Times New Roman" w:cs="Times New Roman" w:eastAsia="Times New Roman"/>
                <w:sz w:val="17"/>
                <w:szCs w:val="17"/>
              </w:rPr>
              <w:t xml:space="preserve">4</w:t>
            </w:r>
          </w:p>
        </w:tc>
        <w:tc>
          <w:tcPr>
            <w:tcW w:w="1279" w:type="dxa"/>
            <w:vAlign w:val="center"/>
          </w:tcPr>
          <w:p>
            <w:pPr>
              <w:spacing w:before="20" w:after="20"/>
              <w:jc w:val="center"/>
            </w:pPr>
            <w:r>
              <w:rPr>
                <w:rFonts w:ascii="Times New Roman" w:hAnsi="Times New Roman" w:cs="Times New Roman" w:eastAsia="Times New Roman"/>
                <w:sz w:val="17"/>
                <w:szCs w:val="17"/>
              </w:rPr>
              <w:t xml:space="preserve">0.79–0.83</w:t>
            </w:r>
          </w:p>
        </w:tc>
        <w:tc>
          <w:tcPr>
            <w:tcW w:w="814" w:type="dxa"/>
            <w:vAlign w:val="center"/>
          </w:tcPr>
          <w:p>
            <w:pPr>
              <w:spacing w:before="20" w:after="20"/>
              <w:jc w:val="center"/>
            </w:pPr>
            <w:r>
              <w:rPr>
                <w:rFonts w:ascii="Times New Roman" w:hAnsi="Times New Roman" w:cs="Times New Roman" w:eastAsia="Times New Roman"/>
                <w:sz w:val="17"/>
                <w:szCs w:val="17"/>
              </w:rPr>
              <w:t xml:space="preserve">0.880</w:t>
            </w:r>
          </w:p>
        </w:tc>
        <w:tc>
          <w:tcPr>
            <w:tcW w:w="814" w:type="dxa"/>
            <w:vAlign w:val="center"/>
          </w:tcPr>
          <w:p>
            <w:pPr>
              <w:spacing w:before="20" w:after="20"/>
              <w:jc w:val="center"/>
            </w:pPr>
            <w:r>
              <w:rPr>
                <w:rFonts w:ascii="Times New Roman" w:hAnsi="Times New Roman" w:cs="Times New Roman" w:eastAsia="Times New Roman"/>
                <w:sz w:val="17"/>
                <w:szCs w:val="17"/>
              </w:rPr>
              <w:t xml:space="preserve">0.880</w:t>
            </w:r>
          </w:p>
        </w:tc>
        <w:tc>
          <w:tcPr>
            <w:tcW w:w="814" w:type="dxa"/>
            <w:vAlign w:val="center"/>
          </w:tcPr>
          <w:p>
            <w:pPr>
              <w:spacing w:before="20" w:after="20"/>
              <w:jc w:val="center"/>
            </w:pPr>
            <w:r>
              <w:rPr>
                <w:rFonts w:ascii="Times New Roman" w:hAnsi="Times New Roman" w:cs="Times New Roman" w:eastAsia="Times New Roman"/>
                <w:sz w:val="17"/>
                <w:szCs w:val="17"/>
              </w:rPr>
              <w:t xml:space="preserve">0.647</w:t>
            </w:r>
          </w:p>
        </w:tc>
        <w:tc>
          <w:tcPr>
            <w:tcW w:w="814" w:type="dxa"/>
            <w:vAlign w:val="center"/>
          </w:tcPr>
          <w:p>
            <w:pPr>
              <w:spacing w:before="20" w:after="20"/>
              <w:jc w:val="center"/>
            </w:pPr>
            <w:r>
              <w:rPr>
                <w:rFonts w:ascii="Times New Roman" w:hAnsi="Times New Roman" w:cs="Times New Roman" w:eastAsia="Times New Roman"/>
                <w:sz w:val="17"/>
                <w:szCs w:val="17"/>
              </w:rPr>
              <w:t xml:space="preserve">0.356</w:t>
            </w:r>
          </w:p>
        </w:tc>
        <w:tc>
          <w:tcPr>
            <w:tcW w:w="1163" w:type="dxa"/>
            <w:vAlign w:val="center"/>
          </w:tcPr>
          <w:p>
            <w:pPr>
              <w:spacing w:before="20" w:after="20"/>
              <w:jc w:val="center"/>
            </w:pPr>
            <w:r>
              <w:rPr>
                <w:rFonts w:ascii="Times New Roman" w:hAnsi="Times New Roman" w:cs="Times New Roman" w:eastAsia="Times New Roman"/>
                <w:sz w:val="17"/>
                <w:szCs w:val="17"/>
              </w:rPr>
              <w:t xml:space="preserve">0.596</w:t>
            </w:r>
          </w:p>
        </w:tc>
      </w:tr>
    </w:tbl>
    <w:p>
      <w:pPr>
        <w:spacing w:before="0" w:after="160" w:line="240" w:lineRule="auto"/>
        <w:jc w:val="both"/>
      </w:pPr>
      <w:r>
        <w:rPr>
          <w:rFonts w:ascii="Times New Roman" w:hAnsi="Times New Roman" w:cs="Times New Roman" w:eastAsia="Times New Roman"/>
          <w:sz w:val="18"/>
          <w:szCs w:val="18"/>
        </w:rPr>
        <w:t xml:space="preserve">Note. α = Cronbach’s alpha; CR = composite reliability; AVE = average variance extracted; MSV = maximum shared variance; HTMT = heterotrait–monotrait ratio (highest value with any other construct). The square root of AVE exceeds all latent correlations for every construct (Online Resource 1, Table S4).</w:t>
      </w:r>
    </w:p>
    <w:p>
      <w:pPr>
        <w:spacing w:before="0" w:after="120" w:line="360" w:lineRule="auto"/>
        <w:jc w:val="both"/>
      </w:pPr>
      <w:r>
        <w:rPr>
          <w:rFonts w:ascii="Times New Roman" w:hAnsi="Times New Roman" w:cs="Times New Roman" w:eastAsia="Times New Roman"/>
          <w:sz w:val="24"/>
          <w:szCs w:val="24"/>
        </w:rPr>
        <w:t xml:space="preserve">Common method bias was examined further. The first unrotated factor explained 36.0% of the variance, and a one-factor CFA fitted very poorly (CFI = 0.522). A latent method factor with freely estimated loadings produced a degenerate solution, in which the variances of some constructs collapsed to zero, so its share of 28.4% was not interpretable. A method factor with equal loadings was stable. It accounted for 12.5% of the variance and did not improve the fit significantly (Δχ²(1) = 2.03, p = 0.154; Maydeu-Olivares &amp; Coffman, 2006). Common method variance therefore does not appear to be a dominant source of covariation, although it cannot be excluded in single-source data.</w:t>
      </w:r>
    </w:p>
    <w:p>
      <w:pPr>
        <w:keepNext/>
        <w:spacing w:before="160" w:after="120" w:line="360" w:lineRule="auto"/>
        <w:jc w:val="left"/>
      </w:pPr>
      <w:r>
        <w:rPr>
          <w:rFonts w:ascii="Times New Roman" w:hAnsi="Times New Roman" w:cs="Times New Roman" w:eastAsia="Times New Roman"/>
          <w:b/>
          <w:bCs/>
          <w:i/>
          <w:iCs/>
          <w:sz w:val="24"/>
          <w:szCs w:val="24"/>
        </w:rPr>
        <w:t xml:space="preserve">4.3  Structural Model</w:t>
      </w:r>
    </w:p>
    <w:p>
      <w:pPr>
        <w:spacing w:before="0" w:after="120" w:line="360" w:lineRule="auto"/>
        <w:jc w:val="both"/>
      </w:pPr>
      <w:r>
        <w:rPr>
          <w:rFonts w:ascii="Times New Roman" w:hAnsi="Times New Roman" w:cs="Times New Roman" w:eastAsia="Times New Roman"/>
          <w:sz w:val="24"/>
          <w:szCs w:val="24"/>
        </w:rPr>
        <w:t xml:space="preserve">The structural model fitted the data well (Table 3). Fit did not deteriorate significantly relative to the saturated model (Δχ² = 7.46, Δdf = 6, p = 0.280), and both predictors were needed: removing the paths of financial management or those of control activities worsened fit significantly (Δχ² = 56.7 and 58.0, Δdf = 4, p &lt; 0.001). The NFI (0.859) and GFI (0.839) were below 0.90, which is common in models with many indicators and a modest sample (Kline, 2016). The two predictors were moderately correlated (r = 0.50, variance inflation factor = 1.24).</w:t>
      </w:r>
    </w:p>
    <w:p>
      <w:pPr>
        <w:keepNext/>
        <w:spacing w:before="160" w:after="60" w:line="240" w:lineRule="auto"/>
        <w:jc w:val="left"/>
      </w:pPr>
      <w:r>
        <w:rPr>
          <w:rFonts w:ascii="Times New Roman" w:hAnsi="Times New Roman" w:cs="Times New Roman" w:eastAsia="Times New Roman"/>
          <w:b/>
          <w:bCs/>
          <w:sz w:val="20"/>
          <w:szCs w:val="20"/>
        </w:rPr>
        <w:t xml:space="preserve">Table 3</w:t>
      </w:r>
      <w:r>
        <w:rPr>
          <w:rFonts w:ascii="Times New Roman" w:hAnsi="Times New Roman" w:cs="Times New Roman" w:eastAsia="Times New Roman"/>
          <w:sz w:val="20"/>
          <w:szCs w:val="20"/>
        </w:rPr>
        <w:t xml:space="preserve">  Model fit and comparison of competing models</w:t>
      </w:r>
    </w:p>
    <w:tbl>
      <w:tblPr>
        <w:tblW w:w="9070" w:type="dxa"/>
        <w:tblBorders>
          <w:top w:val="single" w:sz="8" w:space="0" w:color="000000"/>
          <w:bottom w:val="single" w:sz="8" w:space="0" w:color="000000"/>
        </w:tblBorders>
        <w:tblLayout w:type="fixed"/>
        <w:tblCellMar>
          <w:left w:w="50" w:type="dxa"/>
          <w:right w:w="50" w:type="dxa"/>
        </w:tblCellMar>
      </w:tblPr>
      <w:tblGrid>
        <w:gridCol w:w="1985"/>
        <w:gridCol w:w="679"/>
        <w:gridCol w:w="439"/>
        <w:gridCol w:w="543"/>
        <w:gridCol w:w="543"/>
        <w:gridCol w:w="1515"/>
        <w:gridCol w:w="679"/>
        <w:gridCol w:w="627"/>
        <w:gridCol w:w="752"/>
        <w:gridCol w:w="1308"/>
      </w:tblGrid>
      <w:tr>
        <w:trPr>
          <w:cantSplit/>
          <w:tblHeader/>
        </w:trPr>
        <w:tc>
          <w:tcPr>
            <w:tcW w:w="1985" w:type="dxa"/>
            <w:tcBorders>
              <w:bottom w:val="single" w:sz="4" w:space="0" w:color="000000"/>
            </w:tcBorders>
            <w:vAlign w:val="center"/>
          </w:tcPr>
          <w:p>
            <w:pPr>
              <w:spacing w:before="20" w:after="20"/>
              <w:jc w:val="left"/>
            </w:pPr>
            <w:r>
              <w:rPr>
                <w:rFonts w:ascii="Times New Roman" w:hAnsi="Times New Roman" w:cs="Times New Roman" w:eastAsia="Times New Roman"/>
                <w:b/>
                <w:bCs/>
                <w:sz w:val="17"/>
                <w:szCs w:val="17"/>
              </w:rPr>
              <w:t xml:space="preserve">Model</w:t>
            </w:r>
          </w:p>
        </w:tc>
        <w:tc>
          <w:tcPr>
            <w:tcW w:w="679"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χ²</w:t>
            </w:r>
          </w:p>
        </w:tc>
        <w:tc>
          <w:tcPr>
            <w:tcW w:w="439"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df</w:t>
            </w:r>
          </w:p>
        </w:tc>
        <w:tc>
          <w:tcPr>
            <w:tcW w:w="54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CFI</w:t>
            </w:r>
          </w:p>
        </w:tc>
        <w:tc>
          <w:tcPr>
            <w:tcW w:w="54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TLI</w:t>
            </w:r>
          </w:p>
        </w:tc>
        <w:tc>
          <w:tcPr>
            <w:tcW w:w="151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RMSEA [90% CI]</w:t>
            </w:r>
          </w:p>
        </w:tc>
        <w:tc>
          <w:tcPr>
            <w:tcW w:w="679"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SRMR</w:t>
            </w:r>
          </w:p>
        </w:tc>
        <w:tc>
          <w:tcPr>
            <w:tcW w:w="62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AIC</w:t>
            </w:r>
          </w:p>
        </w:tc>
        <w:tc>
          <w:tcPr>
            <w:tcW w:w="752"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BIC</w:t>
            </w:r>
          </w:p>
        </w:tc>
        <w:tc>
          <w:tcPr>
            <w:tcW w:w="130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Δχ² (df)</w:t>
            </w:r>
          </w:p>
        </w:tc>
      </w:tr>
      <w:tr>
        <w:trPr>
          <w:cantSplit/>
        </w:trPr>
        <w:tc>
          <w:tcPr>
            <w:tcW w:w="1985" w:type="dxa"/>
            <w:vAlign w:val="center"/>
          </w:tcPr>
          <w:p>
            <w:pPr>
              <w:spacing w:before="20" w:after="20"/>
              <w:jc w:val="left"/>
            </w:pPr>
            <w:r>
              <w:rPr>
                <w:rFonts w:ascii="Times New Roman" w:hAnsi="Times New Roman" w:cs="Times New Roman" w:eastAsia="Times New Roman"/>
                <w:sz w:val="17"/>
                <w:szCs w:val="17"/>
              </w:rPr>
              <w:t xml:space="preserve">Thresholds</w:t>
            </w:r>
          </w:p>
        </w:tc>
        <w:tc>
          <w:tcPr>
            <w:tcW w:w="679" w:type="dxa"/>
            <w:vAlign w:val="center"/>
          </w:tcPr>
          <w:p>
            <w:pPr>
              <w:spacing w:before="20" w:after="20"/>
              <w:jc w:val="center"/>
            </w:pPr>
            <w:r>
              <w:rPr>
                <w:rFonts w:ascii="Times New Roman" w:hAnsi="Times New Roman" w:cs="Times New Roman" w:eastAsia="Times New Roman"/>
                <w:sz w:val="17"/>
                <w:szCs w:val="17"/>
              </w:rPr>
              <w:t xml:space="preserve">–</w:t>
            </w:r>
          </w:p>
        </w:tc>
        <w:tc>
          <w:tcPr>
            <w:tcW w:w="439" w:type="dxa"/>
            <w:vAlign w:val="center"/>
          </w:tcPr>
          <w:p>
            <w:pPr>
              <w:spacing w:before="20" w:after="20"/>
              <w:jc w:val="center"/>
            </w:pPr>
            <w:r>
              <w:rPr>
                <w:rFonts w:ascii="Times New Roman" w:hAnsi="Times New Roman" w:cs="Times New Roman" w:eastAsia="Times New Roman"/>
                <w:sz w:val="17"/>
                <w:szCs w:val="17"/>
              </w:rPr>
              <w:t xml:space="preserve">–</w:t>
            </w:r>
          </w:p>
        </w:tc>
        <w:tc>
          <w:tcPr>
            <w:tcW w:w="543" w:type="dxa"/>
            <w:vAlign w:val="center"/>
          </w:tcPr>
          <w:p>
            <w:pPr>
              <w:spacing w:before="20" w:after="20"/>
              <w:jc w:val="center"/>
            </w:pPr>
            <w:r>
              <w:rPr>
                <w:rFonts w:ascii="Times New Roman" w:hAnsi="Times New Roman" w:cs="Times New Roman" w:eastAsia="Times New Roman"/>
                <w:sz w:val="17"/>
                <w:szCs w:val="17"/>
              </w:rPr>
              <w:t xml:space="preserve">≥ 0.95</w:t>
            </w:r>
          </w:p>
        </w:tc>
        <w:tc>
          <w:tcPr>
            <w:tcW w:w="543" w:type="dxa"/>
            <w:vAlign w:val="center"/>
          </w:tcPr>
          <w:p>
            <w:pPr>
              <w:spacing w:before="20" w:after="20"/>
              <w:jc w:val="center"/>
            </w:pPr>
            <w:r>
              <w:rPr>
                <w:rFonts w:ascii="Times New Roman" w:hAnsi="Times New Roman" w:cs="Times New Roman" w:eastAsia="Times New Roman"/>
                <w:sz w:val="17"/>
                <w:szCs w:val="17"/>
              </w:rPr>
              <w:t xml:space="preserve">≥ 0.95</w:t>
            </w:r>
          </w:p>
        </w:tc>
        <w:tc>
          <w:tcPr>
            <w:tcW w:w="1515" w:type="dxa"/>
            <w:vAlign w:val="center"/>
          </w:tcPr>
          <w:p>
            <w:pPr>
              <w:spacing w:before="20" w:after="20"/>
              <w:jc w:val="center"/>
            </w:pPr>
            <w:r>
              <w:rPr>
                <w:rFonts w:ascii="Times New Roman" w:hAnsi="Times New Roman" w:cs="Times New Roman" w:eastAsia="Times New Roman"/>
                <w:sz w:val="17"/>
                <w:szCs w:val="17"/>
              </w:rPr>
              <w:t xml:space="preserve">≤ 0.06</w:t>
            </w:r>
          </w:p>
        </w:tc>
        <w:tc>
          <w:tcPr>
            <w:tcW w:w="679" w:type="dxa"/>
            <w:vAlign w:val="center"/>
          </w:tcPr>
          <w:p>
            <w:pPr>
              <w:spacing w:before="20" w:after="20"/>
              <w:jc w:val="center"/>
            </w:pPr>
            <w:r>
              <w:rPr>
                <w:rFonts w:ascii="Times New Roman" w:hAnsi="Times New Roman" w:cs="Times New Roman" w:eastAsia="Times New Roman"/>
                <w:sz w:val="17"/>
                <w:szCs w:val="17"/>
              </w:rPr>
              <w:t xml:space="preserve">≤ 0.08</w:t>
            </w:r>
          </w:p>
        </w:tc>
        <w:tc>
          <w:tcPr>
            <w:tcW w:w="627" w:type="dxa"/>
            <w:vAlign w:val="center"/>
          </w:tcPr>
          <w:p>
            <w:pPr>
              <w:spacing w:before="20" w:after="20"/>
              <w:jc w:val="center"/>
            </w:pPr>
            <w:r>
              <w:rPr>
                <w:rFonts w:ascii="Times New Roman" w:hAnsi="Times New Roman" w:cs="Times New Roman" w:eastAsia="Times New Roman"/>
                <w:sz w:val="17"/>
                <w:szCs w:val="17"/>
              </w:rPr>
              <w:t xml:space="preserve">lower</w:t>
            </w:r>
          </w:p>
        </w:tc>
        <w:tc>
          <w:tcPr>
            <w:tcW w:w="752" w:type="dxa"/>
            <w:vAlign w:val="center"/>
          </w:tcPr>
          <w:p>
            <w:pPr>
              <w:spacing w:before="20" w:after="20"/>
              <w:jc w:val="center"/>
            </w:pPr>
            <w:r>
              <w:rPr>
                <w:rFonts w:ascii="Times New Roman" w:hAnsi="Times New Roman" w:cs="Times New Roman" w:eastAsia="Times New Roman"/>
                <w:sz w:val="17"/>
                <w:szCs w:val="17"/>
              </w:rPr>
              <w:t xml:space="preserve">lower</w:t>
            </w:r>
          </w:p>
        </w:tc>
        <w:tc>
          <w:tcPr>
            <w:tcW w:w="1308" w:type="dxa"/>
            <w:vAlign w:val="center"/>
          </w:tcPr>
          <w:p>
            <w:pPr>
              <w:spacing w:before="20" w:after="20"/>
              <w:jc w:val="center"/>
            </w:pPr>
            <w:r>
              <w:rPr>
                <w:rFonts w:ascii="Times New Roman" w:hAnsi="Times New Roman" w:cs="Times New Roman" w:eastAsia="Times New Roman"/>
                <w:sz w:val="17"/>
                <w:szCs w:val="17"/>
              </w:rPr>
              <w:t xml:space="preserve">–</w:t>
            </w:r>
          </w:p>
        </w:tc>
      </w:tr>
      <w:tr>
        <w:trPr>
          <w:cantSplit/>
        </w:trPr>
        <w:tc>
          <w:tcPr>
            <w:tcW w:w="1985" w:type="dxa"/>
            <w:vAlign w:val="center"/>
          </w:tcPr>
          <w:p>
            <w:pPr>
              <w:spacing w:before="20" w:after="20"/>
              <w:jc w:val="left"/>
            </w:pPr>
            <w:r>
              <w:rPr>
                <w:rFonts w:ascii="Times New Roman" w:hAnsi="Times New Roman" w:cs="Times New Roman" w:eastAsia="Times New Roman"/>
                <w:sz w:val="17"/>
                <w:szCs w:val="17"/>
              </w:rPr>
              <w:t xml:space="preserve">CFA (six factors)</w:t>
            </w:r>
          </w:p>
        </w:tc>
        <w:tc>
          <w:tcPr>
            <w:tcW w:w="679" w:type="dxa"/>
            <w:vAlign w:val="center"/>
          </w:tcPr>
          <w:p>
            <w:pPr>
              <w:spacing w:before="20" w:after="20"/>
              <w:jc w:val="center"/>
            </w:pPr>
            <w:r>
              <w:rPr>
                <w:rFonts w:ascii="Times New Roman" w:hAnsi="Times New Roman" w:cs="Times New Roman" w:eastAsia="Times New Roman"/>
                <w:sz w:val="17"/>
                <w:szCs w:val="17"/>
              </w:rPr>
              <w:t xml:space="preserve">725.72</w:t>
            </w:r>
          </w:p>
        </w:tc>
        <w:tc>
          <w:tcPr>
            <w:tcW w:w="439" w:type="dxa"/>
            <w:vAlign w:val="center"/>
          </w:tcPr>
          <w:p>
            <w:pPr>
              <w:spacing w:before="20" w:after="20"/>
              <w:jc w:val="center"/>
            </w:pPr>
            <w:r>
              <w:rPr>
                <w:rFonts w:ascii="Times New Roman" w:hAnsi="Times New Roman" w:cs="Times New Roman" w:eastAsia="Times New Roman"/>
                <w:sz w:val="17"/>
                <w:szCs w:val="17"/>
              </w:rPr>
              <w:t xml:space="preserve">614</w:t>
            </w:r>
          </w:p>
        </w:tc>
        <w:tc>
          <w:tcPr>
            <w:tcW w:w="543" w:type="dxa"/>
            <w:vAlign w:val="center"/>
          </w:tcPr>
          <w:p>
            <w:pPr>
              <w:spacing w:before="20" w:after="20"/>
              <w:jc w:val="center"/>
            </w:pPr>
            <w:r>
              <w:rPr>
                <w:rFonts w:ascii="Times New Roman" w:hAnsi="Times New Roman" w:cs="Times New Roman" w:eastAsia="Times New Roman"/>
                <w:sz w:val="17"/>
                <w:szCs w:val="17"/>
              </w:rPr>
              <w:t xml:space="preserve">0.975</w:t>
            </w:r>
          </w:p>
        </w:tc>
        <w:tc>
          <w:tcPr>
            <w:tcW w:w="543" w:type="dxa"/>
            <w:vAlign w:val="center"/>
          </w:tcPr>
          <w:p>
            <w:pPr>
              <w:spacing w:before="20" w:after="20"/>
              <w:jc w:val="center"/>
            </w:pPr>
            <w:r>
              <w:rPr>
                <w:rFonts w:ascii="Times New Roman" w:hAnsi="Times New Roman" w:cs="Times New Roman" w:eastAsia="Times New Roman"/>
                <w:sz w:val="17"/>
                <w:szCs w:val="17"/>
              </w:rPr>
              <w:t xml:space="preserve">0.973</w:t>
            </w:r>
          </w:p>
        </w:tc>
        <w:tc>
          <w:tcPr>
            <w:tcW w:w="1515" w:type="dxa"/>
            <w:vAlign w:val="center"/>
          </w:tcPr>
          <w:p>
            <w:pPr>
              <w:spacing w:before="20" w:after="20"/>
              <w:jc w:val="center"/>
            </w:pPr>
            <w:r>
              <w:rPr>
                <w:rFonts w:ascii="Times New Roman" w:hAnsi="Times New Roman" w:cs="Times New Roman" w:eastAsia="Times New Roman"/>
                <w:sz w:val="17"/>
                <w:szCs w:val="17"/>
              </w:rPr>
              <w:t xml:space="preserve">0.031 [0.021, 0.040]</w:t>
            </w:r>
          </w:p>
        </w:tc>
        <w:tc>
          <w:tcPr>
            <w:tcW w:w="679" w:type="dxa"/>
            <w:vAlign w:val="center"/>
          </w:tcPr>
          <w:p>
            <w:pPr>
              <w:spacing w:before="20" w:after="20"/>
              <w:jc w:val="center"/>
            </w:pPr>
            <w:r>
              <w:rPr>
                <w:rFonts w:ascii="Times New Roman" w:hAnsi="Times New Roman" w:cs="Times New Roman" w:eastAsia="Times New Roman"/>
                <w:sz w:val="17"/>
                <w:szCs w:val="17"/>
              </w:rPr>
              <w:t xml:space="preserve">0.048</w:t>
            </w:r>
          </w:p>
        </w:tc>
        <w:tc>
          <w:tcPr>
            <w:tcW w:w="627" w:type="dxa"/>
            <w:vAlign w:val="center"/>
          </w:tcPr>
          <w:p>
            <w:pPr>
              <w:spacing w:before="20" w:after="20"/>
              <w:jc w:val="center"/>
            </w:pPr>
            <w:r>
              <w:rPr>
                <w:rFonts w:ascii="Times New Roman" w:hAnsi="Times New Roman" w:cs="Times New Roman" w:eastAsia="Times New Roman"/>
                <w:sz w:val="17"/>
                <w:szCs w:val="17"/>
              </w:rPr>
              <w:t xml:space="preserve">903.7</w:t>
            </w:r>
          </w:p>
        </w:tc>
        <w:tc>
          <w:tcPr>
            <w:tcW w:w="752" w:type="dxa"/>
            <w:vAlign w:val="center"/>
          </w:tcPr>
          <w:p>
            <w:pPr>
              <w:spacing w:before="20" w:after="20"/>
              <w:jc w:val="center"/>
            </w:pPr>
            <w:r>
              <w:rPr>
                <w:rFonts w:ascii="Times New Roman" w:hAnsi="Times New Roman" w:cs="Times New Roman" w:eastAsia="Times New Roman"/>
                <w:sz w:val="17"/>
                <w:szCs w:val="17"/>
              </w:rPr>
              <w:t xml:space="preserve">1,191.3</w:t>
            </w:r>
          </w:p>
        </w:tc>
        <w:tc>
          <w:tcPr>
            <w:tcW w:w="1308" w:type="dxa"/>
            <w:vAlign w:val="center"/>
          </w:tcPr>
          <w:p>
            <w:pPr>
              <w:spacing w:before="20" w:after="20"/>
              <w:jc w:val="center"/>
            </w:pPr>
            <w:r>
              <w:rPr>
                <w:rFonts w:ascii="Times New Roman" w:hAnsi="Times New Roman" w:cs="Times New Roman" w:eastAsia="Times New Roman"/>
                <w:sz w:val="17"/>
                <w:szCs w:val="17"/>
              </w:rPr>
              <w:t xml:space="preserve">–</w:t>
            </w:r>
          </w:p>
        </w:tc>
      </w:tr>
      <w:tr>
        <w:trPr>
          <w:cantSplit/>
        </w:trPr>
        <w:tc>
          <w:tcPr>
            <w:tcW w:w="1985" w:type="dxa"/>
            <w:vAlign w:val="center"/>
          </w:tcPr>
          <w:p>
            <w:pPr>
              <w:spacing w:before="20" w:after="20"/>
              <w:jc w:val="left"/>
            </w:pPr>
            <w:r>
              <w:rPr>
                <w:rFonts w:ascii="Times New Roman" w:hAnsi="Times New Roman" w:cs="Times New Roman" w:eastAsia="Times New Roman"/>
                <w:sz w:val="17"/>
                <w:szCs w:val="17"/>
              </w:rPr>
              <w:t xml:space="preserve">Proposed structural model</w:t>
            </w:r>
          </w:p>
        </w:tc>
        <w:tc>
          <w:tcPr>
            <w:tcW w:w="679" w:type="dxa"/>
            <w:vAlign w:val="center"/>
          </w:tcPr>
          <w:p>
            <w:pPr>
              <w:spacing w:before="20" w:after="20"/>
              <w:jc w:val="center"/>
            </w:pPr>
            <w:r>
              <w:rPr>
                <w:rFonts w:ascii="Times New Roman" w:hAnsi="Times New Roman" w:cs="Times New Roman" w:eastAsia="Times New Roman"/>
                <w:sz w:val="17"/>
                <w:szCs w:val="17"/>
              </w:rPr>
              <w:t xml:space="preserve">733.18</w:t>
            </w:r>
          </w:p>
        </w:tc>
        <w:tc>
          <w:tcPr>
            <w:tcW w:w="439" w:type="dxa"/>
            <w:vAlign w:val="center"/>
          </w:tcPr>
          <w:p>
            <w:pPr>
              <w:spacing w:before="20" w:after="20"/>
              <w:jc w:val="center"/>
            </w:pPr>
            <w:r>
              <w:rPr>
                <w:rFonts w:ascii="Times New Roman" w:hAnsi="Times New Roman" w:cs="Times New Roman" w:eastAsia="Times New Roman"/>
                <w:sz w:val="17"/>
                <w:szCs w:val="17"/>
              </w:rPr>
              <w:t xml:space="preserve">620</w:t>
            </w:r>
          </w:p>
        </w:tc>
        <w:tc>
          <w:tcPr>
            <w:tcW w:w="543" w:type="dxa"/>
            <w:vAlign w:val="center"/>
          </w:tcPr>
          <w:p>
            <w:pPr>
              <w:spacing w:before="20" w:after="20"/>
              <w:jc w:val="center"/>
            </w:pPr>
            <w:r>
              <w:rPr>
                <w:rFonts w:ascii="Times New Roman" w:hAnsi="Times New Roman" w:cs="Times New Roman" w:eastAsia="Times New Roman"/>
                <w:sz w:val="17"/>
                <w:szCs w:val="17"/>
              </w:rPr>
              <w:t xml:space="preserve">0.975</w:t>
            </w:r>
          </w:p>
        </w:tc>
        <w:tc>
          <w:tcPr>
            <w:tcW w:w="543" w:type="dxa"/>
            <w:vAlign w:val="center"/>
          </w:tcPr>
          <w:p>
            <w:pPr>
              <w:spacing w:before="20" w:after="20"/>
              <w:jc w:val="center"/>
            </w:pPr>
            <w:r>
              <w:rPr>
                <w:rFonts w:ascii="Times New Roman" w:hAnsi="Times New Roman" w:cs="Times New Roman" w:eastAsia="Times New Roman"/>
                <w:sz w:val="17"/>
                <w:szCs w:val="17"/>
              </w:rPr>
              <w:t xml:space="preserve">0.973</w:t>
            </w:r>
          </w:p>
        </w:tc>
        <w:tc>
          <w:tcPr>
            <w:tcW w:w="1515" w:type="dxa"/>
            <w:vAlign w:val="center"/>
          </w:tcPr>
          <w:p>
            <w:pPr>
              <w:spacing w:before="20" w:after="20"/>
              <w:jc w:val="center"/>
            </w:pPr>
            <w:r>
              <w:rPr>
                <w:rFonts w:ascii="Times New Roman" w:hAnsi="Times New Roman" w:cs="Times New Roman" w:eastAsia="Times New Roman"/>
                <w:sz w:val="17"/>
                <w:szCs w:val="17"/>
              </w:rPr>
              <w:t xml:space="preserve">0.031 [0.021, 0.040]</w:t>
            </w:r>
          </w:p>
        </w:tc>
        <w:tc>
          <w:tcPr>
            <w:tcW w:w="679" w:type="dxa"/>
            <w:vAlign w:val="center"/>
          </w:tcPr>
          <w:p>
            <w:pPr>
              <w:spacing w:before="20" w:after="20"/>
              <w:jc w:val="center"/>
            </w:pPr>
            <w:r>
              <w:rPr>
                <w:rFonts w:ascii="Times New Roman" w:hAnsi="Times New Roman" w:cs="Times New Roman" w:eastAsia="Times New Roman"/>
                <w:sz w:val="17"/>
                <w:szCs w:val="17"/>
              </w:rPr>
              <w:t xml:space="preserve">0.052</w:t>
            </w:r>
          </w:p>
        </w:tc>
        <w:tc>
          <w:tcPr>
            <w:tcW w:w="627" w:type="dxa"/>
            <w:vAlign w:val="center"/>
          </w:tcPr>
          <w:p>
            <w:pPr>
              <w:spacing w:before="20" w:after="20"/>
              <w:jc w:val="center"/>
            </w:pPr>
            <w:r>
              <w:rPr>
                <w:rFonts w:ascii="Times New Roman" w:hAnsi="Times New Roman" w:cs="Times New Roman" w:eastAsia="Times New Roman"/>
                <w:sz w:val="17"/>
                <w:szCs w:val="17"/>
              </w:rPr>
              <w:t xml:space="preserve">899.2</w:t>
            </w:r>
          </w:p>
        </w:tc>
        <w:tc>
          <w:tcPr>
            <w:tcW w:w="752" w:type="dxa"/>
            <w:vAlign w:val="center"/>
          </w:tcPr>
          <w:p>
            <w:pPr>
              <w:spacing w:before="20" w:after="20"/>
              <w:jc w:val="center"/>
            </w:pPr>
            <w:r>
              <w:rPr>
                <w:rFonts w:ascii="Times New Roman" w:hAnsi="Times New Roman" w:cs="Times New Roman" w:eastAsia="Times New Roman"/>
                <w:sz w:val="17"/>
                <w:szCs w:val="17"/>
              </w:rPr>
              <w:t xml:space="preserve">1,167.4</w:t>
            </w:r>
          </w:p>
        </w:tc>
        <w:tc>
          <w:tcPr>
            <w:tcW w:w="1308" w:type="dxa"/>
            <w:vAlign w:val="center"/>
          </w:tcPr>
          <w:p>
            <w:pPr>
              <w:spacing w:before="20" w:after="20"/>
              <w:jc w:val="center"/>
            </w:pPr>
            <w:r>
              <w:rPr>
                <w:rFonts w:ascii="Times New Roman" w:hAnsi="Times New Roman" w:cs="Times New Roman" w:eastAsia="Times New Roman"/>
                <w:sz w:val="17"/>
                <w:szCs w:val="17"/>
              </w:rPr>
              <w:t xml:space="preserve">7.46 (6) vs. CFA</w:t>
            </w:r>
          </w:p>
        </w:tc>
      </w:tr>
      <w:tr>
        <w:trPr>
          <w:cantSplit/>
        </w:trPr>
        <w:tc>
          <w:tcPr>
            <w:tcW w:w="1985" w:type="dxa"/>
            <w:vAlign w:val="center"/>
          </w:tcPr>
          <w:p>
            <w:pPr>
              <w:spacing w:before="20" w:after="20"/>
              <w:jc w:val="left"/>
            </w:pPr>
            <w:r>
              <w:rPr>
                <w:rFonts w:ascii="Times New Roman" w:hAnsi="Times New Roman" w:cs="Times New Roman" w:eastAsia="Times New Roman"/>
                <w:sz w:val="17"/>
                <w:szCs w:val="17"/>
              </w:rPr>
              <w:t xml:space="preserve">Control activities only</w:t>
            </w:r>
          </w:p>
        </w:tc>
        <w:tc>
          <w:tcPr>
            <w:tcW w:w="679" w:type="dxa"/>
            <w:vAlign w:val="center"/>
          </w:tcPr>
          <w:p>
            <w:pPr>
              <w:spacing w:before="20" w:after="20"/>
              <w:jc w:val="center"/>
            </w:pPr>
            <w:r>
              <w:rPr>
                <w:rFonts w:ascii="Times New Roman" w:hAnsi="Times New Roman" w:cs="Times New Roman" w:eastAsia="Times New Roman"/>
                <w:sz w:val="17"/>
                <w:szCs w:val="17"/>
              </w:rPr>
              <w:t xml:space="preserve">789.91</w:t>
            </w:r>
          </w:p>
        </w:tc>
        <w:tc>
          <w:tcPr>
            <w:tcW w:w="439" w:type="dxa"/>
            <w:vAlign w:val="center"/>
          </w:tcPr>
          <w:p>
            <w:pPr>
              <w:spacing w:before="20" w:after="20"/>
              <w:jc w:val="center"/>
            </w:pPr>
            <w:r>
              <w:rPr>
                <w:rFonts w:ascii="Times New Roman" w:hAnsi="Times New Roman" w:cs="Times New Roman" w:eastAsia="Times New Roman"/>
                <w:sz w:val="17"/>
                <w:szCs w:val="17"/>
              </w:rPr>
              <w:t xml:space="preserve">624</w:t>
            </w:r>
          </w:p>
        </w:tc>
        <w:tc>
          <w:tcPr>
            <w:tcW w:w="543" w:type="dxa"/>
            <w:vAlign w:val="center"/>
          </w:tcPr>
          <w:p>
            <w:pPr>
              <w:spacing w:before="20" w:after="20"/>
              <w:jc w:val="center"/>
            </w:pPr>
            <w:r>
              <w:rPr>
                <w:rFonts w:ascii="Times New Roman" w:hAnsi="Times New Roman" w:cs="Times New Roman" w:eastAsia="Times New Roman"/>
                <w:sz w:val="17"/>
                <w:szCs w:val="17"/>
              </w:rPr>
              <w:t xml:space="preserve">0.964</w:t>
            </w:r>
          </w:p>
        </w:tc>
        <w:tc>
          <w:tcPr>
            <w:tcW w:w="543" w:type="dxa"/>
            <w:vAlign w:val="center"/>
          </w:tcPr>
          <w:p>
            <w:pPr>
              <w:spacing w:before="20" w:after="20"/>
              <w:jc w:val="center"/>
            </w:pPr>
            <w:r>
              <w:rPr>
                <w:rFonts w:ascii="Times New Roman" w:hAnsi="Times New Roman" w:cs="Times New Roman" w:eastAsia="Times New Roman"/>
                <w:sz w:val="17"/>
                <w:szCs w:val="17"/>
              </w:rPr>
              <w:t xml:space="preserve">0.961</w:t>
            </w:r>
          </w:p>
        </w:tc>
        <w:tc>
          <w:tcPr>
            <w:tcW w:w="1515" w:type="dxa"/>
            <w:vAlign w:val="center"/>
          </w:tcPr>
          <w:p>
            <w:pPr>
              <w:spacing w:before="20" w:after="20"/>
              <w:jc w:val="center"/>
            </w:pPr>
            <w:r>
              <w:rPr>
                <w:rFonts w:ascii="Times New Roman" w:hAnsi="Times New Roman" w:cs="Times New Roman" w:eastAsia="Times New Roman"/>
                <w:sz w:val="17"/>
                <w:szCs w:val="17"/>
              </w:rPr>
              <w:t xml:space="preserve">0.038</w:t>
            </w:r>
          </w:p>
        </w:tc>
        <w:tc>
          <w:tcPr>
            <w:tcW w:w="679" w:type="dxa"/>
            <w:vAlign w:val="center"/>
          </w:tcPr>
          <w:p>
            <w:pPr>
              <w:spacing w:before="20" w:after="20"/>
              <w:jc w:val="center"/>
            </w:pPr>
            <w:r>
              <w:rPr>
                <w:rFonts w:ascii="Times New Roman" w:hAnsi="Times New Roman" w:cs="Times New Roman" w:eastAsia="Times New Roman"/>
                <w:sz w:val="17"/>
                <w:szCs w:val="17"/>
              </w:rPr>
              <w:t xml:space="preserve">0.072</w:t>
            </w:r>
          </w:p>
        </w:tc>
        <w:tc>
          <w:tcPr>
            <w:tcW w:w="627" w:type="dxa"/>
            <w:vAlign w:val="center"/>
          </w:tcPr>
          <w:p>
            <w:pPr>
              <w:spacing w:before="20" w:after="20"/>
              <w:jc w:val="center"/>
            </w:pPr>
            <w:r>
              <w:rPr>
                <w:rFonts w:ascii="Times New Roman" w:hAnsi="Times New Roman" w:cs="Times New Roman" w:eastAsia="Times New Roman"/>
                <w:sz w:val="17"/>
                <w:szCs w:val="17"/>
              </w:rPr>
              <w:t xml:space="preserve">947.9</w:t>
            </w:r>
          </w:p>
        </w:tc>
        <w:tc>
          <w:tcPr>
            <w:tcW w:w="752" w:type="dxa"/>
            <w:vAlign w:val="center"/>
          </w:tcPr>
          <w:p>
            <w:pPr>
              <w:spacing w:before="20" w:after="20"/>
              <w:jc w:val="center"/>
            </w:pPr>
            <w:r>
              <w:rPr>
                <w:rFonts w:ascii="Times New Roman" w:hAnsi="Times New Roman" w:cs="Times New Roman" w:eastAsia="Times New Roman"/>
                <w:sz w:val="17"/>
                <w:szCs w:val="17"/>
              </w:rPr>
              <w:t xml:space="preserve">1,203.2</w:t>
            </w:r>
          </w:p>
        </w:tc>
        <w:tc>
          <w:tcPr>
            <w:tcW w:w="1308" w:type="dxa"/>
            <w:vAlign w:val="center"/>
          </w:tcPr>
          <w:p>
            <w:pPr>
              <w:spacing w:before="20" w:after="20"/>
              <w:jc w:val="center"/>
            </w:pPr>
            <w:r>
              <w:rPr>
                <w:rFonts w:ascii="Times New Roman" w:hAnsi="Times New Roman" w:cs="Times New Roman" w:eastAsia="Times New Roman"/>
                <w:sz w:val="17"/>
                <w:szCs w:val="17"/>
              </w:rPr>
              <w:t xml:space="preserve">56.73 (4)***</w:t>
            </w:r>
          </w:p>
        </w:tc>
      </w:tr>
      <w:tr>
        <w:trPr>
          <w:cantSplit/>
        </w:trPr>
        <w:tc>
          <w:tcPr>
            <w:tcW w:w="1985" w:type="dxa"/>
            <w:vAlign w:val="center"/>
          </w:tcPr>
          <w:p>
            <w:pPr>
              <w:spacing w:before="20" w:after="20"/>
              <w:jc w:val="left"/>
            </w:pPr>
            <w:r>
              <w:rPr>
                <w:rFonts w:ascii="Times New Roman" w:hAnsi="Times New Roman" w:cs="Times New Roman" w:eastAsia="Times New Roman"/>
                <w:sz w:val="17"/>
                <w:szCs w:val="17"/>
              </w:rPr>
              <w:t xml:space="preserve">Financial management only</w:t>
            </w:r>
          </w:p>
        </w:tc>
        <w:tc>
          <w:tcPr>
            <w:tcW w:w="679" w:type="dxa"/>
            <w:vAlign w:val="center"/>
          </w:tcPr>
          <w:p>
            <w:pPr>
              <w:spacing w:before="20" w:after="20"/>
              <w:jc w:val="center"/>
            </w:pPr>
            <w:r>
              <w:rPr>
                <w:rFonts w:ascii="Times New Roman" w:hAnsi="Times New Roman" w:cs="Times New Roman" w:eastAsia="Times New Roman"/>
                <w:sz w:val="17"/>
                <w:szCs w:val="17"/>
              </w:rPr>
              <w:t xml:space="preserve">791.23</w:t>
            </w:r>
          </w:p>
        </w:tc>
        <w:tc>
          <w:tcPr>
            <w:tcW w:w="439" w:type="dxa"/>
            <w:vAlign w:val="center"/>
          </w:tcPr>
          <w:p>
            <w:pPr>
              <w:spacing w:before="20" w:after="20"/>
              <w:jc w:val="center"/>
            </w:pPr>
            <w:r>
              <w:rPr>
                <w:rFonts w:ascii="Times New Roman" w:hAnsi="Times New Roman" w:cs="Times New Roman" w:eastAsia="Times New Roman"/>
                <w:sz w:val="17"/>
                <w:szCs w:val="17"/>
              </w:rPr>
              <w:t xml:space="preserve">624</w:t>
            </w:r>
          </w:p>
        </w:tc>
        <w:tc>
          <w:tcPr>
            <w:tcW w:w="543" w:type="dxa"/>
            <w:vAlign w:val="center"/>
          </w:tcPr>
          <w:p>
            <w:pPr>
              <w:spacing w:before="20" w:after="20"/>
              <w:jc w:val="center"/>
            </w:pPr>
            <w:r>
              <w:rPr>
                <w:rFonts w:ascii="Times New Roman" w:hAnsi="Times New Roman" w:cs="Times New Roman" w:eastAsia="Times New Roman"/>
                <w:sz w:val="17"/>
                <w:szCs w:val="17"/>
              </w:rPr>
              <w:t xml:space="preserve">0.963</w:t>
            </w:r>
          </w:p>
        </w:tc>
        <w:tc>
          <w:tcPr>
            <w:tcW w:w="543" w:type="dxa"/>
            <w:vAlign w:val="center"/>
          </w:tcPr>
          <w:p>
            <w:pPr>
              <w:spacing w:before="20" w:after="20"/>
              <w:jc w:val="center"/>
            </w:pPr>
            <w:r>
              <w:rPr>
                <w:rFonts w:ascii="Times New Roman" w:hAnsi="Times New Roman" w:cs="Times New Roman" w:eastAsia="Times New Roman"/>
                <w:sz w:val="17"/>
                <w:szCs w:val="17"/>
              </w:rPr>
              <w:t xml:space="preserve">0.961</w:t>
            </w:r>
          </w:p>
        </w:tc>
        <w:tc>
          <w:tcPr>
            <w:tcW w:w="1515" w:type="dxa"/>
            <w:vAlign w:val="center"/>
          </w:tcPr>
          <w:p>
            <w:pPr>
              <w:spacing w:before="20" w:after="20"/>
              <w:jc w:val="center"/>
            </w:pPr>
            <w:r>
              <w:rPr>
                <w:rFonts w:ascii="Times New Roman" w:hAnsi="Times New Roman" w:cs="Times New Roman" w:eastAsia="Times New Roman"/>
                <w:sz w:val="17"/>
                <w:szCs w:val="17"/>
              </w:rPr>
              <w:t xml:space="preserve">0.038</w:t>
            </w:r>
          </w:p>
        </w:tc>
        <w:tc>
          <w:tcPr>
            <w:tcW w:w="679" w:type="dxa"/>
            <w:vAlign w:val="center"/>
          </w:tcPr>
          <w:p>
            <w:pPr>
              <w:spacing w:before="20" w:after="20"/>
              <w:jc w:val="center"/>
            </w:pPr>
            <w:r>
              <w:rPr>
                <w:rFonts w:ascii="Times New Roman" w:hAnsi="Times New Roman" w:cs="Times New Roman" w:eastAsia="Times New Roman"/>
                <w:sz w:val="17"/>
                <w:szCs w:val="17"/>
              </w:rPr>
              <w:t xml:space="preserve">0.075</w:t>
            </w:r>
          </w:p>
        </w:tc>
        <w:tc>
          <w:tcPr>
            <w:tcW w:w="627" w:type="dxa"/>
            <w:vAlign w:val="center"/>
          </w:tcPr>
          <w:p>
            <w:pPr>
              <w:spacing w:before="20" w:after="20"/>
              <w:jc w:val="center"/>
            </w:pPr>
            <w:r>
              <w:rPr>
                <w:rFonts w:ascii="Times New Roman" w:hAnsi="Times New Roman" w:cs="Times New Roman" w:eastAsia="Times New Roman"/>
                <w:sz w:val="17"/>
                <w:szCs w:val="17"/>
              </w:rPr>
              <w:t xml:space="preserve">949.2</w:t>
            </w:r>
          </w:p>
        </w:tc>
        <w:tc>
          <w:tcPr>
            <w:tcW w:w="752" w:type="dxa"/>
            <w:vAlign w:val="center"/>
          </w:tcPr>
          <w:p>
            <w:pPr>
              <w:spacing w:before="20" w:after="20"/>
              <w:jc w:val="center"/>
            </w:pPr>
            <w:r>
              <w:rPr>
                <w:rFonts w:ascii="Times New Roman" w:hAnsi="Times New Roman" w:cs="Times New Roman" w:eastAsia="Times New Roman"/>
                <w:sz w:val="17"/>
                <w:szCs w:val="17"/>
              </w:rPr>
              <w:t xml:space="preserve">1,204.5</w:t>
            </w:r>
          </w:p>
        </w:tc>
        <w:tc>
          <w:tcPr>
            <w:tcW w:w="1308" w:type="dxa"/>
            <w:vAlign w:val="center"/>
          </w:tcPr>
          <w:p>
            <w:pPr>
              <w:spacing w:before="20" w:after="20"/>
              <w:jc w:val="center"/>
            </w:pPr>
            <w:r>
              <w:rPr>
                <w:rFonts w:ascii="Times New Roman" w:hAnsi="Times New Roman" w:cs="Times New Roman" w:eastAsia="Times New Roman"/>
                <w:sz w:val="17"/>
                <w:szCs w:val="17"/>
              </w:rPr>
              <w:t xml:space="preserve">58.05 (4)***</w:t>
            </w:r>
          </w:p>
        </w:tc>
      </w:tr>
      <w:tr>
        <w:trPr>
          <w:cantSplit/>
        </w:trPr>
        <w:tc>
          <w:tcPr>
            <w:tcW w:w="1985" w:type="dxa"/>
            <w:vAlign w:val="center"/>
          </w:tcPr>
          <w:p>
            <w:pPr>
              <w:spacing w:before="20" w:after="20"/>
              <w:jc w:val="left"/>
            </w:pPr>
            <w:r>
              <w:rPr>
                <w:rFonts w:ascii="Times New Roman" w:hAnsi="Times New Roman" w:cs="Times New Roman" w:eastAsia="Times New Roman"/>
                <w:sz w:val="17"/>
                <w:szCs w:val="17"/>
              </w:rPr>
              <w:t xml:space="preserve">Null (no paths)</w:t>
            </w:r>
          </w:p>
        </w:tc>
        <w:tc>
          <w:tcPr>
            <w:tcW w:w="679" w:type="dxa"/>
            <w:vAlign w:val="center"/>
          </w:tcPr>
          <w:p>
            <w:pPr>
              <w:spacing w:before="20" w:after="20"/>
              <w:jc w:val="center"/>
            </w:pPr>
            <w:r>
              <w:rPr>
                <w:rFonts w:ascii="Times New Roman" w:hAnsi="Times New Roman" w:cs="Times New Roman" w:eastAsia="Times New Roman"/>
                <w:sz w:val="17"/>
                <w:szCs w:val="17"/>
              </w:rPr>
              <w:t xml:space="preserve">1,010.70</w:t>
            </w:r>
          </w:p>
        </w:tc>
        <w:tc>
          <w:tcPr>
            <w:tcW w:w="439" w:type="dxa"/>
            <w:vAlign w:val="center"/>
          </w:tcPr>
          <w:p>
            <w:pPr>
              <w:spacing w:before="20" w:after="20"/>
              <w:jc w:val="center"/>
            </w:pPr>
            <w:r>
              <w:rPr>
                <w:rFonts w:ascii="Times New Roman" w:hAnsi="Times New Roman" w:cs="Times New Roman" w:eastAsia="Times New Roman"/>
                <w:sz w:val="17"/>
                <w:szCs w:val="17"/>
              </w:rPr>
              <w:t xml:space="preserve">628</w:t>
            </w:r>
          </w:p>
        </w:tc>
        <w:tc>
          <w:tcPr>
            <w:tcW w:w="543" w:type="dxa"/>
            <w:vAlign w:val="center"/>
          </w:tcPr>
          <w:p>
            <w:pPr>
              <w:spacing w:before="20" w:after="20"/>
              <w:jc w:val="center"/>
            </w:pPr>
            <w:r>
              <w:rPr>
                <w:rFonts w:ascii="Times New Roman" w:hAnsi="Times New Roman" w:cs="Times New Roman" w:eastAsia="Times New Roman"/>
                <w:sz w:val="17"/>
                <w:szCs w:val="17"/>
              </w:rPr>
              <w:t xml:space="preserve">0.916</w:t>
            </w:r>
          </w:p>
        </w:tc>
        <w:tc>
          <w:tcPr>
            <w:tcW w:w="543" w:type="dxa"/>
            <w:vAlign w:val="center"/>
          </w:tcPr>
          <w:p>
            <w:pPr>
              <w:spacing w:before="20" w:after="20"/>
              <w:jc w:val="center"/>
            </w:pPr>
            <w:r>
              <w:rPr>
                <w:rFonts w:ascii="Times New Roman" w:hAnsi="Times New Roman" w:cs="Times New Roman" w:eastAsia="Times New Roman"/>
                <w:sz w:val="17"/>
                <w:szCs w:val="17"/>
              </w:rPr>
              <w:t xml:space="preserve">0.911</w:t>
            </w:r>
          </w:p>
        </w:tc>
        <w:tc>
          <w:tcPr>
            <w:tcW w:w="1515" w:type="dxa"/>
            <w:vAlign w:val="center"/>
          </w:tcPr>
          <w:p>
            <w:pPr>
              <w:spacing w:before="20" w:after="20"/>
              <w:jc w:val="center"/>
            </w:pPr>
            <w:r>
              <w:rPr>
                <w:rFonts w:ascii="Times New Roman" w:hAnsi="Times New Roman" w:cs="Times New Roman" w:eastAsia="Times New Roman"/>
                <w:sz w:val="17"/>
                <w:szCs w:val="17"/>
              </w:rPr>
              <w:t xml:space="preserve">0.057</w:t>
            </w:r>
          </w:p>
        </w:tc>
        <w:tc>
          <w:tcPr>
            <w:tcW w:w="679" w:type="dxa"/>
            <w:vAlign w:val="center"/>
          </w:tcPr>
          <w:p>
            <w:pPr>
              <w:spacing w:before="20" w:after="20"/>
              <w:jc w:val="center"/>
            </w:pPr>
            <w:r>
              <w:rPr>
                <w:rFonts w:ascii="Times New Roman" w:hAnsi="Times New Roman" w:cs="Times New Roman" w:eastAsia="Times New Roman"/>
                <w:sz w:val="17"/>
                <w:szCs w:val="17"/>
              </w:rPr>
              <w:t xml:space="preserve">0.256</w:t>
            </w:r>
          </w:p>
        </w:tc>
        <w:tc>
          <w:tcPr>
            <w:tcW w:w="627" w:type="dxa"/>
            <w:vAlign w:val="center"/>
          </w:tcPr>
          <w:p>
            <w:pPr>
              <w:spacing w:before="20" w:after="20"/>
              <w:jc w:val="center"/>
            </w:pPr>
            <w:r>
              <w:rPr>
                <w:rFonts w:ascii="Times New Roman" w:hAnsi="Times New Roman" w:cs="Times New Roman" w:eastAsia="Times New Roman"/>
                <w:sz w:val="17"/>
                <w:szCs w:val="17"/>
              </w:rPr>
              <w:t xml:space="preserve">1,160.7</w:t>
            </w:r>
          </w:p>
        </w:tc>
        <w:tc>
          <w:tcPr>
            <w:tcW w:w="752" w:type="dxa"/>
            <w:vAlign w:val="center"/>
          </w:tcPr>
          <w:p>
            <w:pPr>
              <w:spacing w:before="20" w:after="20"/>
              <w:jc w:val="center"/>
            </w:pPr>
            <w:r>
              <w:rPr>
                <w:rFonts w:ascii="Times New Roman" w:hAnsi="Times New Roman" w:cs="Times New Roman" w:eastAsia="Times New Roman"/>
                <w:sz w:val="17"/>
                <w:szCs w:val="17"/>
              </w:rPr>
              <w:t xml:space="preserve">1,403.0</w:t>
            </w:r>
          </w:p>
        </w:tc>
        <w:tc>
          <w:tcPr>
            <w:tcW w:w="1308" w:type="dxa"/>
            <w:vAlign w:val="center"/>
          </w:tcPr>
          <w:p>
            <w:pPr>
              <w:spacing w:before="20" w:after="20"/>
              <w:jc w:val="center"/>
            </w:pPr>
            <w:r>
              <w:rPr>
                <w:rFonts w:ascii="Times New Roman" w:hAnsi="Times New Roman" w:cs="Times New Roman" w:eastAsia="Times New Roman"/>
                <w:sz w:val="17"/>
                <w:szCs w:val="17"/>
              </w:rPr>
              <w:t xml:space="preserve">277.52 (8)***</w:t>
            </w:r>
          </w:p>
        </w:tc>
      </w:tr>
    </w:tbl>
    <w:p>
      <w:pPr>
        <w:spacing w:before="0" w:after="160" w:line="240" w:lineRule="auto"/>
        <w:jc w:val="both"/>
      </w:pPr>
      <w:r>
        <w:rPr>
          <w:rFonts w:ascii="Times New Roman" w:hAnsi="Times New Roman" w:cs="Times New Roman" w:eastAsia="Times New Roman"/>
          <w:sz w:val="18"/>
          <w:szCs w:val="18"/>
        </w:rPr>
        <w:t xml:space="preserve">Note. df = degrees of freedom; Δχ² for the competing models is relative to the proposed model. AIC = Akaike information criterion and BIC = Bayesian information criterion, computed from χ²; only differences between models are meaningful. NFI = 0.859 and GFI = 0.839 for the proposed model. *** p &lt; 0.001.</w:t>
      </w:r>
    </w:p>
    <w:p>
      <w:pPr>
        <w:spacing w:before="0" w:after="120" w:line="360" w:lineRule="auto"/>
        <w:jc w:val="both"/>
      </w:pPr>
      <w:r>
        <w:rPr>
          <w:rFonts w:ascii="Times New Roman" w:hAnsi="Times New Roman" w:cs="Times New Roman" w:eastAsia="Times New Roman"/>
          <w:sz w:val="24"/>
          <w:szCs w:val="24"/>
        </w:rPr>
        <w:t xml:space="preserve">All eight hypotheses were supported (Table 4 and Fig. 1). Control activities had positive effects on professional (β = 0.452), legal (β = 0.390), organizational (β = 0.342) and political accountability (β = 0.290). Strategic financial management had positive effects on political (β = 0.457), organizational (β = 0.394), professional (β = 0.243) and legal accountability (β = 0.207). The model explained 42.6% (political), 40.7% (organizational), 37.4% (professional) and 27.5% (legal) of the variance. Effect sizes (f²) were medium for H2, H3, H5 and H8 (0.157–0.273) and small for the other paths (0.044–0.147).</w:t>
      </w:r>
    </w:p>
    <w:p>
      <w:pPr>
        <w:keepNext/>
        <w:spacing w:before="160" w:after="60" w:line="240" w:lineRule="auto"/>
        <w:jc w:val="left"/>
      </w:pPr>
      <w:r>
        <w:rPr>
          <w:rFonts w:ascii="Times New Roman" w:hAnsi="Times New Roman" w:cs="Times New Roman" w:eastAsia="Times New Roman"/>
          <w:b/>
          <w:bCs/>
          <w:sz w:val="20"/>
          <w:szCs w:val="20"/>
        </w:rPr>
        <w:t xml:space="preserve">Table 4</w:t>
      </w:r>
      <w:r>
        <w:rPr>
          <w:rFonts w:ascii="Times New Roman" w:hAnsi="Times New Roman" w:cs="Times New Roman" w:eastAsia="Times New Roman"/>
          <w:sz w:val="20"/>
          <w:szCs w:val="20"/>
        </w:rPr>
        <w:t xml:space="preserve">  Structural path estimates and hypothesis tests</w:t>
      </w:r>
    </w:p>
    <w:tbl>
      <w:tblPr>
        <w:tblW w:w="9070" w:type="dxa"/>
        <w:tblBorders>
          <w:top w:val="single" w:sz="8" w:space="0" w:color="000000"/>
          <w:bottom w:val="single" w:sz="8" w:space="0" w:color="000000"/>
        </w:tblBorders>
        <w:tblLayout w:type="fixed"/>
        <w:tblCellMar>
          <w:left w:w="50" w:type="dxa"/>
          <w:right w:w="50" w:type="dxa"/>
        </w:tblCellMar>
      </w:tblPr>
      <w:tblGrid>
        <w:gridCol w:w="577"/>
        <w:gridCol w:w="2621"/>
        <w:gridCol w:w="577"/>
        <w:gridCol w:w="577"/>
        <w:gridCol w:w="577"/>
        <w:gridCol w:w="734"/>
        <w:gridCol w:w="577"/>
        <w:gridCol w:w="1363"/>
        <w:gridCol w:w="577"/>
        <w:gridCol w:w="890"/>
      </w:tblGrid>
      <w:tr>
        <w:trPr>
          <w:cantSplit/>
          <w:tblHeader/>
        </w:trPr>
        <w:tc>
          <w:tcPr>
            <w:tcW w:w="577" w:type="dxa"/>
            <w:tcBorders>
              <w:bottom w:val="single" w:sz="4" w:space="0" w:color="000000"/>
            </w:tcBorders>
            <w:vAlign w:val="center"/>
          </w:tcPr>
          <w:p>
            <w:pPr>
              <w:spacing w:before="20" w:after="20"/>
              <w:jc w:val="left"/>
            </w:pPr>
            <w:r>
              <w:rPr>
                <w:rFonts w:ascii="Times New Roman" w:hAnsi="Times New Roman" w:cs="Times New Roman" w:eastAsia="Times New Roman"/>
                <w:b/>
                <w:bCs/>
                <w:sz w:val="17"/>
                <w:szCs w:val="17"/>
              </w:rPr>
              <w:t xml:space="preserve">Hyp.</w:t>
            </w:r>
          </w:p>
        </w:tc>
        <w:tc>
          <w:tcPr>
            <w:tcW w:w="2621"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Path</w:t>
            </w:r>
          </w:p>
        </w:tc>
        <w:tc>
          <w:tcPr>
            <w:tcW w:w="57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b</w:t>
            </w:r>
          </w:p>
        </w:tc>
        <w:tc>
          <w:tcPr>
            <w:tcW w:w="57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SE</w:t>
            </w:r>
          </w:p>
        </w:tc>
        <w:tc>
          <w:tcPr>
            <w:tcW w:w="57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t</w:t>
            </w:r>
          </w:p>
        </w:tc>
        <w:tc>
          <w:tcPr>
            <w:tcW w:w="734"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p</w:t>
            </w:r>
          </w:p>
        </w:tc>
        <w:tc>
          <w:tcPr>
            <w:tcW w:w="57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β</w:t>
            </w:r>
          </w:p>
        </w:tc>
        <w:tc>
          <w:tcPr>
            <w:tcW w:w="136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95% CI of β</w:t>
            </w:r>
          </w:p>
        </w:tc>
        <w:tc>
          <w:tcPr>
            <w:tcW w:w="577"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f²</w:t>
            </w:r>
          </w:p>
        </w:tc>
        <w:tc>
          <w:tcPr>
            <w:tcW w:w="890"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Result</w:t>
            </w:r>
          </w:p>
        </w:tc>
      </w:tr>
      <w:tr>
        <w:trPr>
          <w:cantSplit/>
        </w:trPr>
        <w:tc>
          <w:tcPr>
            <w:tcW w:w="577" w:type="dxa"/>
            <w:vAlign w:val="center"/>
          </w:tcPr>
          <w:p>
            <w:pPr>
              <w:spacing w:before="20" w:after="20"/>
              <w:jc w:val="left"/>
            </w:pPr>
            <w:r>
              <w:rPr>
                <w:rFonts w:ascii="Times New Roman" w:hAnsi="Times New Roman" w:cs="Times New Roman" w:eastAsia="Times New Roman"/>
                <w:sz w:val="17"/>
                <w:szCs w:val="17"/>
              </w:rPr>
              <w:t xml:space="preserve">H1</w:t>
            </w:r>
          </w:p>
        </w:tc>
        <w:tc>
          <w:tcPr>
            <w:tcW w:w="2621" w:type="dxa"/>
            <w:vAlign w:val="center"/>
          </w:tcPr>
          <w:p>
            <w:pPr>
              <w:spacing w:before="20" w:after="20"/>
              <w:jc w:val="center"/>
            </w:pPr>
            <w:r>
              <w:rPr>
                <w:rFonts w:ascii="Times New Roman" w:hAnsi="Times New Roman" w:cs="Times New Roman" w:eastAsia="Times New Roman"/>
                <w:sz w:val="17"/>
                <w:szCs w:val="17"/>
              </w:rPr>
              <w:t xml:space="preserve">Control activities → Organizational</w:t>
            </w:r>
          </w:p>
        </w:tc>
        <w:tc>
          <w:tcPr>
            <w:tcW w:w="577" w:type="dxa"/>
            <w:vAlign w:val="center"/>
          </w:tcPr>
          <w:p>
            <w:pPr>
              <w:spacing w:before="20" w:after="20"/>
              <w:jc w:val="center"/>
            </w:pPr>
            <w:r>
              <w:rPr>
                <w:rFonts w:ascii="Times New Roman" w:hAnsi="Times New Roman" w:cs="Times New Roman" w:eastAsia="Times New Roman"/>
                <w:sz w:val="17"/>
                <w:szCs w:val="17"/>
              </w:rPr>
              <w:t xml:space="preserve">0.360</w:t>
            </w:r>
          </w:p>
        </w:tc>
        <w:tc>
          <w:tcPr>
            <w:tcW w:w="577" w:type="dxa"/>
            <w:vAlign w:val="center"/>
          </w:tcPr>
          <w:p>
            <w:pPr>
              <w:spacing w:before="20" w:after="20"/>
              <w:jc w:val="center"/>
            </w:pPr>
            <w:r>
              <w:rPr>
                <w:rFonts w:ascii="Times New Roman" w:hAnsi="Times New Roman" w:cs="Times New Roman" w:eastAsia="Times New Roman"/>
                <w:sz w:val="17"/>
                <w:szCs w:val="17"/>
              </w:rPr>
              <w:t xml:space="preserve">0.086</w:t>
            </w:r>
          </w:p>
        </w:tc>
        <w:tc>
          <w:tcPr>
            <w:tcW w:w="577" w:type="dxa"/>
            <w:vAlign w:val="center"/>
          </w:tcPr>
          <w:p>
            <w:pPr>
              <w:spacing w:before="20" w:after="20"/>
              <w:jc w:val="center"/>
            </w:pPr>
            <w:r>
              <w:rPr>
                <w:rFonts w:ascii="Times New Roman" w:hAnsi="Times New Roman" w:cs="Times New Roman" w:eastAsia="Times New Roman"/>
                <w:sz w:val="17"/>
                <w:szCs w:val="17"/>
              </w:rPr>
              <w:t xml:space="preserve">4.18</w:t>
            </w:r>
          </w:p>
        </w:tc>
        <w:tc>
          <w:tcPr>
            <w:tcW w:w="734" w:type="dxa"/>
            <w:vAlign w:val="center"/>
          </w:tcPr>
          <w:p>
            <w:pPr>
              <w:spacing w:before="20" w:after="20"/>
              <w:jc w:val="center"/>
            </w:pPr>
            <w:r>
              <w:rPr>
                <w:rFonts w:ascii="Times New Roman" w:hAnsi="Times New Roman" w:cs="Times New Roman" w:eastAsia="Times New Roman"/>
                <w:sz w:val="17"/>
                <w:szCs w:val="17"/>
              </w:rPr>
              <w:t xml:space="preserve">&lt; 0.001</w:t>
            </w:r>
          </w:p>
        </w:tc>
        <w:tc>
          <w:tcPr>
            <w:tcW w:w="577" w:type="dxa"/>
            <w:vAlign w:val="center"/>
          </w:tcPr>
          <w:p>
            <w:pPr>
              <w:spacing w:before="20" w:after="20"/>
              <w:jc w:val="center"/>
            </w:pPr>
            <w:r>
              <w:rPr>
                <w:rFonts w:ascii="Times New Roman" w:hAnsi="Times New Roman" w:cs="Times New Roman" w:eastAsia="Times New Roman"/>
                <w:sz w:val="17"/>
                <w:szCs w:val="17"/>
              </w:rPr>
              <w:t xml:space="preserve">0.342</w:t>
            </w:r>
          </w:p>
        </w:tc>
        <w:tc>
          <w:tcPr>
            <w:tcW w:w="1363" w:type="dxa"/>
            <w:vAlign w:val="center"/>
          </w:tcPr>
          <w:p>
            <w:pPr>
              <w:spacing w:before="20" w:after="20"/>
              <w:jc w:val="center"/>
            </w:pPr>
            <w:r>
              <w:rPr>
                <w:rFonts w:ascii="Times New Roman" w:hAnsi="Times New Roman" w:cs="Times New Roman" w:eastAsia="Times New Roman"/>
                <w:sz w:val="17"/>
                <w:szCs w:val="17"/>
              </w:rPr>
              <w:t xml:space="preserve">[0.179, 0.491]</w:t>
            </w:r>
          </w:p>
        </w:tc>
        <w:tc>
          <w:tcPr>
            <w:tcW w:w="577" w:type="dxa"/>
            <w:vAlign w:val="center"/>
          </w:tcPr>
          <w:p>
            <w:pPr>
              <w:spacing w:before="20" w:after="20"/>
              <w:jc w:val="center"/>
            </w:pPr>
            <w:r>
              <w:rPr>
                <w:rFonts w:ascii="Times New Roman" w:hAnsi="Times New Roman" w:cs="Times New Roman" w:eastAsia="Times New Roman"/>
                <w:sz w:val="17"/>
                <w:szCs w:val="17"/>
              </w:rPr>
              <w:t xml:space="preserve">0.147</w:t>
            </w:r>
          </w:p>
        </w:tc>
        <w:tc>
          <w:tcPr>
            <w:tcW w:w="890" w:type="dxa"/>
            <w:vAlign w:val="center"/>
          </w:tcPr>
          <w:p>
            <w:pPr>
              <w:spacing w:before="20" w:after="20"/>
              <w:jc w:val="center"/>
            </w:pPr>
            <w:r>
              <w:rPr>
                <w:rFonts w:ascii="Times New Roman" w:hAnsi="Times New Roman" w:cs="Times New Roman" w:eastAsia="Times New Roman"/>
                <w:sz w:val="17"/>
                <w:szCs w:val="17"/>
              </w:rPr>
              <w:t xml:space="preserve">Supported</w:t>
            </w:r>
          </w:p>
        </w:tc>
      </w:tr>
      <w:tr>
        <w:trPr>
          <w:cantSplit/>
        </w:trPr>
        <w:tc>
          <w:tcPr>
            <w:tcW w:w="577" w:type="dxa"/>
            <w:vAlign w:val="center"/>
          </w:tcPr>
          <w:p>
            <w:pPr>
              <w:spacing w:before="20" w:after="20"/>
              <w:jc w:val="left"/>
            </w:pPr>
            <w:r>
              <w:rPr>
                <w:rFonts w:ascii="Times New Roman" w:hAnsi="Times New Roman" w:cs="Times New Roman" w:eastAsia="Times New Roman"/>
                <w:sz w:val="17"/>
                <w:szCs w:val="17"/>
              </w:rPr>
              <w:t xml:space="preserve">H2</w:t>
            </w:r>
          </w:p>
        </w:tc>
        <w:tc>
          <w:tcPr>
            <w:tcW w:w="2621" w:type="dxa"/>
            <w:vAlign w:val="center"/>
          </w:tcPr>
          <w:p>
            <w:pPr>
              <w:spacing w:before="20" w:after="20"/>
              <w:jc w:val="center"/>
            </w:pPr>
            <w:r>
              <w:rPr>
                <w:rFonts w:ascii="Times New Roman" w:hAnsi="Times New Roman" w:cs="Times New Roman" w:eastAsia="Times New Roman"/>
                <w:sz w:val="17"/>
                <w:szCs w:val="17"/>
              </w:rPr>
              <w:t xml:space="preserve">Control activities → Legal</w:t>
            </w:r>
          </w:p>
        </w:tc>
        <w:tc>
          <w:tcPr>
            <w:tcW w:w="577" w:type="dxa"/>
            <w:vAlign w:val="center"/>
          </w:tcPr>
          <w:p>
            <w:pPr>
              <w:spacing w:before="20" w:after="20"/>
              <w:jc w:val="center"/>
            </w:pPr>
            <w:r>
              <w:rPr>
                <w:rFonts w:ascii="Times New Roman" w:hAnsi="Times New Roman" w:cs="Times New Roman" w:eastAsia="Times New Roman"/>
                <w:sz w:val="17"/>
                <w:szCs w:val="17"/>
              </w:rPr>
              <w:t xml:space="preserve">0.382</w:t>
            </w:r>
          </w:p>
        </w:tc>
        <w:tc>
          <w:tcPr>
            <w:tcW w:w="577" w:type="dxa"/>
            <w:vAlign w:val="center"/>
          </w:tcPr>
          <w:p>
            <w:pPr>
              <w:spacing w:before="20" w:after="20"/>
              <w:jc w:val="center"/>
            </w:pPr>
            <w:r>
              <w:rPr>
                <w:rFonts w:ascii="Times New Roman" w:hAnsi="Times New Roman" w:cs="Times New Roman" w:eastAsia="Times New Roman"/>
                <w:sz w:val="17"/>
                <w:szCs w:val="17"/>
              </w:rPr>
              <w:t xml:space="preserve">0.091</w:t>
            </w:r>
          </w:p>
        </w:tc>
        <w:tc>
          <w:tcPr>
            <w:tcW w:w="577" w:type="dxa"/>
            <w:vAlign w:val="center"/>
          </w:tcPr>
          <w:p>
            <w:pPr>
              <w:spacing w:before="20" w:after="20"/>
              <w:jc w:val="center"/>
            </w:pPr>
            <w:r>
              <w:rPr>
                <w:rFonts w:ascii="Times New Roman" w:hAnsi="Times New Roman" w:cs="Times New Roman" w:eastAsia="Times New Roman"/>
                <w:sz w:val="17"/>
                <w:szCs w:val="17"/>
              </w:rPr>
              <w:t xml:space="preserve">4.20</w:t>
            </w:r>
          </w:p>
        </w:tc>
        <w:tc>
          <w:tcPr>
            <w:tcW w:w="734" w:type="dxa"/>
            <w:vAlign w:val="center"/>
          </w:tcPr>
          <w:p>
            <w:pPr>
              <w:spacing w:before="20" w:after="20"/>
              <w:jc w:val="center"/>
            </w:pPr>
            <w:r>
              <w:rPr>
                <w:rFonts w:ascii="Times New Roman" w:hAnsi="Times New Roman" w:cs="Times New Roman" w:eastAsia="Times New Roman"/>
                <w:sz w:val="17"/>
                <w:szCs w:val="17"/>
              </w:rPr>
              <w:t xml:space="preserve">&lt; 0.001</w:t>
            </w:r>
          </w:p>
        </w:tc>
        <w:tc>
          <w:tcPr>
            <w:tcW w:w="577" w:type="dxa"/>
            <w:vAlign w:val="center"/>
          </w:tcPr>
          <w:p>
            <w:pPr>
              <w:spacing w:before="20" w:after="20"/>
              <w:jc w:val="center"/>
            </w:pPr>
            <w:r>
              <w:rPr>
                <w:rFonts w:ascii="Times New Roman" w:hAnsi="Times New Roman" w:cs="Times New Roman" w:eastAsia="Times New Roman"/>
                <w:sz w:val="17"/>
                <w:szCs w:val="17"/>
              </w:rPr>
              <w:t xml:space="preserve">0.390</w:t>
            </w:r>
          </w:p>
        </w:tc>
        <w:tc>
          <w:tcPr>
            <w:tcW w:w="1363" w:type="dxa"/>
            <w:vAlign w:val="center"/>
          </w:tcPr>
          <w:p>
            <w:pPr>
              <w:spacing w:before="20" w:after="20"/>
              <w:jc w:val="center"/>
            </w:pPr>
            <w:r>
              <w:rPr>
                <w:rFonts w:ascii="Times New Roman" w:hAnsi="Times New Roman" w:cs="Times New Roman" w:eastAsia="Times New Roman"/>
                <w:sz w:val="17"/>
                <w:szCs w:val="17"/>
              </w:rPr>
              <w:t xml:space="preserve">[0.214, 0.557]</w:t>
            </w:r>
          </w:p>
        </w:tc>
        <w:tc>
          <w:tcPr>
            <w:tcW w:w="577" w:type="dxa"/>
            <w:vAlign w:val="center"/>
          </w:tcPr>
          <w:p>
            <w:pPr>
              <w:spacing w:before="20" w:after="20"/>
              <w:jc w:val="center"/>
            </w:pPr>
            <w:r>
              <w:rPr>
                <w:rFonts w:ascii="Times New Roman" w:hAnsi="Times New Roman" w:cs="Times New Roman" w:eastAsia="Times New Roman"/>
                <w:sz w:val="17"/>
                <w:szCs w:val="17"/>
              </w:rPr>
              <w:t xml:space="preserve">0.157</w:t>
            </w:r>
          </w:p>
        </w:tc>
        <w:tc>
          <w:tcPr>
            <w:tcW w:w="890" w:type="dxa"/>
            <w:vAlign w:val="center"/>
          </w:tcPr>
          <w:p>
            <w:pPr>
              <w:spacing w:before="20" w:after="20"/>
              <w:jc w:val="center"/>
            </w:pPr>
            <w:r>
              <w:rPr>
                <w:rFonts w:ascii="Times New Roman" w:hAnsi="Times New Roman" w:cs="Times New Roman" w:eastAsia="Times New Roman"/>
                <w:sz w:val="17"/>
                <w:szCs w:val="17"/>
              </w:rPr>
              <w:t xml:space="preserve">Supported</w:t>
            </w:r>
          </w:p>
        </w:tc>
      </w:tr>
      <w:tr>
        <w:trPr>
          <w:cantSplit/>
        </w:trPr>
        <w:tc>
          <w:tcPr>
            <w:tcW w:w="577" w:type="dxa"/>
            <w:vAlign w:val="center"/>
          </w:tcPr>
          <w:p>
            <w:pPr>
              <w:spacing w:before="20" w:after="20"/>
              <w:jc w:val="left"/>
            </w:pPr>
            <w:r>
              <w:rPr>
                <w:rFonts w:ascii="Times New Roman" w:hAnsi="Times New Roman" w:cs="Times New Roman" w:eastAsia="Times New Roman"/>
                <w:sz w:val="17"/>
                <w:szCs w:val="17"/>
              </w:rPr>
              <w:t xml:space="preserve">H3</w:t>
            </w:r>
          </w:p>
        </w:tc>
        <w:tc>
          <w:tcPr>
            <w:tcW w:w="2621" w:type="dxa"/>
            <w:vAlign w:val="center"/>
          </w:tcPr>
          <w:p>
            <w:pPr>
              <w:spacing w:before="20" w:after="20"/>
              <w:jc w:val="center"/>
            </w:pPr>
            <w:r>
              <w:rPr>
                <w:rFonts w:ascii="Times New Roman" w:hAnsi="Times New Roman" w:cs="Times New Roman" w:eastAsia="Times New Roman"/>
                <w:sz w:val="17"/>
                <w:szCs w:val="17"/>
              </w:rPr>
              <w:t xml:space="preserve">Control activities → Professional</w:t>
            </w:r>
          </w:p>
        </w:tc>
        <w:tc>
          <w:tcPr>
            <w:tcW w:w="577" w:type="dxa"/>
            <w:vAlign w:val="center"/>
          </w:tcPr>
          <w:p>
            <w:pPr>
              <w:spacing w:before="20" w:after="20"/>
              <w:jc w:val="center"/>
            </w:pPr>
            <w:r>
              <w:rPr>
                <w:rFonts w:ascii="Times New Roman" w:hAnsi="Times New Roman" w:cs="Times New Roman" w:eastAsia="Times New Roman"/>
                <w:sz w:val="17"/>
                <w:szCs w:val="17"/>
              </w:rPr>
              <w:t xml:space="preserve">0.449</w:t>
            </w:r>
          </w:p>
        </w:tc>
        <w:tc>
          <w:tcPr>
            <w:tcW w:w="577" w:type="dxa"/>
            <w:vAlign w:val="center"/>
          </w:tcPr>
          <w:p>
            <w:pPr>
              <w:spacing w:before="20" w:after="20"/>
              <w:jc w:val="center"/>
            </w:pPr>
            <w:r>
              <w:rPr>
                <w:rFonts w:ascii="Times New Roman" w:hAnsi="Times New Roman" w:cs="Times New Roman" w:eastAsia="Times New Roman"/>
                <w:sz w:val="17"/>
                <w:szCs w:val="17"/>
              </w:rPr>
              <w:t xml:space="preserve">0.088</w:t>
            </w:r>
          </w:p>
        </w:tc>
        <w:tc>
          <w:tcPr>
            <w:tcW w:w="577" w:type="dxa"/>
            <w:vAlign w:val="center"/>
          </w:tcPr>
          <w:p>
            <w:pPr>
              <w:spacing w:before="20" w:after="20"/>
              <w:jc w:val="center"/>
            </w:pPr>
            <w:r>
              <w:rPr>
                <w:rFonts w:ascii="Times New Roman" w:hAnsi="Times New Roman" w:cs="Times New Roman" w:eastAsia="Times New Roman"/>
                <w:sz w:val="17"/>
                <w:szCs w:val="17"/>
              </w:rPr>
              <w:t xml:space="preserve">5.08</w:t>
            </w:r>
          </w:p>
        </w:tc>
        <w:tc>
          <w:tcPr>
            <w:tcW w:w="734" w:type="dxa"/>
            <w:vAlign w:val="center"/>
          </w:tcPr>
          <w:p>
            <w:pPr>
              <w:spacing w:before="20" w:after="20"/>
              <w:jc w:val="center"/>
            </w:pPr>
            <w:r>
              <w:rPr>
                <w:rFonts w:ascii="Times New Roman" w:hAnsi="Times New Roman" w:cs="Times New Roman" w:eastAsia="Times New Roman"/>
                <w:sz w:val="17"/>
                <w:szCs w:val="17"/>
              </w:rPr>
              <w:t xml:space="preserve">&lt; 0.001</w:t>
            </w:r>
          </w:p>
        </w:tc>
        <w:tc>
          <w:tcPr>
            <w:tcW w:w="577" w:type="dxa"/>
            <w:vAlign w:val="center"/>
          </w:tcPr>
          <w:p>
            <w:pPr>
              <w:spacing w:before="20" w:after="20"/>
              <w:jc w:val="center"/>
            </w:pPr>
            <w:r>
              <w:rPr>
                <w:rFonts w:ascii="Times New Roman" w:hAnsi="Times New Roman" w:cs="Times New Roman" w:eastAsia="Times New Roman"/>
                <w:sz w:val="17"/>
                <w:szCs w:val="17"/>
              </w:rPr>
              <w:t xml:space="preserve">0.452</w:t>
            </w:r>
          </w:p>
        </w:tc>
        <w:tc>
          <w:tcPr>
            <w:tcW w:w="1363" w:type="dxa"/>
            <w:vAlign w:val="center"/>
          </w:tcPr>
          <w:p>
            <w:pPr>
              <w:spacing w:before="20" w:after="20"/>
              <w:jc w:val="center"/>
            </w:pPr>
            <w:r>
              <w:rPr>
                <w:rFonts w:ascii="Times New Roman" w:hAnsi="Times New Roman" w:cs="Times New Roman" w:eastAsia="Times New Roman"/>
                <w:sz w:val="17"/>
                <w:szCs w:val="17"/>
              </w:rPr>
              <w:t xml:space="preserve">[0.280, 0.601]</w:t>
            </w:r>
          </w:p>
        </w:tc>
        <w:tc>
          <w:tcPr>
            <w:tcW w:w="577" w:type="dxa"/>
            <w:vAlign w:val="center"/>
          </w:tcPr>
          <w:p>
            <w:pPr>
              <w:spacing w:before="20" w:after="20"/>
              <w:jc w:val="center"/>
            </w:pPr>
            <w:r>
              <w:rPr>
                <w:rFonts w:ascii="Times New Roman" w:hAnsi="Times New Roman" w:cs="Times New Roman" w:eastAsia="Times New Roman"/>
                <w:sz w:val="17"/>
                <w:szCs w:val="17"/>
              </w:rPr>
              <w:t xml:space="preserve">0.244</w:t>
            </w:r>
          </w:p>
        </w:tc>
        <w:tc>
          <w:tcPr>
            <w:tcW w:w="890" w:type="dxa"/>
            <w:vAlign w:val="center"/>
          </w:tcPr>
          <w:p>
            <w:pPr>
              <w:spacing w:before="20" w:after="20"/>
              <w:jc w:val="center"/>
            </w:pPr>
            <w:r>
              <w:rPr>
                <w:rFonts w:ascii="Times New Roman" w:hAnsi="Times New Roman" w:cs="Times New Roman" w:eastAsia="Times New Roman"/>
                <w:sz w:val="17"/>
                <w:szCs w:val="17"/>
              </w:rPr>
              <w:t xml:space="preserve">Supported</w:t>
            </w:r>
          </w:p>
        </w:tc>
      </w:tr>
      <w:tr>
        <w:trPr>
          <w:cantSplit/>
        </w:trPr>
        <w:tc>
          <w:tcPr>
            <w:tcW w:w="577" w:type="dxa"/>
            <w:vAlign w:val="center"/>
          </w:tcPr>
          <w:p>
            <w:pPr>
              <w:spacing w:before="20" w:after="20"/>
              <w:jc w:val="left"/>
            </w:pPr>
            <w:r>
              <w:rPr>
                <w:rFonts w:ascii="Times New Roman" w:hAnsi="Times New Roman" w:cs="Times New Roman" w:eastAsia="Times New Roman"/>
                <w:sz w:val="17"/>
                <w:szCs w:val="17"/>
              </w:rPr>
              <w:t xml:space="preserve">H4</w:t>
            </w:r>
          </w:p>
        </w:tc>
        <w:tc>
          <w:tcPr>
            <w:tcW w:w="2621" w:type="dxa"/>
            <w:vAlign w:val="center"/>
          </w:tcPr>
          <w:p>
            <w:pPr>
              <w:spacing w:before="20" w:after="20"/>
              <w:jc w:val="center"/>
            </w:pPr>
            <w:r>
              <w:rPr>
                <w:rFonts w:ascii="Times New Roman" w:hAnsi="Times New Roman" w:cs="Times New Roman" w:eastAsia="Times New Roman"/>
                <w:sz w:val="17"/>
                <w:szCs w:val="17"/>
              </w:rPr>
              <w:t xml:space="preserve">Control activities → Political</w:t>
            </w:r>
          </w:p>
        </w:tc>
        <w:tc>
          <w:tcPr>
            <w:tcW w:w="577" w:type="dxa"/>
            <w:vAlign w:val="center"/>
          </w:tcPr>
          <w:p>
            <w:pPr>
              <w:spacing w:before="20" w:after="20"/>
              <w:jc w:val="center"/>
            </w:pPr>
            <w:r>
              <w:rPr>
                <w:rFonts w:ascii="Times New Roman" w:hAnsi="Times New Roman" w:cs="Times New Roman" w:eastAsia="Times New Roman"/>
                <w:sz w:val="17"/>
                <w:szCs w:val="17"/>
              </w:rPr>
              <w:t xml:space="preserve">0.338</w:t>
            </w:r>
          </w:p>
        </w:tc>
        <w:tc>
          <w:tcPr>
            <w:tcW w:w="577" w:type="dxa"/>
            <w:vAlign w:val="center"/>
          </w:tcPr>
          <w:p>
            <w:pPr>
              <w:spacing w:before="20" w:after="20"/>
              <w:jc w:val="center"/>
            </w:pPr>
            <w:r>
              <w:rPr>
                <w:rFonts w:ascii="Times New Roman" w:hAnsi="Times New Roman" w:cs="Times New Roman" w:eastAsia="Times New Roman"/>
                <w:sz w:val="17"/>
                <w:szCs w:val="17"/>
              </w:rPr>
              <w:t xml:space="preserve">0.098</w:t>
            </w:r>
          </w:p>
        </w:tc>
        <w:tc>
          <w:tcPr>
            <w:tcW w:w="577" w:type="dxa"/>
            <w:vAlign w:val="center"/>
          </w:tcPr>
          <w:p>
            <w:pPr>
              <w:spacing w:before="20" w:after="20"/>
              <w:jc w:val="center"/>
            </w:pPr>
            <w:r>
              <w:rPr>
                <w:rFonts w:ascii="Times New Roman" w:hAnsi="Times New Roman" w:cs="Times New Roman" w:eastAsia="Times New Roman"/>
                <w:sz w:val="17"/>
                <w:szCs w:val="17"/>
              </w:rPr>
              <w:t xml:space="preserve">3.46</w:t>
            </w:r>
          </w:p>
        </w:tc>
        <w:tc>
          <w:tcPr>
            <w:tcW w:w="734" w:type="dxa"/>
            <w:vAlign w:val="center"/>
          </w:tcPr>
          <w:p>
            <w:pPr>
              <w:spacing w:before="20" w:after="20"/>
              <w:jc w:val="center"/>
            </w:pPr>
            <w:r>
              <w:rPr>
                <w:rFonts w:ascii="Times New Roman" w:hAnsi="Times New Roman" w:cs="Times New Roman" w:eastAsia="Times New Roman"/>
                <w:sz w:val="17"/>
                <w:szCs w:val="17"/>
              </w:rPr>
              <w:t xml:space="preserve">0.001</w:t>
            </w:r>
          </w:p>
        </w:tc>
        <w:tc>
          <w:tcPr>
            <w:tcW w:w="577" w:type="dxa"/>
            <w:vAlign w:val="center"/>
          </w:tcPr>
          <w:p>
            <w:pPr>
              <w:spacing w:before="20" w:after="20"/>
              <w:jc w:val="center"/>
            </w:pPr>
            <w:r>
              <w:rPr>
                <w:rFonts w:ascii="Times New Roman" w:hAnsi="Times New Roman" w:cs="Times New Roman" w:eastAsia="Times New Roman"/>
                <w:sz w:val="17"/>
                <w:szCs w:val="17"/>
              </w:rPr>
              <w:t xml:space="preserve">0.290</w:t>
            </w:r>
          </w:p>
        </w:tc>
        <w:tc>
          <w:tcPr>
            <w:tcW w:w="1363" w:type="dxa"/>
            <w:vAlign w:val="center"/>
          </w:tcPr>
          <w:p>
            <w:pPr>
              <w:spacing w:before="20" w:after="20"/>
              <w:jc w:val="center"/>
            </w:pPr>
            <w:r>
              <w:rPr>
                <w:rFonts w:ascii="Times New Roman" w:hAnsi="Times New Roman" w:cs="Times New Roman" w:eastAsia="Times New Roman"/>
                <w:sz w:val="17"/>
                <w:szCs w:val="17"/>
              </w:rPr>
              <w:t xml:space="preserve">[0.137, 0.437]</w:t>
            </w:r>
          </w:p>
        </w:tc>
        <w:tc>
          <w:tcPr>
            <w:tcW w:w="577" w:type="dxa"/>
            <w:vAlign w:val="center"/>
          </w:tcPr>
          <w:p>
            <w:pPr>
              <w:spacing w:before="20" w:after="20"/>
              <w:jc w:val="center"/>
            </w:pPr>
            <w:r>
              <w:rPr>
                <w:rFonts w:ascii="Times New Roman" w:hAnsi="Times New Roman" w:cs="Times New Roman" w:eastAsia="Times New Roman"/>
                <w:sz w:val="17"/>
                <w:szCs w:val="17"/>
              </w:rPr>
              <w:t xml:space="preserve">0.110</w:t>
            </w:r>
          </w:p>
        </w:tc>
        <w:tc>
          <w:tcPr>
            <w:tcW w:w="890" w:type="dxa"/>
            <w:vAlign w:val="center"/>
          </w:tcPr>
          <w:p>
            <w:pPr>
              <w:spacing w:before="20" w:after="20"/>
              <w:jc w:val="center"/>
            </w:pPr>
            <w:r>
              <w:rPr>
                <w:rFonts w:ascii="Times New Roman" w:hAnsi="Times New Roman" w:cs="Times New Roman" w:eastAsia="Times New Roman"/>
                <w:sz w:val="17"/>
                <w:szCs w:val="17"/>
              </w:rPr>
              <w:t xml:space="preserve">Supported</w:t>
            </w:r>
          </w:p>
        </w:tc>
      </w:tr>
      <w:tr>
        <w:trPr>
          <w:cantSplit/>
        </w:trPr>
        <w:tc>
          <w:tcPr>
            <w:tcW w:w="577" w:type="dxa"/>
            <w:vAlign w:val="center"/>
          </w:tcPr>
          <w:p>
            <w:pPr>
              <w:spacing w:before="20" w:after="20"/>
              <w:jc w:val="left"/>
            </w:pPr>
            <w:r>
              <w:rPr>
                <w:rFonts w:ascii="Times New Roman" w:hAnsi="Times New Roman" w:cs="Times New Roman" w:eastAsia="Times New Roman"/>
                <w:sz w:val="17"/>
                <w:szCs w:val="17"/>
              </w:rPr>
              <w:t xml:space="preserve">H5</w:t>
            </w:r>
          </w:p>
        </w:tc>
        <w:tc>
          <w:tcPr>
            <w:tcW w:w="2621" w:type="dxa"/>
            <w:vAlign w:val="center"/>
          </w:tcPr>
          <w:p>
            <w:pPr>
              <w:spacing w:before="20" w:after="20"/>
              <w:jc w:val="center"/>
            </w:pPr>
            <w:r>
              <w:rPr>
                <w:rFonts w:ascii="Times New Roman" w:hAnsi="Times New Roman" w:cs="Times New Roman" w:eastAsia="Times New Roman"/>
                <w:sz w:val="17"/>
                <w:szCs w:val="17"/>
              </w:rPr>
              <w:t xml:space="preserve">Financial management → Organizational</w:t>
            </w:r>
          </w:p>
        </w:tc>
        <w:tc>
          <w:tcPr>
            <w:tcW w:w="577" w:type="dxa"/>
            <w:vAlign w:val="center"/>
          </w:tcPr>
          <w:p>
            <w:pPr>
              <w:spacing w:before="20" w:after="20"/>
              <w:jc w:val="center"/>
            </w:pPr>
            <w:r>
              <w:rPr>
                <w:rFonts w:ascii="Times New Roman" w:hAnsi="Times New Roman" w:cs="Times New Roman" w:eastAsia="Times New Roman"/>
                <w:sz w:val="17"/>
                <w:szCs w:val="17"/>
              </w:rPr>
              <w:t xml:space="preserve">0.445</w:t>
            </w:r>
          </w:p>
        </w:tc>
        <w:tc>
          <w:tcPr>
            <w:tcW w:w="577" w:type="dxa"/>
            <w:vAlign w:val="center"/>
          </w:tcPr>
          <w:p>
            <w:pPr>
              <w:spacing w:before="20" w:after="20"/>
              <w:jc w:val="center"/>
            </w:pPr>
            <w:r>
              <w:rPr>
                <w:rFonts w:ascii="Times New Roman" w:hAnsi="Times New Roman" w:cs="Times New Roman" w:eastAsia="Times New Roman"/>
                <w:sz w:val="17"/>
                <w:szCs w:val="17"/>
              </w:rPr>
              <w:t xml:space="preserve">0.102</w:t>
            </w:r>
          </w:p>
        </w:tc>
        <w:tc>
          <w:tcPr>
            <w:tcW w:w="577" w:type="dxa"/>
            <w:vAlign w:val="center"/>
          </w:tcPr>
          <w:p>
            <w:pPr>
              <w:spacing w:before="20" w:after="20"/>
              <w:jc w:val="center"/>
            </w:pPr>
            <w:r>
              <w:rPr>
                <w:rFonts w:ascii="Times New Roman" w:hAnsi="Times New Roman" w:cs="Times New Roman" w:eastAsia="Times New Roman"/>
                <w:sz w:val="17"/>
                <w:szCs w:val="17"/>
              </w:rPr>
              <w:t xml:space="preserve">4.37</w:t>
            </w:r>
          </w:p>
        </w:tc>
        <w:tc>
          <w:tcPr>
            <w:tcW w:w="734" w:type="dxa"/>
            <w:vAlign w:val="center"/>
          </w:tcPr>
          <w:p>
            <w:pPr>
              <w:spacing w:before="20" w:after="20"/>
              <w:jc w:val="center"/>
            </w:pPr>
            <w:r>
              <w:rPr>
                <w:rFonts w:ascii="Times New Roman" w:hAnsi="Times New Roman" w:cs="Times New Roman" w:eastAsia="Times New Roman"/>
                <w:sz w:val="17"/>
                <w:szCs w:val="17"/>
              </w:rPr>
              <w:t xml:space="preserve">&lt; 0.001</w:t>
            </w:r>
          </w:p>
        </w:tc>
        <w:tc>
          <w:tcPr>
            <w:tcW w:w="577" w:type="dxa"/>
            <w:vAlign w:val="center"/>
          </w:tcPr>
          <w:p>
            <w:pPr>
              <w:spacing w:before="20" w:after="20"/>
              <w:jc w:val="center"/>
            </w:pPr>
            <w:r>
              <w:rPr>
                <w:rFonts w:ascii="Times New Roman" w:hAnsi="Times New Roman" w:cs="Times New Roman" w:eastAsia="Times New Roman"/>
                <w:sz w:val="17"/>
                <w:szCs w:val="17"/>
              </w:rPr>
              <w:t xml:space="preserve">0.394</w:t>
            </w:r>
          </w:p>
        </w:tc>
        <w:tc>
          <w:tcPr>
            <w:tcW w:w="1363" w:type="dxa"/>
            <w:vAlign w:val="center"/>
          </w:tcPr>
          <w:p>
            <w:pPr>
              <w:spacing w:before="20" w:after="20"/>
              <w:jc w:val="center"/>
            </w:pPr>
            <w:r>
              <w:rPr>
                <w:rFonts w:ascii="Times New Roman" w:hAnsi="Times New Roman" w:cs="Times New Roman" w:eastAsia="Times New Roman"/>
                <w:sz w:val="17"/>
                <w:szCs w:val="17"/>
              </w:rPr>
              <w:t xml:space="preserve">[0.232, 0.544]</w:t>
            </w:r>
          </w:p>
        </w:tc>
        <w:tc>
          <w:tcPr>
            <w:tcW w:w="577" w:type="dxa"/>
            <w:vAlign w:val="center"/>
          </w:tcPr>
          <w:p>
            <w:pPr>
              <w:spacing w:before="20" w:after="20"/>
              <w:jc w:val="center"/>
            </w:pPr>
            <w:r>
              <w:rPr>
                <w:rFonts w:ascii="Times New Roman" w:hAnsi="Times New Roman" w:cs="Times New Roman" w:eastAsia="Times New Roman"/>
                <w:sz w:val="17"/>
                <w:szCs w:val="17"/>
              </w:rPr>
              <w:t xml:space="preserve">0.196</w:t>
            </w:r>
          </w:p>
        </w:tc>
        <w:tc>
          <w:tcPr>
            <w:tcW w:w="890" w:type="dxa"/>
            <w:vAlign w:val="center"/>
          </w:tcPr>
          <w:p>
            <w:pPr>
              <w:spacing w:before="20" w:after="20"/>
              <w:jc w:val="center"/>
            </w:pPr>
            <w:r>
              <w:rPr>
                <w:rFonts w:ascii="Times New Roman" w:hAnsi="Times New Roman" w:cs="Times New Roman" w:eastAsia="Times New Roman"/>
                <w:sz w:val="17"/>
                <w:szCs w:val="17"/>
              </w:rPr>
              <w:t xml:space="preserve">Supported</w:t>
            </w:r>
          </w:p>
        </w:tc>
      </w:tr>
      <w:tr>
        <w:trPr>
          <w:cantSplit/>
        </w:trPr>
        <w:tc>
          <w:tcPr>
            <w:tcW w:w="577" w:type="dxa"/>
            <w:vAlign w:val="center"/>
          </w:tcPr>
          <w:p>
            <w:pPr>
              <w:spacing w:before="20" w:after="20"/>
              <w:jc w:val="left"/>
            </w:pPr>
            <w:r>
              <w:rPr>
                <w:rFonts w:ascii="Times New Roman" w:hAnsi="Times New Roman" w:cs="Times New Roman" w:eastAsia="Times New Roman"/>
                <w:sz w:val="17"/>
                <w:szCs w:val="17"/>
              </w:rPr>
              <w:t xml:space="preserve">H6</w:t>
            </w:r>
          </w:p>
        </w:tc>
        <w:tc>
          <w:tcPr>
            <w:tcW w:w="2621" w:type="dxa"/>
            <w:vAlign w:val="center"/>
          </w:tcPr>
          <w:p>
            <w:pPr>
              <w:spacing w:before="20" w:after="20"/>
              <w:jc w:val="center"/>
            </w:pPr>
            <w:r>
              <w:rPr>
                <w:rFonts w:ascii="Times New Roman" w:hAnsi="Times New Roman" w:cs="Times New Roman" w:eastAsia="Times New Roman"/>
                <w:sz w:val="17"/>
                <w:szCs w:val="17"/>
              </w:rPr>
              <w:t xml:space="preserve">Financial management → Legal</w:t>
            </w:r>
          </w:p>
        </w:tc>
        <w:tc>
          <w:tcPr>
            <w:tcW w:w="577" w:type="dxa"/>
            <w:vAlign w:val="center"/>
          </w:tcPr>
          <w:p>
            <w:pPr>
              <w:spacing w:before="20" w:after="20"/>
              <w:jc w:val="center"/>
            </w:pPr>
            <w:r>
              <w:rPr>
                <w:rFonts w:ascii="Times New Roman" w:hAnsi="Times New Roman" w:cs="Times New Roman" w:eastAsia="Times New Roman"/>
                <w:sz w:val="17"/>
                <w:szCs w:val="17"/>
              </w:rPr>
              <w:t xml:space="preserve">0.217</w:t>
            </w:r>
          </w:p>
        </w:tc>
        <w:tc>
          <w:tcPr>
            <w:tcW w:w="577" w:type="dxa"/>
            <w:vAlign w:val="center"/>
          </w:tcPr>
          <w:p>
            <w:pPr>
              <w:spacing w:before="20" w:after="20"/>
              <w:jc w:val="center"/>
            </w:pPr>
            <w:r>
              <w:rPr>
                <w:rFonts w:ascii="Times New Roman" w:hAnsi="Times New Roman" w:cs="Times New Roman" w:eastAsia="Times New Roman"/>
                <w:sz w:val="17"/>
                <w:szCs w:val="17"/>
              </w:rPr>
              <w:t xml:space="preserve">0.097</w:t>
            </w:r>
          </w:p>
        </w:tc>
        <w:tc>
          <w:tcPr>
            <w:tcW w:w="577" w:type="dxa"/>
            <w:vAlign w:val="center"/>
          </w:tcPr>
          <w:p>
            <w:pPr>
              <w:spacing w:before="20" w:after="20"/>
              <w:jc w:val="center"/>
            </w:pPr>
            <w:r>
              <w:rPr>
                <w:rFonts w:ascii="Times New Roman" w:hAnsi="Times New Roman" w:cs="Times New Roman" w:eastAsia="Times New Roman"/>
                <w:sz w:val="17"/>
                <w:szCs w:val="17"/>
              </w:rPr>
              <w:t xml:space="preserve">2.24</w:t>
            </w:r>
          </w:p>
        </w:tc>
        <w:tc>
          <w:tcPr>
            <w:tcW w:w="734" w:type="dxa"/>
            <w:vAlign w:val="center"/>
          </w:tcPr>
          <w:p>
            <w:pPr>
              <w:spacing w:before="20" w:after="20"/>
              <w:jc w:val="center"/>
            </w:pPr>
            <w:r>
              <w:rPr>
                <w:rFonts w:ascii="Times New Roman" w:hAnsi="Times New Roman" w:cs="Times New Roman" w:eastAsia="Times New Roman"/>
                <w:sz w:val="17"/>
                <w:szCs w:val="17"/>
              </w:rPr>
              <w:t xml:space="preserve">0.025</w:t>
            </w:r>
          </w:p>
        </w:tc>
        <w:tc>
          <w:tcPr>
            <w:tcW w:w="577" w:type="dxa"/>
            <w:vAlign w:val="center"/>
          </w:tcPr>
          <w:p>
            <w:pPr>
              <w:spacing w:before="20" w:after="20"/>
              <w:jc w:val="center"/>
            </w:pPr>
            <w:r>
              <w:rPr>
                <w:rFonts w:ascii="Times New Roman" w:hAnsi="Times New Roman" w:cs="Times New Roman" w:eastAsia="Times New Roman"/>
                <w:sz w:val="17"/>
                <w:szCs w:val="17"/>
              </w:rPr>
              <w:t xml:space="preserve">0.207</w:t>
            </w:r>
          </w:p>
        </w:tc>
        <w:tc>
          <w:tcPr>
            <w:tcW w:w="1363" w:type="dxa"/>
            <w:vAlign w:val="center"/>
          </w:tcPr>
          <w:p>
            <w:pPr>
              <w:spacing w:before="20" w:after="20"/>
              <w:jc w:val="center"/>
            </w:pPr>
            <w:r>
              <w:rPr>
                <w:rFonts w:ascii="Times New Roman" w:hAnsi="Times New Roman" w:cs="Times New Roman" w:eastAsia="Times New Roman"/>
                <w:sz w:val="17"/>
                <w:szCs w:val="17"/>
              </w:rPr>
              <w:t xml:space="preserve">[0.024, 0.385]</w:t>
            </w:r>
          </w:p>
        </w:tc>
        <w:tc>
          <w:tcPr>
            <w:tcW w:w="577" w:type="dxa"/>
            <w:vAlign w:val="center"/>
          </w:tcPr>
          <w:p>
            <w:pPr>
              <w:spacing w:before="20" w:after="20"/>
              <w:jc w:val="center"/>
            </w:pPr>
            <w:r>
              <w:rPr>
                <w:rFonts w:ascii="Times New Roman" w:hAnsi="Times New Roman" w:cs="Times New Roman" w:eastAsia="Times New Roman"/>
                <w:sz w:val="17"/>
                <w:szCs w:val="17"/>
              </w:rPr>
              <w:t xml:space="preserve">0.044</w:t>
            </w:r>
          </w:p>
        </w:tc>
        <w:tc>
          <w:tcPr>
            <w:tcW w:w="890" w:type="dxa"/>
            <w:vAlign w:val="center"/>
          </w:tcPr>
          <w:p>
            <w:pPr>
              <w:spacing w:before="20" w:after="20"/>
              <w:jc w:val="center"/>
            </w:pPr>
            <w:r>
              <w:rPr>
                <w:rFonts w:ascii="Times New Roman" w:hAnsi="Times New Roman" w:cs="Times New Roman" w:eastAsia="Times New Roman"/>
                <w:sz w:val="17"/>
                <w:szCs w:val="17"/>
              </w:rPr>
              <w:t xml:space="preserve">Supported</w:t>
            </w:r>
          </w:p>
        </w:tc>
      </w:tr>
      <w:tr>
        <w:trPr>
          <w:cantSplit/>
        </w:trPr>
        <w:tc>
          <w:tcPr>
            <w:tcW w:w="577" w:type="dxa"/>
            <w:vAlign w:val="center"/>
          </w:tcPr>
          <w:p>
            <w:pPr>
              <w:spacing w:before="20" w:after="20"/>
              <w:jc w:val="left"/>
            </w:pPr>
            <w:r>
              <w:rPr>
                <w:rFonts w:ascii="Times New Roman" w:hAnsi="Times New Roman" w:cs="Times New Roman" w:eastAsia="Times New Roman"/>
                <w:sz w:val="17"/>
                <w:szCs w:val="17"/>
              </w:rPr>
              <w:t xml:space="preserve">H7</w:t>
            </w:r>
          </w:p>
        </w:tc>
        <w:tc>
          <w:tcPr>
            <w:tcW w:w="2621" w:type="dxa"/>
            <w:vAlign w:val="center"/>
          </w:tcPr>
          <w:p>
            <w:pPr>
              <w:spacing w:before="20" w:after="20"/>
              <w:jc w:val="center"/>
            </w:pPr>
            <w:r>
              <w:rPr>
                <w:rFonts w:ascii="Times New Roman" w:hAnsi="Times New Roman" w:cs="Times New Roman" w:eastAsia="Times New Roman"/>
                <w:sz w:val="17"/>
                <w:szCs w:val="17"/>
              </w:rPr>
              <w:t xml:space="preserve">Financial management → Professional</w:t>
            </w:r>
          </w:p>
        </w:tc>
        <w:tc>
          <w:tcPr>
            <w:tcW w:w="577" w:type="dxa"/>
            <w:vAlign w:val="center"/>
          </w:tcPr>
          <w:p>
            <w:pPr>
              <w:spacing w:before="20" w:after="20"/>
              <w:jc w:val="center"/>
            </w:pPr>
            <w:r>
              <w:rPr>
                <w:rFonts w:ascii="Times New Roman" w:hAnsi="Times New Roman" w:cs="Times New Roman" w:eastAsia="Times New Roman"/>
                <w:sz w:val="17"/>
                <w:szCs w:val="17"/>
              </w:rPr>
              <w:t xml:space="preserve">0.259</w:t>
            </w:r>
          </w:p>
        </w:tc>
        <w:tc>
          <w:tcPr>
            <w:tcW w:w="577" w:type="dxa"/>
            <w:vAlign w:val="center"/>
          </w:tcPr>
          <w:p>
            <w:pPr>
              <w:spacing w:before="20" w:after="20"/>
              <w:jc w:val="center"/>
            </w:pPr>
            <w:r>
              <w:rPr>
                <w:rFonts w:ascii="Times New Roman" w:hAnsi="Times New Roman" w:cs="Times New Roman" w:eastAsia="Times New Roman"/>
                <w:sz w:val="17"/>
                <w:szCs w:val="17"/>
              </w:rPr>
              <w:t xml:space="preserve">0.093</w:t>
            </w:r>
          </w:p>
        </w:tc>
        <w:tc>
          <w:tcPr>
            <w:tcW w:w="577" w:type="dxa"/>
            <w:vAlign w:val="center"/>
          </w:tcPr>
          <w:p>
            <w:pPr>
              <w:spacing w:before="20" w:after="20"/>
              <w:jc w:val="center"/>
            </w:pPr>
            <w:r>
              <w:rPr>
                <w:rFonts w:ascii="Times New Roman" w:hAnsi="Times New Roman" w:cs="Times New Roman" w:eastAsia="Times New Roman"/>
                <w:sz w:val="17"/>
                <w:szCs w:val="17"/>
              </w:rPr>
              <w:t xml:space="preserve">2.79</w:t>
            </w:r>
          </w:p>
        </w:tc>
        <w:tc>
          <w:tcPr>
            <w:tcW w:w="734" w:type="dxa"/>
            <w:vAlign w:val="center"/>
          </w:tcPr>
          <w:p>
            <w:pPr>
              <w:spacing w:before="20" w:after="20"/>
              <w:jc w:val="center"/>
            </w:pPr>
            <w:r>
              <w:rPr>
                <w:rFonts w:ascii="Times New Roman" w:hAnsi="Times New Roman" w:cs="Times New Roman" w:eastAsia="Times New Roman"/>
                <w:sz w:val="17"/>
                <w:szCs w:val="17"/>
              </w:rPr>
              <w:t xml:space="preserve">0.005</w:t>
            </w:r>
          </w:p>
        </w:tc>
        <w:tc>
          <w:tcPr>
            <w:tcW w:w="577" w:type="dxa"/>
            <w:vAlign w:val="center"/>
          </w:tcPr>
          <w:p>
            <w:pPr>
              <w:spacing w:before="20" w:after="20"/>
              <w:jc w:val="center"/>
            </w:pPr>
            <w:r>
              <w:rPr>
                <w:rFonts w:ascii="Times New Roman" w:hAnsi="Times New Roman" w:cs="Times New Roman" w:eastAsia="Times New Roman"/>
                <w:sz w:val="17"/>
                <w:szCs w:val="17"/>
              </w:rPr>
              <w:t xml:space="preserve">0.243</w:t>
            </w:r>
          </w:p>
        </w:tc>
        <w:tc>
          <w:tcPr>
            <w:tcW w:w="1363" w:type="dxa"/>
            <w:vAlign w:val="center"/>
          </w:tcPr>
          <w:p>
            <w:pPr>
              <w:spacing w:before="20" w:after="20"/>
              <w:jc w:val="center"/>
            </w:pPr>
            <w:r>
              <w:rPr>
                <w:rFonts w:ascii="Times New Roman" w:hAnsi="Times New Roman" w:cs="Times New Roman" w:eastAsia="Times New Roman"/>
                <w:sz w:val="17"/>
                <w:szCs w:val="17"/>
              </w:rPr>
              <w:t xml:space="preserve">[0.085, 0.399]</w:t>
            </w:r>
          </w:p>
        </w:tc>
        <w:tc>
          <w:tcPr>
            <w:tcW w:w="577" w:type="dxa"/>
            <w:vAlign w:val="center"/>
          </w:tcPr>
          <w:p>
            <w:pPr>
              <w:spacing w:before="20" w:after="20"/>
              <w:jc w:val="center"/>
            </w:pPr>
            <w:r>
              <w:rPr>
                <w:rFonts w:ascii="Times New Roman" w:hAnsi="Times New Roman" w:cs="Times New Roman" w:eastAsia="Times New Roman"/>
                <w:sz w:val="17"/>
                <w:szCs w:val="17"/>
              </w:rPr>
              <w:t xml:space="preserve">0.071</w:t>
            </w:r>
          </w:p>
        </w:tc>
        <w:tc>
          <w:tcPr>
            <w:tcW w:w="890" w:type="dxa"/>
            <w:vAlign w:val="center"/>
          </w:tcPr>
          <w:p>
            <w:pPr>
              <w:spacing w:before="20" w:after="20"/>
              <w:jc w:val="center"/>
            </w:pPr>
            <w:r>
              <w:rPr>
                <w:rFonts w:ascii="Times New Roman" w:hAnsi="Times New Roman" w:cs="Times New Roman" w:eastAsia="Times New Roman"/>
                <w:sz w:val="17"/>
                <w:szCs w:val="17"/>
              </w:rPr>
              <w:t xml:space="preserve">Supported</w:t>
            </w:r>
          </w:p>
        </w:tc>
      </w:tr>
      <w:tr>
        <w:trPr>
          <w:cantSplit/>
        </w:trPr>
        <w:tc>
          <w:tcPr>
            <w:tcW w:w="577" w:type="dxa"/>
            <w:vAlign w:val="center"/>
          </w:tcPr>
          <w:p>
            <w:pPr>
              <w:spacing w:before="20" w:after="20"/>
              <w:jc w:val="left"/>
            </w:pPr>
            <w:r>
              <w:rPr>
                <w:rFonts w:ascii="Times New Roman" w:hAnsi="Times New Roman" w:cs="Times New Roman" w:eastAsia="Times New Roman"/>
                <w:sz w:val="17"/>
                <w:szCs w:val="17"/>
              </w:rPr>
              <w:t xml:space="preserve">H8</w:t>
            </w:r>
          </w:p>
        </w:tc>
        <w:tc>
          <w:tcPr>
            <w:tcW w:w="2621" w:type="dxa"/>
            <w:vAlign w:val="center"/>
          </w:tcPr>
          <w:p>
            <w:pPr>
              <w:spacing w:before="20" w:after="20"/>
              <w:jc w:val="center"/>
            </w:pPr>
            <w:r>
              <w:rPr>
                <w:rFonts w:ascii="Times New Roman" w:hAnsi="Times New Roman" w:cs="Times New Roman" w:eastAsia="Times New Roman"/>
                <w:sz w:val="17"/>
                <w:szCs w:val="17"/>
              </w:rPr>
              <w:t xml:space="preserve">Financial management → Political</w:t>
            </w:r>
          </w:p>
        </w:tc>
        <w:tc>
          <w:tcPr>
            <w:tcW w:w="577" w:type="dxa"/>
            <w:vAlign w:val="center"/>
          </w:tcPr>
          <w:p>
            <w:pPr>
              <w:spacing w:before="20" w:after="20"/>
              <w:jc w:val="center"/>
            </w:pPr>
            <w:r>
              <w:rPr>
                <w:rFonts w:ascii="Times New Roman" w:hAnsi="Times New Roman" w:cs="Times New Roman" w:eastAsia="Times New Roman"/>
                <w:sz w:val="17"/>
                <w:szCs w:val="17"/>
              </w:rPr>
              <w:t xml:space="preserve">0.570</w:t>
            </w:r>
          </w:p>
        </w:tc>
        <w:tc>
          <w:tcPr>
            <w:tcW w:w="577" w:type="dxa"/>
            <w:vAlign w:val="center"/>
          </w:tcPr>
          <w:p>
            <w:pPr>
              <w:spacing w:before="20" w:after="20"/>
              <w:jc w:val="center"/>
            </w:pPr>
            <w:r>
              <w:rPr>
                <w:rFonts w:ascii="Times New Roman" w:hAnsi="Times New Roman" w:cs="Times New Roman" w:eastAsia="Times New Roman"/>
                <w:sz w:val="17"/>
                <w:szCs w:val="17"/>
              </w:rPr>
              <w:t xml:space="preserve">0.121</w:t>
            </w:r>
          </w:p>
        </w:tc>
        <w:tc>
          <w:tcPr>
            <w:tcW w:w="577" w:type="dxa"/>
            <w:vAlign w:val="center"/>
          </w:tcPr>
          <w:p>
            <w:pPr>
              <w:spacing w:before="20" w:after="20"/>
              <w:jc w:val="center"/>
            </w:pPr>
            <w:r>
              <w:rPr>
                <w:rFonts w:ascii="Times New Roman" w:hAnsi="Times New Roman" w:cs="Times New Roman" w:eastAsia="Times New Roman"/>
                <w:sz w:val="17"/>
                <w:szCs w:val="17"/>
              </w:rPr>
              <w:t xml:space="preserve">4.73</w:t>
            </w:r>
          </w:p>
        </w:tc>
        <w:tc>
          <w:tcPr>
            <w:tcW w:w="734" w:type="dxa"/>
            <w:vAlign w:val="center"/>
          </w:tcPr>
          <w:p>
            <w:pPr>
              <w:spacing w:before="20" w:after="20"/>
              <w:jc w:val="center"/>
            </w:pPr>
            <w:r>
              <w:rPr>
                <w:rFonts w:ascii="Times New Roman" w:hAnsi="Times New Roman" w:cs="Times New Roman" w:eastAsia="Times New Roman"/>
                <w:sz w:val="17"/>
                <w:szCs w:val="17"/>
              </w:rPr>
              <w:t xml:space="preserve">&lt; 0.001</w:t>
            </w:r>
          </w:p>
        </w:tc>
        <w:tc>
          <w:tcPr>
            <w:tcW w:w="577" w:type="dxa"/>
            <w:vAlign w:val="center"/>
          </w:tcPr>
          <w:p>
            <w:pPr>
              <w:spacing w:before="20" w:after="20"/>
              <w:jc w:val="center"/>
            </w:pPr>
            <w:r>
              <w:rPr>
                <w:rFonts w:ascii="Times New Roman" w:hAnsi="Times New Roman" w:cs="Times New Roman" w:eastAsia="Times New Roman"/>
                <w:sz w:val="17"/>
                <w:szCs w:val="17"/>
              </w:rPr>
              <w:t xml:space="preserve">0.457</w:t>
            </w:r>
          </w:p>
        </w:tc>
        <w:tc>
          <w:tcPr>
            <w:tcW w:w="1363" w:type="dxa"/>
            <w:vAlign w:val="center"/>
          </w:tcPr>
          <w:p>
            <w:pPr>
              <w:spacing w:before="20" w:after="20"/>
              <w:jc w:val="center"/>
            </w:pPr>
            <w:r>
              <w:rPr>
                <w:rFonts w:ascii="Times New Roman" w:hAnsi="Times New Roman" w:cs="Times New Roman" w:eastAsia="Times New Roman"/>
                <w:sz w:val="17"/>
                <w:szCs w:val="17"/>
              </w:rPr>
              <w:t xml:space="preserve">[0.294, 0.607]</w:t>
            </w:r>
          </w:p>
        </w:tc>
        <w:tc>
          <w:tcPr>
            <w:tcW w:w="577" w:type="dxa"/>
            <w:vAlign w:val="center"/>
          </w:tcPr>
          <w:p>
            <w:pPr>
              <w:spacing w:before="20" w:after="20"/>
              <w:jc w:val="center"/>
            </w:pPr>
            <w:r>
              <w:rPr>
                <w:rFonts w:ascii="Times New Roman" w:hAnsi="Times New Roman" w:cs="Times New Roman" w:eastAsia="Times New Roman"/>
                <w:sz w:val="17"/>
                <w:szCs w:val="17"/>
              </w:rPr>
              <w:t xml:space="preserve">0.273</w:t>
            </w:r>
          </w:p>
        </w:tc>
        <w:tc>
          <w:tcPr>
            <w:tcW w:w="890" w:type="dxa"/>
            <w:vAlign w:val="center"/>
          </w:tcPr>
          <w:p>
            <w:pPr>
              <w:spacing w:before="20" w:after="20"/>
              <w:jc w:val="center"/>
            </w:pPr>
            <w:r>
              <w:rPr>
                <w:rFonts w:ascii="Times New Roman" w:hAnsi="Times New Roman" w:cs="Times New Roman" w:eastAsia="Times New Roman"/>
                <w:sz w:val="17"/>
                <w:szCs w:val="17"/>
              </w:rPr>
              <w:t xml:space="preserve">Supported</w:t>
            </w:r>
          </w:p>
        </w:tc>
      </w:tr>
    </w:tbl>
    <w:p>
      <w:pPr>
        <w:spacing w:before="0" w:after="160" w:line="240" w:lineRule="auto"/>
        <w:jc w:val="both"/>
      </w:pPr>
      <w:r>
        <w:rPr>
          <w:rFonts w:ascii="Times New Roman" w:hAnsi="Times New Roman" w:cs="Times New Roman" w:eastAsia="Times New Roman"/>
          <w:sz w:val="18"/>
          <w:szCs w:val="18"/>
        </w:rPr>
        <w:t xml:space="preserve">Note. b = unstandardized and β = standardized coefficient; SE = standard error; CI = percentile bootstrap interval (2,000 resamples). R² (latent): organizational 0.407, legal 0.275, professional 0.374, political 0.426. f² thresholds: 0.02 small, 0.15 medium, 0.35 large (Cohen, 1988).</w:t>
      </w:r>
    </w:p>
    <w:p>
      <w:pPr>
        <w:keepNext/>
        <w:jc w:val="center"/>
      </w:pPr>
      <w:r>
        <w:drawing>
          <wp:inline xmlns:a="http://schemas.openxmlformats.org/drawingml/2006/main" xmlns:pic="http://schemas.openxmlformats.org/drawingml/2006/picture">
            <wp:extent cx="5760000" cy="4304196"/>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60000" cy="4304196"/>
                    </a:xfrm>
                    <a:prstGeom prst="rect"/>
                  </pic:spPr>
                </pic:pic>
              </a:graphicData>
            </a:graphic>
          </wp:inline>
        </w:drawing>
      </w:r>
    </w:p>
    <w:p>
      <w:pPr>
        <w:spacing w:before="0" w:after="200" w:line="240" w:lineRule="auto"/>
        <w:jc w:val="left"/>
      </w:pPr>
      <w:r>
        <w:rPr>
          <w:rFonts w:ascii="Times New Roman" w:hAnsi="Times New Roman" w:cs="Times New Roman" w:eastAsia="Times New Roman"/>
          <w:b/>
          <w:bCs/>
          <w:sz w:val="20"/>
          <w:szCs w:val="20"/>
        </w:rPr>
        <w:t xml:space="preserve">Fig. 1</w:t>
      </w:r>
      <w:r>
        <w:rPr>
          <w:rFonts w:ascii="Times New Roman" w:hAnsi="Times New Roman" w:cs="Times New Roman" w:eastAsia="Times New Roman"/>
          <w:sz w:val="20"/>
          <w:szCs w:val="20"/>
        </w:rPr>
        <w:t xml:space="preserve"> Estimated structural model: standardized path coefficients (β), correlation (r) between the exogenous constructs and R² of the endogenous constructs. Indicator loadings are reported in Online Resource 1 (Table S2 and Fig. S1). *** p &lt; 0.001, ** p &lt; 0.01, * p &lt; 0.05</w:t>
      </w:r>
    </w:p>
    <w:p>
      <w:pPr>
        <w:spacing w:before="0" w:after="120" w:line="360" w:lineRule="auto"/>
        <w:jc w:val="both"/>
      </w:pPr>
      <w:r>
        <w:rPr>
          <w:rFonts w:ascii="Times New Roman" w:hAnsi="Times New Roman" w:cs="Times New Roman" w:eastAsia="Times New Roman"/>
          <w:sz w:val="24"/>
          <w:szCs w:val="24"/>
        </w:rPr>
        <w:t xml:space="preserve">The effects of the two predictors on the same outcome were compared with bootstrap tests. Control activities had the larger standardized effect on professional and legal accountability, and financial management on political and organizational accountability. However, none of the four differences was statistically significant (Δβ = −0.167 to 0.209; p = 0.166–0.697), so the contrast between the two profiles is suggestive only.</w:t>
      </w:r>
    </w:p>
    <w:p>
      <w:pPr>
        <w:keepNext/>
        <w:spacing w:before="160" w:after="120" w:line="360" w:lineRule="auto"/>
        <w:jc w:val="left"/>
      </w:pPr>
      <w:r>
        <w:rPr>
          <w:rFonts w:ascii="Times New Roman" w:hAnsi="Times New Roman" w:cs="Times New Roman" w:eastAsia="Times New Roman"/>
          <w:b/>
          <w:bCs/>
          <w:i/>
          <w:iCs/>
          <w:sz w:val="24"/>
          <w:szCs w:val="24"/>
        </w:rPr>
        <w:t xml:space="preserve">4.4  Robustness</w:t>
      </w:r>
    </w:p>
    <w:p>
      <w:pPr>
        <w:spacing w:before="0" w:after="120" w:line="360" w:lineRule="auto"/>
        <w:jc w:val="both"/>
      </w:pPr>
      <w:r>
        <w:rPr>
          <w:rFonts w:ascii="Times New Roman" w:hAnsi="Times New Roman" w:cs="Times New Roman" w:eastAsia="Times New Roman"/>
          <w:sz w:val="24"/>
          <w:szCs w:val="24"/>
        </w:rPr>
        <w:t xml:space="preserve">Table 5 shows the paths under seven alternative specifications. Excluding the model with a retained method factor, coefficients differed from the base model by no more than 0.05, and the ordering of effects was unchanged. H1–H5 and H8 stayed significant in every specification for which significance was tested. H6 (financial management to legal accountability) was not significant when the disturbances of the accountability dimensions were allowed to correlate (β = 0.176) or when a method factor was controlled (β = 0.091), and H7 was not significant when the method factor was controlled (β = 0.178). Controlling the method factor lowered all coefficients by 0.03 to 0.12. Support for H6 and H7 should therefore be regarded as tentative.</w:t>
      </w:r>
    </w:p>
    <w:p>
      <w:pPr>
        <w:keepNext/>
        <w:spacing w:before="160" w:after="60" w:line="240" w:lineRule="auto"/>
        <w:jc w:val="left"/>
      </w:pPr>
      <w:r>
        <w:rPr>
          <w:rFonts w:ascii="Times New Roman" w:hAnsi="Times New Roman" w:cs="Times New Roman" w:eastAsia="Times New Roman"/>
          <w:b/>
          <w:bCs/>
          <w:sz w:val="20"/>
          <w:szCs w:val="20"/>
        </w:rPr>
        <w:t xml:space="preserve">Table 5</w:t>
      </w:r>
      <w:r>
        <w:rPr>
          <w:rFonts w:ascii="Times New Roman" w:hAnsi="Times New Roman" w:cs="Times New Roman" w:eastAsia="Times New Roman"/>
          <w:sz w:val="20"/>
          <w:szCs w:val="20"/>
        </w:rPr>
        <w:t xml:space="preserve">  Standardized path coefficients (β) under alternative specifications</w:t>
      </w:r>
    </w:p>
    <w:tbl>
      <w:tblPr>
        <w:tblW w:w="9070" w:type="dxa"/>
        <w:tblBorders>
          <w:top w:val="single" w:sz="8" w:space="0" w:color="000000"/>
          <w:bottom w:val="single" w:sz="8" w:space="0" w:color="000000"/>
        </w:tblBorders>
        <w:tblLayout w:type="fixed"/>
        <w:tblCellMar>
          <w:left w:w="50" w:type="dxa"/>
          <w:right w:w="50" w:type="dxa"/>
        </w:tblCellMar>
      </w:tblPr>
      <w:tblGrid>
        <w:gridCol w:w="1296"/>
        <w:gridCol w:w="933"/>
        <w:gridCol w:w="933"/>
        <w:gridCol w:w="933"/>
        <w:gridCol w:w="985"/>
        <w:gridCol w:w="985"/>
        <w:gridCol w:w="1088"/>
        <w:gridCol w:w="985"/>
        <w:gridCol w:w="932"/>
      </w:tblGrid>
      <w:tr>
        <w:trPr>
          <w:cantSplit/>
          <w:tblHeader/>
        </w:trPr>
        <w:tc>
          <w:tcPr>
            <w:tcW w:w="1296" w:type="dxa"/>
            <w:tcBorders>
              <w:bottom w:val="single" w:sz="4" w:space="0" w:color="000000"/>
            </w:tcBorders>
            <w:vAlign w:val="center"/>
          </w:tcPr>
          <w:p>
            <w:pPr>
              <w:spacing w:before="20" w:after="20"/>
              <w:jc w:val="left"/>
            </w:pPr>
            <w:r>
              <w:rPr>
                <w:rFonts w:ascii="Times New Roman" w:hAnsi="Times New Roman" w:cs="Times New Roman" w:eastAsia="Times New Roman"/>
                <w:b/>
                <w:bCs/>
                <w:sz w:val="17"/>
                <w:szCs w:val="17"/>
              </w:rPr>
              <w:t xml:space="preserve">Path</w:t>
            </w:r>
          </w:p>
        </w:tc>
        <w:tc>
          <w:tcPr>
            <w:tcW w:w="93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Base (ML)</w:t>
            </w:r>
          </w:p>
        </w:tc>
        <w:tc>
          <w:tcPr>
            <w:tcW w:w="93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DWLS</w:t>
            </w:r>
          </w:p>
        </w:tc>
        <w:tc>
          <w:tcPr>
            <w:tcW w:w="933"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Ordinal</w:t>
            </w:r>
            <w:r>
              <w:rPr>
                <w:rFonts w:ascii="Times New Roman" w:hAnsi="Times New Roman" w:cs="Times New Roman" w:eastAsia="Times New Roman"/>
                <w:b/>
                <w:bCs/>
                <w:sz w:val="17"/>
                <w:szCs w:val="17"/>
                <w:vertAlign w:val="superscript"/>
              </w:rPr>
              <w:t xml:space="preserve">a</w:t>
            </w:r>
          </w:p>
        </w:tc>
        <w:tc>
          <w:tcPr>
            <w:tcW w:w="98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Outliers removed</w:t>
            </w:r>
          </w:p>
        </w:tc>
        <w:tc>
          <w:tcPr>
            <w:tcW w:w="98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Correlated errors</w:t>
            </w:r>
          </w:p>
        </w:tc>
        <w:tc>
          <w:tcPr>
            <w:tcW w:w="1088"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Correlated disturbances</w:t>
            </w:r>
          </w:p>
        </w:tc>
        <w:tc>
          <w:tcPr>
            <w:tcW w:w="985"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Method factor</w:t>
            </w:r>
          </w:p>
        </w:tc>
        <w:tc>
          <w:tcPr>
            <w:tcW w:w="932" w:type="dxa"/>
            <w:tcBorders>
              <w:bottom w:val="single" w:sz="4" w:space="0" w:color="000000"/>
            </w:tcBorders>
            <w:vAlign w:val="center"/>
          </w:tcPr>
          <w:p>
            <w:pPr>
              <w:spacing w:before="20" w:after="20"/>
              <w:jc w:val="center"/>
            </w:pPr>
            <w:r>
              <w:rPr>
                <w:rFonts w:ascii="Times New Roman" w:hAnsi="Times New Roman" w:cs="Times New Roman" w:eastAsia="Times New Roman"/>
                <w:b/>
                <w:bCs/>
                <w:sz w:val="17"/>
                <w:szCs w:val="17"/>
              </w:rPr>
              <w:t xml:space="preserve">Controls</w:t>
            </w:r>
          </w:p>
        </w:tc>
      </w:tr>
      <w:tr>
        <w:trPr>
          <w:cantSplit/>
        </w:trPr>
        <w:tc>
          <w:tcPr>
            <w:tcW w:w="1296" w:type="dxa"/>
            <w:vAlign w:val="center"/>
          </w:tcPr>
          <w:p>
            <w:pPr>
              <w:spacing w:before="20" w:after="20"/>
              <w:jc w:val="left"/>
            </w:pPr>
            <w:r>
              <w:rPr>
                <w:rFonts w:ascii="Times New Roman" w:hAnsi="Times New Roman" w:cs="Times New Roman" w:eastAsia="Times New Roman"/>
                <w:sz w:val="17"/>
                <w:szCs w:val="17"/>
              </w:rPr>
              <w:t xml:space="preserve">H1 CA → ORG</w:t>
            </w:r>
          </w:p>
        </w:tc>
        <w:tc>
          <w:tcPr>
            <w:tcW w:w="933" w:type="dxa"/>
            <w:vAlign w:val="center"/>
          </w:tcPr>
          <w:p>
            <w:pPr>
              <w:spacing w:before="20" w:after="20"/>
              <w:jc w:val="center"/>
            </w:pPr>
            <w:r>
              <w:rPr>
                <w:rFonts w:ascii="Times New Roman" w:hAnsi="Times New Roman" w:cs="Times New Roman" w:eastAsia="Times New Roman"/>
                <w:sz w:val="17"/>
                <w:szCs w:val="17"/>
              </w:rPr>
              <w:t xml:space="preserve">0.342***</w:t>
            </w:r>
          </w:p>
        </w:tc>
        <w:tc>
          <w:tcPr>
            <w:tcW w:w="933" w:type="dxa"/>
            <w:vAlign w:val="center"/>
          </w:tcPr>
          <w:p>
            <w:pPr>
              <w:spacing w:before="20" w:after="20"/>
              <w:jc w:val="center"/>
            </w:pPr>
            <w:r>
              <w:rPr>
                <w:rFonts w:ascii="Times New Roman" w:hAnsi="Times New Roman" w:cs="Times New Roman" w:eastAsia="Times New Roman"/>
                <w:sz w:val="17"/>
                <w:szCs w:val="17"/>
              </w:rPr>
              <w:t xml:space="preserve">0.339***</w:t>
            </w:r>
          </w:p>
        </w:tc>
        <w:tc>
          <w:tcPr>
            <w:tcW w:w="933" w:type="dxa"/>
            <w:vAlign w:val="center"/>
          </w:tcPr>
          <w:p>
            <w:pPr>
              <w:spacing w:before="20" w:after="20"/>
              <w:jc w:val="center"/>
            </w:pPr>
            <w:r>
              <w:rPr>
                <w:rFonts w:ascii="Times New Roman" w:hAnsi="Times New Roman" w:cs="Times New Roman" w:eastAsia="Times New Roman"/>
                <w:sz w:val="17"/>
                <w:szCs w:val="17"/>
              </w:rPr>
              <w:t xml:space="preserve">0.318</w:t>
            </w:r>
          </w:p>
        </w:tc>
        <w:tc>
          <w:tcPr>
            <w:tcW w:w="985" w:type="dxa"/>
            <w:vAlign w:val="center"/>
          </w:tcPr>
          <w:p>
            <w:pPr>
              <w:spacing w:before="20" w:after="20"/>
              <w:jc w:val="center"/>
            </w:pPr>
            <w:r>
              <w:rPr>
                <w:rFonts w:ascii="Times New Roman" w:hAnsi="Times New Roman" w:cs="Times New Roman" w:eastAsia="Times New Roman"/>
                <w:sz w:val="17"/>
                <w:szCs w:val="17"/>
              </w:rPr>
              <w:t xml:space="preserve">0.314***</w:t>
            </w:r>
          </w:p>
        </w:tc>
        <w:tc>
          <w:tcPr>
            <w:tcW w:w="985" w:type="dxa"/>
            <w:vAlign w:val="center"/>
          </w:tcPr>
          <w:p>
            <w:pPr>
              <w:spacing w:before="20" w:after="20"/>
              <w:jc w:val="center"/>
            </w:pPr>
            <w:r>
              <w:rPr>
                <w:rFonts w:ascii="Times New Roman" w:hAnsi="Times New Roman" w:cs="Times New Roman" w:eastAsia="Times New Roman"/>
                <w:sz w:val="17"/>
                <w:szCs w:val="17"/>
              </w:rPr>
              <w:t xml:space="preserve">0.342***</w:t>
            </w:r>
          </w:p>
        </w:tc>
        <w:tc>
          <w:tcPr>
            <w:tcW w:w="1088" w:type="dxa"/>
            <w:vAlign w:val="center"/>
          </w:tcPr>
          <w:p>
            <w:pPr>
              <w:spacing w:before="20" w:after="20"/>
              <w:jc w:val="center"/>
            </w:pPr>
            <w:r>
              <w:rPr>
                <w:rFonts w:ascii="Times New Roman" w:hAnsi="Times New Roman" w:cs="Times New Roman" w:eastAsia="Times New Roman"/>
                <w:sz w:val="17"/>
                <w:szCs w:val="17"/>
              </w:rPr>
              <w:t xml:space="preserve">0.341***</w:t>
            </w:r>
          </w:p>
        </w:tc>
        <w:tc>
          <w:tcPr>
            <w:tcW w:w="985" w:type="dxa"/>
            <w:vAlign w:val="center"/>
          </w:tcPr>
          <w:p>
            <w:pPr>
              <w:spacing w:before="20" w:after="20"/>
              <w:jc w:val="center"/>
            </w:pPr>
            <w:r>
              <w:rPr>
                <w:rFonts w:ascii="Times New Roman" w:hAnsi="Times New Roman" w:cs="Times New Roman" w:eastAsia="Times New Roman"/>
                <w:sz w:val="17"/>
                <w:szCs w:val="17"/>
              </w:rPr>
              <w:t xml:space="preserve">0.311***</w:t>
            </w:r>
          </w:p>
        </w:tc>
        <w:tc>
          <w:tcPr>
            <w:tcW w:w="932" w:type="dxa"/>
            <w:vAlign w:val="center"/>
          </w:tcPr>
          <w:p>
            <w:pPr>
              <w:spacing w:before="20" w:after="20"/>
              <w:jc w:val="center"/>
            </w:pPr>
            <w:r>
              <w:rPr>
                <w:rFonts w:ascii="Times New Roman" w:hAnsi="Times New Roman" w:cs="Times New Roman" w:eastAsia="Times New Roman"/>
                <w:sz w:val="17"/>
                <w:szCs w:val="17"/>
              </w:rPr>
              <w:t xml:space="preserve">0.346***</w:t>
            </w:r>
          </w:p>
        </w:tc>
      </w:tr>
      <w:tr>
        <w:trPr>
          <w:cantSplit/>
        </w:trPr>
        <w:tc>
          <w:tcPr>
            <w:tcW w:w="1296" w:type="dxa"/>
            <w:vAlign w:val="center"/>
          </w:tcPr>
          <w:p>
            <w:pPr>
              <w:spacing w:before="20" w:after="20"/>
              <w:jc w:val="left"/>
            </w:pPr>
            <w:r>
              <w:rPr>
                <w:rFonts w:ascii="Times New Roman" w:hAnsi="Times New Roman" w:cs="Times New Roman" w:eastAsia="Times New Roman"/>
                <w:sz w:val="17"/>
                <w:szCs w:val="17"/>
              </w:rPr>
              <w:t xml:space="preserve">H2 CA → LEG</w:t>
            </w:r>
          </w:p>
        </w:tc>
        <w:tc>
          <w:tcPr>
            <w:tcW w:w="933" w:type="dxa"/>
            <w:vAlign w:val="center"/>
          </w:tcPr>
          <w:p>
            <w:pPr>
              <w:spacing w:before="20" w:after="20"/>
              <w:jc w:val="center"/>
            </w:pPr>
            <w:r>
              <w:rPr>
                <w:rFonts w:ascii="Times New Roman" w:hAnsi="Times New Roman" w:cs="Times New Roman" w:eastAsia="Times New Roman"/>
                <w:sz w:val="17"/>
                <w:szCs w:val="17"/>
              </w:rPr>
              <w:t xml:space="preserve">0.390***</w:t>
            </w:r>
          </w:p>
        </w:tc>
        <w:tc>
          <w:tcPr>
            <w:tcW w:w="933" w:type="dxa"/>
            <w:vAlign w:val="center"/>
          </w:tcPr>
          <w:p>
            <w:pPr>
              <w:spacing w:before="20" w:after="20"/>
              <w:jc w:val="center"/>
            </w:pPr>
            <w:r>
              <w:rPr>
                <w:rFonts w:ascii="Times New Roman" w:hAnsi="Times New Roman" w:cs="Times New Roman" w:eastAsia="Times New Roman"/>
                <w:sz w:val="17"/>
                <w:szCs w:val="17"/>
              </w:rPr>
              <w:t xml:space="preserve">0.398***</w:t>
            </w:r>
          </w:p>
        </w:tc>
        <w:tc>
          <w:tcPr>
            <w:tcW w:w="933" w:type="dxa"/>
            <w:vAlign w:val="center"/>
          </w:tcPr>
          <w:p>
            <w:pPr>
              <w:spacing w:before="20" w:after="20"/>
              <w:jc w:val="center"/>
            </w:pPr>
            <w:r>
              <w:rPr>
                <w:rFonts w:ascii="Times New Roman" w:hAnsi="Times New Roman" w:cs="Times New Roman" w:eastAsia="Times New Roman"/>
                <w:sz w:val="17"/>
                <w:szCs w:val="17"/>
              </w:rPr>
              <w:t xml:space="preserve">0.379</w:t>
            </w:r>
          </w:p>
        </w:tc>
        <w:tc>
          <w:tcPr>
            <w:tcW w:w="985" w:type="dxa"/>
            <w:vAlign w:val="center"/>
          </w:tcPr>
          <w:p>
            <w:pPr>
              <w:spacing w:before="20" w:after="20"/>
              <w:jc w:val="center"/>
            </w:pPr>
            <w:r>
              <w:rPr>
                <w:rFonts w:ascii="Times New Roman" w:hAnsi="Times New Roman" w:cs="Times New Roman" w:eastAsia="Times New Roman"/>
                <w:sz w:val="17"/>
                <w:szCs w:val="17"/>
              </w:rPr>
              <w:t xml:space="preserve">0.397***</w:t>
            </w:r>
          </w:p>
        </w:tc>
        <w:tc>
          <w:tcPr>
            <w:tcW w:w="985" w:type="dxa"/>
            <w:vAlign w:val="center"/>
          </w:tcPr>
          <w:p>
            <w:pPr>
              <w:spacing w:before="20" w:after="20"/>
              <w:jc w:val="center"/>
            </w:pPr>
            <w:r>
              <w:rPr>
                <w:rFonts w:ascii="Times New Roman" w:hAnsi="Times New Roman" w:cs="Times New Roman" w:eastAsia="Times New Roman"/>
                <w:sz w:val="17"/>
                <w:szCs w:val="17"/>
              </w:rPr>
              <w:t xml:space="preserve">0.392***</w:t>
            </w:r>
          </w:p>
        </w:tc>
        <w:tc>
          <w:tcPr>
            <w:tcW w:w="1088" w:type="dxa"/>
            <w:vAlign w:val="center"/>
          </w:tcPr>
          <w:p>
            <w:pPr>
              <w:spacing w:before="20" w:after="20"/>
              <w:jc w:val="center"/>
            </w:pPr>
            <w:r>
              <w:rPr>
                <w:rFonts w:ascii="Times New Roman" w:hAnsi="Times New Roman" w:cs="Times New Roman" w:eastAsia="Times New Roman"/>
                <w:sz w:val="17"/>
                <w:szCs w:val="17"/>
              </w:rPr>
              <w:t xml:space="preserve">0.399***</w:t>
            </w:r>
          </w:p>
        </w:tc>
        <w:tc>
          <w:tcPr>
            <w:tcW w:w="985" w:type="dxa"/>
            <w:vAlign w:val="center"/>
          </w:tcPr>
          <w:p>
            <w:pPr>
              <w:spacing w:before="20" w:after="20"/>
              <w:jc w:val="center"/>
            </w:pPr>
            <w:r>
              <w:rPr>
                <w:rFonts w:ascii="Times New Roman" w:hAnsi="Times New Roman" w:cs="Times New Roman" w:eastAsia="Times New Roman"/>
                <w:sz w:val="17"/>
                <w:szCs w:val="17"/>
              </w:rPr>
              <w:t xml:space="preserve">0.308**</w:t>
            </w:r>
          </w:p>
        </w:tc>
        <w:tc>
          <w:tcPr>
            <w:tcW w:w="932" w:type="dxa"/>
            <w:vAlign w:val="center"/>
          </w:tcPr>
          <w:p>
            <w:pPr>
              <w:spacing w:before="20" w:after="20"/>
              <w:jc w:val="center"/>
            </w:pPr>
            <w:r>
              <w:rPr>
                <w:rFonts w:ascii="Times New Roman" w:hAnsi="Times New Roman" w:cs="Times New Roman" w:eastAsia="Times New Roman"/>
                <w:sz w:val="17"/>
                <w:szCs w:val="17"/>
              </w:rPr>
              <w:t xml:space="preserve">0.377***</w:t>
            </w:r>
          </w:p>
        </w:tc>
      </w:tr>
      <w:tr>
        <w:trPr>
          <w:cantSplit/>
        </w:trPr>
        <w:tc>
          <w:tcPr>
            <w:tcW w:w="1296" w:type="dxa"/>
            <w:vAlign w:val="center"/>
          </w:tcPr>
          <w:p>
            <w:pPr>
              <w:spacing w:before="20" w:after="20"/>
              <w:jc w:val="left"/>
            </w:pPr>
            <w:r>
              <w:rPr>
                <w:rFonts w:ascii="Times New Roman" w:hAnsi="Times New Roman" w:cs="Times New Roman" w:eastAsia="Times New Roman"/>
                <w:sz w:val="17"/>
                <w:szCs w:val="17"/>
              </w:rPr>
              <w:t xml:space="preserve">H3 CA → PRO</w:t>
            </w:r>
          </w:p>
        </w:tc>
        <w:tc>
          <w:tcPr>
            <w:tcW w:w="933" w:type="dxa"/>
            <w:vAlign w:val="center"/>
          </w:tcPr>
          <w:p>
            <w:pPr>
              <w:spacing w:before="20" w:after="20"/>
              <w:jc w:val="center"/>
            </w:pPr>
            <w:r>
              <w:rPr>
                <w:rFonts w:ascii="Times New Roman" w:hAnsi="Times New Roman" w:cs="Times New Roman" w:eastAsia="Times New Roman"/>
                <w:sz w:val="17"/>
                <w:szCs w:val="17"/>
              </w:rPr>
              <w:t xml:space="preserve">0.452***</w:t>
            </w:r>
          </w:p>
        </w:tc>
        <w:tc>
          <w:tcPr>
            <w:tcW w:w="933" w:type="dxa"/>
            <w:vAlign w:val="center"/>
          </w:tcPr>
          <w:p>
            <w:pPr>
              <w:spacing w:before="20" w:after="20"/>
              <w:jc w:val="center"/>
            </w:pPr>
            <w:r>
              <w:rPr>
                <w:rFonts w:ascii="Times New Roman" w:hAnsi="Times New Roman" w:cs="Times New Roman" w:eastAsia="Times New Roman"/>
                <w:sz w:val="17"/>
                <w:szCs w:val="17"/>
              </w:rPr>
              <w:t xml:space="preserve">0.452***</w:t>
            </w:r>
          </w:p>
        </w:tc>
        <w:tc>
          <w:tcPr>
            <w:tcW w:w="933" w:type="dxa"/>
            <w:vAlign w:val="center"/>
          </w:tcPr>
          <w:p>
            <w:pPr>
              <w:spacing w:before="20" w:after="20"/>
              <w:jc w:val="center"/>
            </w:pPr>
            <w:r>
              <w:rPr>
                <w:rFonts w:ascii="Times New Roman" w:hAnsi="Times New Roman" w:cs="Times New Roman" w:eastAsia="Times New Roman"/>
                <w:sz w:val="17"/>
                <w:szCs w:val="17"/>
              </w:rPr>
              <w:t xml:space="preserve">0.464</w:t>
            </w:r>
          </w:p>
        </w:tc>
        <w:tc>
          <w:tcPr>
            <w:tcW w:w="985" w:type="dxa"/>
            <w:vAlign w:val="center"/>
          </w:tcPr>
          <w:p>
            <w:pPr>
              <w:spacing w:before="20" w:after="20"/>
              <w:jc w:val="center"/>
            </w:pPr>
            <w:r>
              <w:rPr>
                <w:rFonts w:ascii="Times New Roman" w:hAnsi="Times New Roman" w:cs="Times New Roman" w:eastAsia="Times New Roman"/>
                <w:sz w:val="17"/>
                <w:szCs w:val="17"/>
              </w:rPr>
              <w:t xml:space="preserve">0.465***</w:t>
            </w:r>
          </w:p>
        </w:tc>
        <w:tc>
          <w:tcPr>
            <w:tcW w:w="985" w:type="dxa"/>
            <w:vAlign w:val="center"/>
          </w:tcPr>
          <w:p>
            <w:pPr>
              <w:spacing w:before="20" w:after="20"/>
              <w:jc w:val="center"/>
            </w:pPr>
            <w:r>
              <w:rPr>
                <w:rFonts w:ascii="Times New Roman" w:hAnsi="Times New Roman" w:cs="Times New Roman" w:eastAsia="Times New Roman"/>
                <w:sz w:val="17"/>
                <w:szCs w:val="17"/>
              </w:rPr>
              <w:t xml:space="preserve">0.449***</w:t>
            </w:r>
          </w:p>
        </w:tc>
        <w:tc>
          <w:tcPr>
            <w:tcW w:w="1088" w:type="dxa"/>
            <w:vAlign w:val="center"/>
          </w:tcPr>
          <w:p>
            <w:pPr>
              <w:spacing w:before="20" w:after="20"/>
              <w:jc w:val="center"/>
            </w:pPr>
            <w:r>
              <w:rPr>
                <w:rFonts w:ascii="Times New Roman" w:hAnsi="Times New Roman" w:cs="Times New Roman" w:eastAsia="Times New Roman"/>
                <w:sz w:val="17"/>
                <w:szCs w:val="17"/>
              </w:rPr>
              <w:t xml:space="preserve">0.452***</w:t>
            </w:r>
          </w:p>
        </w:tc>
        <w:tc>
          <w:tcPr>
            <w:tcW w:w="985" w:type="dxa"/>
            <w:vAlign w:val="center"/>
          </w:tcPr>
          <w:p>
            <w:pPr>
              <w:spacing w:before="20" w:after="20"/>
              <w:jc w:val="center"/>
            </w:pPr>
            <w:r>
              <w:rPr>
                <w:rFonts w:ascii="Times New Roman" w:hAnsi="Times New Roman" w:cs="Times New Roman" w:eastAsia="Times New Roman"/>
                <w:sz w:val="17"/>
                <w:szCs w:val="17"/>
              </w:rPr>
              <w:t xml:space="preserve">0.395***</w:t>
            </w:r>
          </w:p>
        </w:tc>
        <w:tc>
          <w:tcPr>
            <w:tcW w:w="932" w:type="dxa"/>
            <w:vAlign w:val="center"/>
          </w:tcPr>
          <w:p>
            <w:pPr>
              <w:spacing w:before="20" w:after="20"/>
              <w:jc w:val="center"/>
            </w:pPr>
            <w:r>
              <w:rPr>
                <w:rFonts w:ascii="Times New Roman" w:hAnsi="Times New Roman" w:cs="Times New Roman" w:eastAsia="Times New Roman"/>
                <w:sz w:val="17"/>
                <w:szCs w:val="17"/>
              </w:rPr>
              <w:t xml:space="preserve">0.461***</w:t>
            </w:r>
          </w:p>
        </w:tc>
      </w:tr>
      <w:tr>
        <w:trPr>
          <w:cantSplit/>
        </w:trPr>
        <w:tc>
          <w:tcPr>
            <w:tcW w:w="1296" w:type="dxa"/>
            <w:vAlign w:val="center"/>
          </w:tcPr>
          <w:p>
            <w:pPr>
              <w:spacing w:before="20" w:after="20"/>
              <w:jc w:val="left"/>
            </w:pPr>
            <w:r>
              <w:rPr>
                <w:rFonts w:ascii="Times New Roman" w:hAnsi="Times New Roman" w:cs="Times New Roman" w:eastAsia="Times New Roman"/>
                <w:sz w:val="17"/>
                <w:szCs w:val="17"/>
              </w:rPr>
              <w:t xml:space="preserve">H4 CA → POL</w:t>
            </w:r>
          </w:p>
        </w:tc>
        <w:tc>
          <w:tcPr>
            <w:tcW w:w="933" w:type="dxa"/>
            <w:vAlign w:val="center"/>
          </w:tcPr>
          <w:p>
            <w:pPr>
              <w:spacing w:before="20" w:after="20"/>
              <w:jc w:val="center"/>
            </w:pPr>
            <w:r>
              <w:rPr>
                <w:rFonts w:ascii="Times New Roman" w:hAnsi="Times New Roman" w:cs="Times New Roman" w:eastAsia="Times New Roman"/>
                <w:sz w:val="17"/>
                <w:szCs w:val="17"/>
              </w:rPr>
              <w:t xml:space="preserve">0.290***</w:t>
            </w:r>
          </w:p>
        </w:tc>
        <w:tc>
          <w:tcPr>
            <w:tcW w:w="933" w:type="dxa"/>
            <w:vAlign w:val="center"/>
          </w:tcPr>
          <w:p>
            <w:pPr>
              <w:spacing w:before="20" w:after="20"/>
              <w:jc w:val="center"/>
            </w:pPr>
            <w:r>
              <w:rPr>
                <w:rFonts w:ascii="Times New Roman" w:hAnsi="Times New Roman" w:cs="Times New Roman" w:eastAsia="Times New Roman"/>
                <w:sz w:val="17"/>
                <w:szCs w:val="17"/>
              </w:rPr>
              <w:t xml:space="preserve">0.303***</w:t>
            </w:r>
          </w:p>
        </w:tc>
        <w:tc>
          <w:tcPr>
            <w:tcW w:w="933" w:type="dxa"/>
            <w:vAlign w:val="center"/>
          </w:tcPr>
          <w:p>
            <w:pPr>
              <w:spacing w:before="20" w:after="20"/>
              <w:jc w:val="center"/>
            </w:pPr>
            <w:r>
              <w:rPr>
                <w:rFonts w:ascii="Times New Roman" w:hAnsi="Times New Roman" w:cs="Times New Roman" w:eastAsia="Times New Roman"/>
                <w:sz w:val="17"/>
                <w:szCs w:val="17"/>
              </w:rPr>
              <w:t xml:space="preserve">0.296</w:t>
            </w:r>
          </w:p>
        </w:tc>
        <w:tc>
          <w:tcPr>
            <w:tcW w:w="985" w:type="dxa"/>
            <w:vAlign w:val="center"/>
          </w:tcPr>
          <w:p>
            <w:pPr>
              <w:spacing w:before="20" w:after="20"/>
              <w:jc w:val="center"/>
            </w:pPr>
            <w:r>
              <w:rPr>
                <w:rFonts w:ascii="Times New Roman" w:hAnsi="Times New Roman" w:cs="Times New Roman" w:eastAsia="Times New Roman"/>
                <w:sz w:val="17"/>
                <w:szCs w:val="17"/>
              </w:rPr>
              <w:t xml:space="preserve">0.293**</w:t>
            </w:r>
          </w:p>
        </w:tc>
        <w:tc>
          <w:tcPr>
            <w:tcW w:w="985" w:type="dxa"/>
            <w:vAlign w:val="center"/>
          </w:tcPr>
          <w:p>
            <w:pPr>
              <w:spacing w:before="20" w:after="20"/>
              <w:jc w:val="center"/>
            </w:pPr>
            <w:r>
              <w:rPr>
                <w:rFonts w:ascii="Times New Roman" w:hAnsi="Times New Roman" w:cs="Times New Roman" w:eastAsia="Times New Roman"/>
                <w:sz w:val="17"/>
                <w:szCs w:val="17"/>
              </w:rPr>
              <w:t xml:space="preserve">0.289***</w:t>
            </w:r>
          </w:p>
        </w:tc>
        <w:tc>
          <w:tcPr>
            <w:tcW w:w="1088" w:type="dxa"/>
            <w:vAlign w:val="center"/>
          </w:tcPr>
          <w:p>
            <w:pPr>
              <w:spacing w:before="20" w:after="20"/>
              <w:jc w:val="center"/>
            </w:pPr>
            <w:r>
              <w:rPr>
                <w:rFonts w:ascii="Times New Roman" w:hAnsi="Times New Roman" w:cs="Times New Roman" w:eastAsia="Times New Roman"/>
                <w:sz w:val="17"/>
                <w:szCs w:val="17"/>
              </w:rPr>
              <w:t xml:space="preserve">0.289***</w:t>
            </w:r>
          </w:p>
        </w:tc>
        <w:tc>
          <w:tcPr>
            <w:tcW w:w="985" w:type="dxa"/>
            <w:vAlign w:val="center"/>
          </w:tcPr>
          <w:p>
            <w:pPr>
              <w:spacing w:before="20" w:after="20"/>
              <w:jc w:val="center"/>
            </w:pPr>
            <w:r>
              <w:rPr>
                <w:rFonts w:ascii="Times New Roman" w:hAnsi="Times New Roman" w:cs="Times New Roman" w:eastAsia="Times New Roman"/>
                <w:sz w:val="17"/>
                <w:szCs w:val="17"/>
              </w:rPr>
              <w:t xml:space="preserve">0.252**</w:t>
            </w:r>
          </w:p>
        </w:tc>
        <w:tc>
          <w:tcPr>
            <w:tcW w:w="932" w:type="dxa"/>
            <w:vAlign w:val="center"/>
          </w:tcPr>
          <w:p>
            <w:pPr>
              <w:spacing w:before="20" w:after="20"/>
              <w:jc w:val="center"/>
            </w:pPr>
            <w:r>
              <w:rPr>
                <w:rFonts w:ascii="Times New Roman" w:hAnsi="Times New Roman" w:cs="Times New Roman" w:eastAsia="Times New Roman"/>
                <w:sz w:val="17"/>
                <w:szCs w:val="17"/>
              </w:rPr>
              <w:t xml:space="preserve">0.280***</w:t>
            </w:r>
          </w:p>
        </w:tc>
      </w:tr>
      <w:tr>
        <w:trPr>
          <w:cantSplit/>
        </w:trPr>
        <w:tc>
          <w:tcPr>
            <w:tcW w:w="1296" w:type="dxa"/>
            <w:vAlign w:val="center"/>
          </w:tcPr>
          <w:p>
            <w:pPr>
              <w:spacing w:before="20" w:after="20"/>
              <w:jc w:val="left"/>
            </w:pPr>
            <w:r>
              <w:rPr>
                <w:rFonts w:ascii="Times New Roman" w:hAnsi="Times New Roman" w:cs="Times New Roman" w:eastAsia="Times New Roman"/>
                <w:sz w:val="17"/>
                <w:szCs w:val="17"/>
              </w:rPr>
              <w:t xml:space="preserve">H5 FM → ORG</w:t>
            </w:r>
          </w:p>
        </w:tc>
        <w:tc>
          <w:tcPr>
            <w:tcW w:w="933" w:type="dxa"/>
            <w:vAlign w:val="center"/>
          </w:tcPr>
          <w:p>
            <w:pPr>
              <w:spacing w:before="20" w:after="20"/>
              <w:jc w:val="center"/>
            </w:pPr>
            <w:r>
              <w:rPr>
                <w:rFonts w:ascii="Times New Roman" w:hAnsi="Times New Roman" w:cs="Times New Roman" w:eastAsia="Times New Roman"/>
                <w:sz w:val="17"/>
                <w:szCs w:val="17"/>
              </w:rPr>
              <w:t xml:space="preserve">0.394***</w:t>
            </w:r>
          </w:p>
        </w:tc>
        <w:tc>
          <w:tcPr>
            <w:tcW w:w="933" w:type="dxa"/>
            <w:vAlign w:val="center"/>
          </w:tcPr>
          <w:p>
            <w:pPr>
              <w:spacing w:before="20" w:after="20"/>
              <w:jc w:val="center"/>
            </w:pPr>
            <w:r>
              <w:rPr>
                <w:rFonts w:ascii="Times New Roman" w:hAnsi="Times New Roman" w:cs="Times New Roman" w:eastAsia="Times New Roman"/>
                <w:sz w:val="17"/>
                <w:szCs w:val="17"/>
              </w:rPr>
              <w:t xml:space="preserve">0.385***</w:t>
            </w:r>
          </w:p>
        </w:tc>
        <w:tc>
          <w:tcPr>
            <w:tcW w:w="933" w:type="dxa"/>
            <w:vAlign w:val="center"/>
          </w:tcPr>
          <w:p>
            <w:pPr>
              <w:spacing w:before="20" w:after="20"/>
              <w:jc w:val="center"/>
            </w:pPr>
            <w:r>
              <w:rPr>
                <w:rFonts w:ascii="Times New Roman" w:hAnsi="Times New Roman" w:cs="Times New Roman" w:eastAsia="Times New Roman"/>
                <w:sz w:val="17"/>
                <w:szCs w:val="17"/>
              </w:rPr>
              <w:t xml:space="preserve">0.408</w:t>
            </w:r>
          </w:p>
        </w:tc>
        <w:tc>
          <w:tcPr>
            <w:tcW w:w="985" w:type="dxa"/>
            <w:vAlign w:val="center"/>
          </w:tcPr>
          <w:p>
            <w:pPr>
              <w:spacing w:before="20" w:after="20"/>
              <w:jc w:val="center"/>
            </w:pPr>
            <w:r>
              <w:rPr>
                <w:rFonts w:ascii="Times New Roman" w:hAnsi="Times New Roman" w:cs="Times New Roman" w:eastAsia="Times New Roman"/>
                <w:sz w:val="17"/>
                <w:szCs w:val="17"/>
              </w:rPr>
              <w:t xml:space="preserve">0.424***</w:t>
            </w:r>
          </w:p>
        </w:tc>
        <w:tc>
          <w:tcPr>
            <w:tcW w:w="985" w:type="dxa"/>
            <w:vAlign w:val="center"/>
          </w:tcPr>
          <w:p>
            <w:pPr>
              <w:spacing w:before="20" w:after="20"/>
              <w:jc w:val="center"/>
            </w:pPr>
            <w:r>
              <w:rPr>
                <w:rFonts w:ascii="Times New Roman" w:hAnsi="Times New Roman" w:cs="Times New Roman" w:eastAsia="Times New Roman"/>
                <w:sz w:val="17"/>
                <w:szCs w:val="17"/>
              </w:rPr>
              <w:t xml:space="preserve">0.395***</w:t>
            </w:r>
          </w:p>
        </w:tc>
        <w:tc>
          <w:tcPr>
            <w:tcW w:w="1088" w:type="dxa"/>
            <w:vAlign w:val="center"/>
          </w:tcPr>
          <w:p>
            <w:pPr>
              <w:spacing w:before="20" w:after="20"/>
              <w:jc w:val="center"/>
            </w:pPr>
            <w:r>
              <w:rPr>
                <w:rFonts w:ascii="Times New Roman" w:hAnsi="Times New Roman" w:cs="Times New Roman" w:eastAsia="Times New Roman"/>
                <w:sz w:val="17"/>
                <w:szCs w:val="17"/>
              </w:rPr>
              <w:t xml:space="preserve">0.399***</w:t>
            </w:r>
          </w:p>
        </w:tc>
        <w:tc>
          <w:tcPr>
            <w:tcW w:w="985" w:type="dxa"/>
            <w:vAlign w:val="center"/>
          </w:tcPr>
          <w:p>
            <w:pPr>
              <w:spacing w:before="20" w:after="20"/>
              <w:jc w:val="center"/>
            </w:pPr>
            <w:r>
              <w:rPr>
                <w:rFonts w:ascii="Times New Roman" w:hAnsi="Times New Roman" w:cs="Times New Roman" w:eastAsia="Times New Roman"/>
                <w:sz w:val="17"/>
                <w:szCs w:val="17"/>
              </w:rPr>
              <w:t xml:space="preserve">0.347***</w:t>
            </w:r>
          </w:p>
        </w:tc>
        <w:tc>
          <w:tcPr>
            <w:tcW w:w="932" w:type="dxa"/>
            <w:vAlign w:val="center"/>
          </w:tcPr>
          <w:p>
            <w:pPr>
              <w:spacing w:before="20" w:after="20"/>
              <w:jc w:val="center"/>
            </w:pPr>
            <w:r>
              <w:rPr>
                <w:rFonts w:ascii="Times New Roman" w:hAnsi="Times New Roman" w:cs="Times New Roman" w:eastAsia="Times New Roman"/>
                <w:sz w:val="17"/>
                <w:szCs w:val="17"/>
              </w:rPr>
              <w:t xml:space="preserve">0.397***</w:t>
            </w:r>
          </w:p>
        </w:tc>
      </w:tr>
      <w:tr>
        <w:trPr>
          <w:cantSplit/>
        </w:trPr>
        <w:tc>
          <w:tcPr>
            <w:tcW w:w="1296" w:type="dxa"/>
            <w:vAlign w:val="center"/>
          </w:tcPr>
          <w:p>
            <w:pPr>
              <w:spacing w:before="20" w:after="20"/>
              <w:jc w:val="left"/>
            </w:pPr>
            <w:r>
              <w:rPr>
                <w:rFonts w:ascii="Times New Roman" w:hAnsi="Times New Roman" w:cs="Times New Roman" w:eastAsia="Times New Roman"/>
                <w:sz w:val="17"/>
                <w:szCs w:val="17"/>
              </w:rPr>
              <w:t xml:space="preserve">H6 FM → LEG</w:t>
            </w:r>
          </w:p>
        </w:tc>
        <w:tc>
          <w:tcPr>
            <w:tcW w:w="933" w:type="dxa"/>
            <w:vAlign w:val="center"/>
          </w:tcPr>
          <w:p>
            <w:pPr>
              <w:spacing w:before="20" w:after="20"/>
              <w:jc w:val="center"/>
            </w:pPr>
            <w:r>
              <w:rPr>
                <w:rFonts w:ascii="Times New Roman" w:hAnsi="Times New Roman" w:cs="Times New Roman" w:eastAsia="Times New Roman"/>
                <w:sz w:val="17"/>
                <w:szCs w:val="17"/>
              </w:rPr>
              <w:t xml:space="preserve">0.207*</w:t>
            </w:r>
          </w:p>
        </w:tc>
        <w:tc>
          <w:tcPr>
            <w:tcW w:w="933" w:type="dxa"/>
            <w:vAlign w:val="center"/>
          </w:tcPr>
          <w:p>
            <w:pPr>
              <w:spacing w:before="20" w:after="20"/>
              <w:jc w:val="center"/>
            </w:pPr>
            <w:r>
              <w:rPr>
                <w:rFonts w:ascii="Times New Roman" w:hAnsi="Times New Roman" w:cs="Times New Roman" w:eastAsia="Times New Roman"/>
                <w:sz w:val="17"/>
                <w:szCs w:val="17"/>
              </w:rPr>
              <w:t xml:space="preserve">0.248**</w:t>
            </w:r>
          </w:p>
        </w:tc>
        <w:tc>
          <w:tcPr>
            <w:tcW w:w="933" w:type="dxa"/>
            <w:vAlign w:val="center"/>
          </w:tcPr>
          <w:p>
            <w:pPr>
              <w:spacing w:before="20" w:after="20"/>
              <w:jc w:val="center"/>
            </w:pPr>
            <w:r>
              <w:rPr>
                <w:rFonts w:ascii="Times New Roman" w:hAnsi="Times New Roman" w:cs="Times New Roman" w:eastAsia="Times New Roman"/>
                <w:sz w:val="17"/>
                <w:szCs w:val="17"/>
              </w:rPr>
              <w:t xml:space="preserve">0.257</w:t>
            </w:r>
          </w:p>
        </w:tc>
        <w:tc>
          <w:tcPr>
            <w:tcW w:w="985" w:type="dxa"/>
            <w:vAlign w:val="center"/>
          </w:tcPr>
          <w:p>
            <w:pPr>
              <w:spacing w:before="20" w:after="20"/>
              <w:jc w:val="center"/>
            </w:pPr>
            <w:r>
              <w:rPr>
                <w:rFonts w:ascii="Times New Roman" w:hAnsi="Times New Roman" w:cs="Times New Roman" w:eastAsia="Times New Roman"/>
                <w:sz w:val="17"/>
                <w:szCs w:val="17"/>
              </w:rPr>
              <w:t xml:space="preserve">0.221*</w:t>
            </w:r>
          </w:p>
        </w:tc>
        <w:tc>
          <w:tcPr>
            <w:tcW w:w="985" w:type="dxa"/>
            <w:vAlign w:val="center"/>
          </w:tcPr>
          <w:p>
            <w:pPr>
              <w:spacing w:before="20" w:after="20"/>
              <w:jc w:val="center"/>
            </w:pPr>
            <w:r>
              <w:rPr>
                <w:rFonts w:ascii="Times New Roman" w:hAnsi="Times New Roman" w:cs="Times New Roman" w:eastAsia="Times New Roman"/>
                <w:sz w:val="17"/>
                <w:szCs w:val="17"/>
              </w:rPr>
              <w:t xml:space="preserve">0.204*</w:t>
            </w:r>
          </w:p>
        </w:tc>
        <w:tc>
          <w:tcPr>
            <w:tcW w:w="1088" w:type="dxa"/>
            <w:vAlign w:val="center"/>
          </w:tcPr>
          <w:p>
            <w:pPr>
              <w:spacing w:before="20" w:after="20"/>
              <w:jc w:val="center"/>
            </w:pPr>
            <w:r>
              <w:rPr>
                <w:rFonts w:ascii="Times New Roman" w:hAnsi="Times New Roman" w:cs="Times New Roman" w:eastAsia="Times New Roman"/>
                <w:sz w:val="17"/>
                <w:szCs w:val="17"/>
              </w:rPr>
              <w:t xml:space="preserve">0.176 ns</w:t>
            </w:r>
          </w:p>
        </w:tc>
        <w:tc>
          <w:tcPr>
            <w:tcW w:w="985" w:type="dxa"/>
            <w:vAlign w:val="center"/>
          </w:tcPr>
          <w:p>
            <w:pPr>
              <w:spacing w:before="20" w:after="20"/>
              <w:jc w:val="center"/>
            </w:pPr>
            <w:r>
              <w:rPr>
                <w:rFonts w:ascii="Times New Roman" w:hAnsi="Times New Roman" w:cs="Times New Roman" w:eastAsia="Times New Roman"/>
                <w:sz w:val="17"/>
                <w:szCs w:val="17"/>
              </w:rPr>
              <w:t xml:space="preserve">0.091 ns</w:t>
            </w:r>
          </w:p>
        </w:tc>
        <w:tc>
          <w:tcPr>
            <w:tcW w:w="932" w:type="dxa"/>
            <w:vAlign w:val="center"/>
          </w:tcPr>
          <w:p>
            <w:pPr>
              <w:spacing w:before="20" w:after="20"/>
              <w:jc w:val="center"/>
            </w:pPr>
            <w:r>
              <w:rPr>
                <w:rFonts w:ascii="Times New Roman" w:hAnsi="Times New Roman" w:cs="Times New Roman" w:eastAsia="Times New Roman"/>
                <w:sz w:val="17"/>
                <w:szCs w:val="17"/>
              </w:rPr>
              <w:t xml:space="preserve">0.213*</w:t>
            </w:r>
          </w:p>
        </w:tc>
      </w:tr>
      <w:tr>
        <w:trPr>
          <w:cantSplit/>
        </w:trPr>
        <w:tc>
          <w:tcPr>
            <w:tcW w:w="1296" w:type="dxa"/>
            <w:vAlign w:val="center"/>
          </w:tcPr>
          <w:p>
            <w:pPr>
              <w:spacing w:before="20" w:after="20"/>
              <w:jc w:val="left"/>
            </w:pPr>
            <w:r>
              <w:rPr>
                <w:rFonts w:ascii="Times New Roman" w:hAnsi="Times New Roman" w:cs="Times New Roman" w:eastAsia="Times New Roman"/>
                <w:sz w:val="17"/>
                <w:szCs w:val="17"/>
              </w:rPr>
              <w:t xml:space="preserve">H7 FM → PRO</w:t>
            </w:r>
          </w:p>
        </w:tc>
        <w:tc>
          <w:tcPr>
            <w:tcW w:w="933" w:type="dxa"/>
            <w:vAlign w:val="center"/>
          </w:tcPr>
          <w:p>
            <w:pPr>
              <w:spacing w:before="20" w:after="20"/>
              <w:jc w:val="center"/>
            </w:pPr>
            <w:r>
              <w:rPr>
                <w:rFonts w:ascii="Times New Roman" w:hAnsi="Times New Roman" w:cs="Times New Roman" w:eastAsia="Times New Roman"/>
                <w:sz w:val="17"/>
                <w:szCs w:val="17"/>
              </w:rPr>
              <w:t xml:space="preserve">0.243**</w:t>
            </w:r>
          </w:p>
        </w:tc>
        <w:tc>
          <w:tcPr>
            <w:tcW w:w="933" w:type="dxa"/>
            <w:vAlign w:val="center"/>
          </w:tcPr>
          <w:p>
            <w:pPr>
              <w:spacing w:before="20" w:after="20"/>
              <w:jc w:val="center"/>
            </w:pPr>
            <w:r>
              <w:rPr>
                <w:rFonts w:ascii="Times New Roman" w:hAnsi="Times New Roman" w:cs="Times New Roman" w:eastAsia="Times New Roman"/>
                <w:sz w:val="17"/>
                <w:szCs w:val="17"/>
              </w:rPr>
              <w:t xml:space="preserve">0.217*</w:t>
            </w:r>
          </w:p>
        </w:tc>
        <w:tc>
          <w:tcPr>
            <w:tcW w:w="933" w:type="dxa"/>
            <w:vAlign w:val="center"/>
          </w:tcPr>
          <w:p>
            <w:pPr>
              <w:spacing w:before="20" w:after="20"/>
              <w:jc w:val="center"/>
            </w:pPr>
            <w:r>
              <w:rPr>
                <w:rFonts w:ascii="Times New Roman" w:hAnsi="Times New Roman" w:cs="Times New Roman" w:eastAsia="Times New Roman"/>
                <w:sz w:val="17"/>
                <w:szCs w:val="17"/>
              </w:rPr>
              <w:t xml:space="preserve">0.222</w:t>
            </w:r>
          </w:p>
        </w:tc>
        <w:tc>
          <w:tcPr>
            <w:tcW w:w="985" w:type="dxa"/>
            <w:vAlign w:val="center"/>
          </w:tcPr>
          <w:p>
            <w:pPr>
              <w:spacing w:before="20" w:after="20"/>
              <w:jc w:val="center"/>
            </w:pPr>
            <w:r>
              <w:rPr>
                <w:rFonts w:ascii="Times New Roman" w:hAnsi="Times New Roman" w:cs="Times New Roman" w:eastAsia="Times New Roman"/>
                <w:sz w:val="17"/>
                <w:szCs w:val="17"/>
              </w:rPr>
              <w:t xml:space="preserve">0.233*</w:t>
            </w:r>
          </w:p>
        </w:tc>
        <w:tc>
          <w:tcPr>
            <w:tcW w:w="985" w:type="dxa"/>
            <w:vAlign w:val="center"/>
          </w:tcPr>
          <w:p>
            <w:pPr>
              <w:spacing w:before="20" w:after="20"/>
              <w:jc w:val="center"/>
            </w:pPr>
            <w:r>
              <w:rPr>
                <w:rFonts w:ascii="Times New Roman" w:hAnsi="Times New Roman" w:cs="Times New Roman" w:eastAsia="Times New Roman"/>
                <w:sz w:val="17"/>
                <w:szCs w:val="17"/>
              </w:rPr>
              <w:t xml:space="preserve">0.245**</w:t>
            </w:r>
          </w:p>
        </w:tc>
        <w:tc>
          <w:tcPr>
            <w:tcW w:w="1088" w:type="dxa"/>
            <w:vAlign w:val="center"/>
          </w:tcPr>
          <w:p>
            <w:pPr>
              <w:spacing w:before="20" w:after="20"/>
              <w:jc w:val="center"/>
            </w:pPr>
            <w:r>
              <w:rPr>
                <w:rFonts w:ascii="Times New Roman" w:hAnsi="Times New Roman" w:cs="Times New Roman" w:eastAsia="Times New Roman"/>
                <w:sz w:val="17"/>
                <w:szCs w:val="17"/>
              </w:rPr>
              <w:t xml:space="preserve">0.245**</w:t>
            </w:r>
          </w:p>
        </w:tc>
        <w:tc>
          <w:tcPr>
            <w:tcW w:w="985" w:type="dxa"/>
            <w:vAlign w:val="center"/>
          </w:tcPr>
          <w:p>
            <w:pPr>
              <w:spacing w:before="20" w:after="20"/>
              <w:jc w:val="center"/>
            </w:pPr>
            <w:r>
              <w:rPr>
                <w:rFonts w:ascii="Times New Roman" w:hAnsi="Times New Roman" w:cs="Times New Roman" w:eastAsia="Times New Roman"/>
                <w:sz w:val="17"/>
                <w:szCs w:val="17"/>
              </w:rPr>
              <w:t xml:space="preserve">0.178 ns</w:t>
            </w:r>
          </w:p>
        </w:tc>
        <w:tc>
          <w:tcPr>
            <w:tcW w:w="932" w:type="dxa"/>
            <w:vAlign w:val="center"/>
          </w:tcPr>
          <w:p>
            <w:pPr>
              <w:spacing w:before="20" w:after="20"/>
              <w:jc w:val="center"/>
            </w:pPr>
            <w:r>
              <w:rPr>
                <w:rFonts w:ascii="Times New Roman" w:hAnsi="Times New Roman" w:cs="Times New Roman" w:eastAsia="Times New Roman"/>
                <w:sz w:val="17"/>
                <w:szCs w:val="17"/>
              </w:rPr>
              <w:t xml:space="preserve">0.236**</w:t>
            </w:r>
          </w:p>
        </w:tc>
      </w:tr>
      <w:tr>
        <w:trPr>
          <w:cantSplit/>
        </w:trPr>
        <w:tc>
          <w:tcPr>
            <w:tcW w:w="1296" w:type="dxa"/>
            <w:vAlign w:val="center"/>
          </w:tcPr>
          <w:p>
            <w:pPr>
              <w:spacing w:before="20" w:after="20"/>
              <w:jc w:val="left"/>
            </w:pPr>
            <w:r>
              <w:rPr>
                <w:rFonts w:ascii="Times New Roman" w:hAnsi="Times New Roman" w:cs="Times New Roman" w:eastAsia="Times New Roman"/>
                <w:sz w:val="17"/>
                <w:szCs w:val="17"/>
              </w:rPr>
              <w:t xml:space="preserve">H8 FM → POL</w:t>
            </w:r>
          </w:p>
        </w:tc>
        <w:tc>
          <w:tcPr>
            <w:tcW w:w="933" w:type="dxa"/>
            <w:vAlign w:val="center"/>
          </w:tcPr>
          <w:p>
            <w:pPr>
              <w:spacing w:before="20" w:after="20"/>
              <w:jc w:val="center"/>
            </w:pPr>
            <w:r>
              <w:rPr>
                <w:rFonts w:ascii="Times New Roman" w:hAnsi="Times New Roman" w:cs="Times New Roman" w:eastAsia="Times New Roman"/>
                <w:sz w:val="17"/>
                <w:szCs w:val="17"/>
              </w:rPr>
              <w:t xml:space="preserve">0.457***</w:t>
            </w:r>
          </w:p>
        </w:tc>
        <w:tc>
          <w:tcPr>
            <w:tcW w:w="933" w:type="dxa"/>
            <w:vAlign w:val="center"/>
          </w:tcPr>
          <w:p>
            <w:pPr>
              <w:spacing w:before="20" w:after="20"/>
              <w:jc w:val="center"/>
            </w:pPr>
            <w:r>
              <w:rPr>
                <w:rFonts w:ascii="Times New Roman" w:hAnsi="Times New Roman" w:cs="Times New Roman" w:eastAsia="Times New Roman"/>
                <w:sz w:val="17"/>
                <w:szCs w:val="17"/>
              </w:rPr>
              <w:t xml:space="preserve">0.464***</w:t>
            </w:r>
          </w:p>
        </w:tc>
        <w:tc>
          <w:tcPr>
            <w:tcW w:w="933" w:type="dxa"/>
            <w:vAlign w:val="center"/>
          </w:tcPr>
          <w:p>
            <w:pPr>
              <w:spacing w:before="20" w:after="20"/>
              <w:jc w:val="center"/>
            </w:pPr>
            <w:r>
              <w:rPr>
                <w:rFonts w:ascii="Times New Roman" w:hAnsi="Times New Roman" w:cs="Times New Roman" w:eastAsia="Times New Roman"/>
                <w:sz w:val="17"/>
                <w:szCs w:val="17"/>
              </w:rPr>
              <w:t xml:space="preserve">0.462</w:t>
            </w:r>
          </w:p>
        </w:tc>
        <w:tc>
          <w:tcPr>
            <w:tcW w:w="985" w:type="dxa"/>
            <w:vAlign w:val="center"/>
          </w:tcPr>
          <w:p>
            <w:pPr>
              <w:spacing w:before="20" w:after="20"/>
              <w:jc w:val="center"/>
            </w:pPr>
            <w:r>
              <w:rPr>
                <w:rFonts w:ascii="Times New Roman" w:hAnsi="Times New Roman" w:cs="Times New Roman" w:eastAsia="Times New Roman"/>
                <w:sz w:val="17"/>
                <w:szCs w:val="17"/>
              </w:rPr>
              <w:t xml:space="preserve">0.430***</w:t>
            </w:r>
          </w:p>
        </w:tc>
        <w:tc>
          <w:tcPr>
            <w:tcW w:w="985" w:type="dxa"/>
            <w:vAlign w:val="center"/>
          </w:tcPr>
          <w:p>
            <w:pPr>
              <w:spacing w:before="20" w:after="20"/>
              <w:jc w:val="center"/>
            </w:pPr>
            <w:r>
              <w:rPr>
                <w:rFonts w:ascii="Times New Roman" w:hAnsi="Times New Roman" w:cs="Times New Roman" w:eastAsia="Times New Roman"/>
                <w:sz w:val="17"/>
                <w:szCs w:val="17"/>
              </w:rPr>
              <w:t xml:space="preserve">0.459***</w:t>
            </w:r>
          </w:p>
        </w:tc>
        <w:tc>
          <w:tcPr>
            <w:tcW w:w="1088" w:type="dxa"/>
            <w:vAlign w:val="center"/>
          </w:tcPr>
          <w:p>
            <w:pPr>
              <w:spacing w:before="20" w:after="20"/>
              <w:jc w:val="center"/>
            </w:pPr>
            <w:r>
              <w:rPr>
                <w:rFonts w:ascii="Times New Roman" w:hAnsi="Times New Roman" w:cs="Times New Roman" w:eastAsia="Times New Roman"/>
                <w:sz w:val="17"/>
                <w:szCs w:val="17"/>
              </w:rPr>
              <w:t xml:space="preserve">0.452***</w:t>
            </w:r>
          </w:p>
        </w:tc>
        <w:tc>
          <w:tcPr>
            <w:tcW w:w="985" w:type="dxa"/>
            <w:vAlign w:val="center"/>
          </w:tcPr>
          <w:p>
            <w:pPr>
              <w:spacing w:before="20" w:after="20"/>
              <w:jc w:val="center"/>
            </w:pPr>
            <w:r>
              <w:rPr>
                <w:rFonts w:ascii="Times New Roman" w:hAnsi="Times New Roman" w:cs="Times New Roman" w:eastAsia="Times New Roman"/>
                <w:sz w:val="17"/>
                <w:szCs w:val="17"/>
              </w:rPr>
              <w:t xml:space="preserve">0.395***</w:t>
            </w:r>
          </w:p>
        </w:tc>
        <w:tc>
          <w:tcPr>
            <w:tcW w:w="932" w:type="dxa"/>
            <w:vAlign w:val="center"/>
          </w:tcPr>
          <w:p>
            <w:pPr>
              <w:spacing w:before="20" w:after="20"/>
              <w:jc w:val="center"/>
            </w:pPr>
            <w:r>
              <w:rPr>
                <w:rFonts w:ascii="Times New Roman" w:hAnsi="Times New Roman" w:cs="Times New Roman" w:eastAsia="Times New Roman"/>
                <w:sz w:val="17"/>
                <w:szCs w:val="17"/>
              </w:rPr>
              <w:t xml:space="preserve">0.456***</w:t>
            </w:r>
          </w:p>
        </w:tc>
      </w:tr>
      <w:tr>
        <w:trPr>
          <w:cantSplit/>
        </w:trPr>
        <w:tc>
          <w:tcPr>
            <w:tcW w:w="1296" w:type="dxa"/>
            <w:vAlign w:val="center"/>
          </w:tcPr>
          <w:p>
            <w:pPr>
              <w:spacing w:before="20" w:after="20"/>
              <w:jc w:val="left"/>
            </w:pPr>
            <w:r>
              <w:rPr>
                <w:rFonts w:ascii="Times New Roman" w:hAnsi="Times New Roman" w:cs="Times New Roman" w:eastAsia="Times New Roman"/>
                <w:sz w:val="17"/>
                <w:szCs w:val="17"/>
              </w:rPr>
              <w:t xml:space="preserve">CFI</w:t>
            </w:r>
          </w:p>
        </w:tc>
        <w:tc>
          <w:tcPr>
            <w:tcW w:w="933" w:type="dxa"/>
            <w:vAlign w:val="center"/>
          </w:tcPr>
          <w:p>
            <w:pPr>
              <w:spacing w:before="20" w:after="20"/>
              <w:jc w:val="center"/>
            </w:pPr>
            <w:r>
              <w:rPr>
                <w:rFonts w:ascii="Times New Roman" w:hAnsi="Times New Roman" w:cs="Times New Roman" w:eastAsia="Times New Roman"/>
                <w:sz w:val="17"/>
                <w:szCs w:val="17"/>
              </w:rPr>
              <w:t xml:space="preserve">0.975</w:t>
            </w:r>
          </w:p>
        </w:tc>
        <w:tc>
          <w:tcPr>
            <w:tcW w:w="933" w:type="dxa"/>
            <w:vAlign w:val="center"/>
          </w:tcPr>
          <w:p>
            <w:pPr>
              <w:spacing w:before="20" w:after="20"/>
              <w:jc w:val="center"/>
            </w:pPr>
            <w:r>
              <w:rPr>
                <w:rFonts w:ascii="Times New Roman" w:hAnsi="Times New Roman" w:cs="Times New Roman" w:eastAsia="Times New Roman"/>
                <w:sz w:val="17"/>
                <w:szCs w:val="17"/>
              </w:rPr>
              <w:t xml:space="preserve">–</w:t>
            </w:r>
          </w:p>
        </w:tc>
        <w:tc>
          <w:tcPr>
            <w:tcW w:w="933" w:type="dxa"/>
            <w:vAlign w:val="center"/>
          </w:tcPr>
          <w:p>
            <w:pPr>
              <w:spacing w:before="20" w:after="20"/>
              <w:jc w:val="center"/>
            </w:pPr>
            <w:r>
              <w:rPr>
                <w:rFonts w:ascii="Times New Roman" w:hAnsi="Times New Roman" w:cs="Times New Roman" w:eastAsia="Times New Roman"/>
                <w:sz w:val="17"/>
                <w:szCs w:val="17"/>
              </w:rPr>
              <w:t xml:space="preserve">–</w:t>
            </w:r>
          </w:p>
        </w:tc>
        <w:tc>
          <w:tcPr>
            <w:tcW w:w="985" w:type="dxa"/>
            <w:vAlign w:val="center"/>
          </w:tcPr>
          <w:p>
            <w:pPr>
              <w:spacing w:before="20" w:after="20"/>
              <w:jc w:val="center"/>
            </w:pPr>
            <w:r>
              <w:rPr>
                <w:rFonts w:ascii="Times New Roman" w:hAnsi="Times New Roman" w:cs="Times New Roman" w:eastAsia="Times New Roman"/>
                <w:sz w:val="17"/>
                <w:szCs w:val="17"/>
              </w:rPr>
              <w:t xml:space="preserve">0.973</w:t>
            </w:r>
          </w:p>
        </w:tc>
        <w:tc>
          <w:tcPr>
            <w:tcW w:w="985" w:type="dxa"/>
            <w:vAlign w:val="center"/>
          </w:tcPr>
          <w:p>
            <w:pPr>
              <w:spacing w:before="20" w:after="20"/>
              <w:jc w:val="center"/>
            </w:pPr>
            <w:r>
              <w:rPr>
                <w:rFonts w:ascii="Times New Roman" w:hAnsi="Times New Roman" w:cs="Times New Roman" w:eastAsia="Times New Roman"/>
                <w:sz w:val="17"/>
                <w:szCs w:val="17"/>
              </w:rPr>
              <w:t xml:space="preserve">0.978</w:t>
            </w:r>
          </w:p>
        </w:tc>
        <w:tc>
          <w:tcPr>
            <w:tcW w:w="1088" w:type="dxa"/>
            <w:vAlign w:val="center"/>
          </w:tcPr>
          <w:p>
            <w:pPr>
              <w:spacing w:before="20" w:after="20"/>
              <w:jc w:val="center"/>
            </w:pPr>
            <w:r>
              <w:rPr>
                <w:rFonts w:ascii="Times New Roman" w:hAnsi="Times New Roman" w:cs="Times New Roman" w:eastAsia="Times New Roman"/>
                <w:sz w:val="17"/>
                <w:szCs w:val="17"/>
              </w:rPr>
              <w:t xml:space="preserve">0.975</w:t>
            </w:r>
          </w:p>
        </w:tc>
        <w:tc>
          <w:tcPr>
            <w:tcW w:w="985" w:type="dxa"/>
            <w:vAlign w:val="center"/>
          </w:tcPr>
          <w:p>
            <w:pPr>
              <w:spacing w:before="20" w:after="20"/>
              <w:jc w:val="center"/>
            </w:pPr>
            <w:r>
              <w:rPr>
                <w:rFonts w:ascii="Times New Roman" w:hAnsi="Times New Roman" w:cs="Times New Roman" w:eastAsia="Times New Roman"/>
                <w:sz w:val="17"/>
                <w:szCs w:val="17"/>
              </w:rPr>
              <w:t xml:space="preserve">0.976</w:t>
            </w:r>
          </w:p>
        </w:tc>
        <w:tc>
          <w:tcPr>
            <w:tcW w:w="932" w:type="dxa"/>
            <w:vAlign w:val="center"/>
          </w:tcPr>
          <w:p>
            <w:pPr>
              <w:spacing w:before="20" w:after="20"/>
              <w:jc w:val="center"/>
            </w:pPr>
            <w:r>
              <w:rPr>
                <w:rFonts w:ascii="Times New Roman" w:hAnsi="Times New Roman" w:cs="Times New Roman" w:eastAsia="Times New Roman"/>
                <w:sz w:val="17"/>
                <w:szCs w:val="17"/>
              </w:rPr>
              <w:t xml:space="preserve">0.973</w:t>
            </w:r>
          </w:p>
        </w:tc>
      </w:tr>
    </w:tbl>
    <w:p>
      <w:pPr>
        <w:spacing w:before="0" w:after="160" w:line="240" w:lineRule="auto"/>
        <w:jc w:val="both"/>
      </w:pPr>
      <w:r>
        <w:rPr>
          <w:rFonts w:ascii="Times New Roman" w:hAnsi="Times New Roman" w:cs="Times New Roman" w:eastAsia="Times New Roman"/>
          <w:sz w:val="18"/>
          <w:szCs w:val="18"/>
        </w:rPr>
        <w:t xml:space="preserve">Note. *** p &lt; 0.001, ** p &lt; 0.01, * p &lt; 0.05, ns = not significant. CA = control activities; FM = financial management; ORG, LEG, PRO and POL = organizational, legal, professional and political accountability; ML = maximum likelihood; DWLS = diagonally weighted least squares on Pearson covariances. </w:t>
      </w:r>
      <w:r>
        <w:rPr>
          <w:rFonts w:ascii="Times New Roman" w:hAnsi="Times New Roman" w:cs="Times New Roman" w:eastAsia="Times New Roman"/>
          <w:sz w:val="18"/>
          <w:szCs w:val="18"/>
          <w:vertAlign w:val="superscript"/>
        </w:rPr>
        <w:t xml:space="preserve">a</w:t>
      </w:r>
      <w:r>
        <w:rPr>
          <w:rFonts w:ascii="Times New Roman" w:hAnsi="Times New Roman" w:cs="Times New Roman" w:eastAsia="Times New Roman"/>
          <w:sz w:val="18"/>
          <w:szCs w:val="18"/>
        </w:rPr>
        <w:t xml:space="preserve"> Polychoric correlations analyzed by unweighted least squares; point estimates only. The method-factor model retains a latent method factor with equal loadings. Outliers: 5% largest Mahalanobis distances (N = 177).</w:t>
      </w:r>
    </w:p>
    <w:p>
      <w:pPr>
        <w:keepNext/>
        <w:spacing w:before="240" w:after="120" w:line="360" w:lineRule="auto"/>
        <w:jc w:val="left"/>
      </w:pPr>
      <w:r>
        <w:rPr>
          <w:rFonts w:ascii="Times New Roman" w:hAnsi="Times New Roman" w:cs="Times New Roman" w:eastAsia="Times New Roman"/>
          <w:b/>
          <w:bCs/>
          <w:sz w:val="24"/>
          <w:szCs w:val="24"/>
        </w:rPr>
        <w:t xml:space="preserve">5  Discussion and Conclusion</w:t>
      </w:r>
    </w:p>
    <w:p>
      <w:pPr>
        <w:spacing w:before="0" w:after="120" w:line="360" w:lineRule="auto"/>
        <w:jc w:val="both"/>
      </w:pPr>
      <w:r>
        <w:rPr>
          <w:rFonts w:ascii="Times New Roman" w:hAnsi="Times New Roman" w:cs="Times New Roman" w:eastAsia="Times New Roman"/>
          <w:sz w:val="24"/>
          <w:szCs w:val="24"/>
        </w:rPr>
        <w:t xml:space="preserve">Both procedural control activities and strategic financial management were positively associated with all four dimensions of public accountability, and each contributed independently to model fit. Financial control is thus more than a bureaucratic compliance device: in this setting it is one of the means through which a public organization becomes answerable to the forums it serves. Effect sizes were moderate, and the two components explained 27–43% of the variance in accountability.</w:t>
      </w:r>
    </w:p>
    <w:p>
      <w:pPr>
        <w:spacing w:before="0" w:after="120" w:line="360" w:lineRule="auto"/>
        <w:jc w:val="both"/>
      </w:pPr>
      <w:r>
        <w:rPr>
          <w:rFonts w:ascii="Times New Roman" w:hAnsi="Times New Roman" w:cs="Times New Roman" w:eastAsia="Times New Roman"/>
          <w:sz w:val="24"/>
          <w:szCs w:val="24"/>
        </w:rPr>
        <w:t xml:space="preserve">Control activities showed their largest effects on professional and legal accountability. This agrees with studies that emphasize segregation of duties, supervision and internal review as ways of embedding professional standards (Schelker, 2008; Verschoor, 2008) and with the argument that approvals, reconciliations and compliance reviews create the audit trail on which legal review depends (Beckett &amp; Jonker, 2002; Roth, 2004). Their weakest effect was on political accountability, as expected for forums that are furthest from internal procedures and see only the information that leaves the organization (Schedler, 1999). Strategic financial management showed its largest effects on political and organizational accountability, consistent with its role in making resource use visible against priorities and results (Hubbard, 2003; Stewart, 1984). The effect on legal accountability was the smallest and least robust. H6 rested on the argument that lawfulness is partly determined upstream by appropriations and budget rules, but staff of a tax administration may experience these as given constraints set outside the organization and perceive lawfulness as secured mainly through transaction-level verification.</w:t>
      </w:r>
    </w:p>
    <w:p>
      <w:pPr>
        <w:spacing w:before="0" w:after="120" w:line="360" w:lineRule="auto"/>
        <w:jc w:val="both"/>
      </w:pPr>
      <w:r>
        <w:rPr>
          <w:rFonts w:ascii="Times New Roman" w:hAnsi="Times New Roman" w:cs="Times New Roman" w:eastAsia="Times New Roman"/>
          <w:sz w:val="24"/>
          <w:szCs w:val="24"/>
        </w:rPr>
        <w:t xml:space="preserve">The study contributes to the literature in two ways. First, it shows that the four accountability dimensions are empirically distinguishable and relate to the two components of financial control with different strengths, differences that a single accountability index would hide (Mulgan, 2000). Second, it extends agency and stewardship theory to the public sector of an emerging economy and indicates, tentatively, that the two logics are better seen as complementary mechanisms than as competing explanations.</w:t>
      </w:r>
    </w:p>
    <w:p>
      <w:pPr>
        <w:spacing w:before="0" w:after="120" w:line="360" w:lineRule="auto"/>
        <w:jc w:val="both"/>
      </w:pPr>
      <w:r>
        <w:rPr>
          <w:rFonts w:ascii="Times New Roman" w:hAnsi="Times New Roman" w:cs="Times New Roman" w:eastAsia="Times New Roman"/>
          <w:sz w:val="24"/>
          <w:szCs w:val="24"/>
        </w:rPr>
        <w:t xml:space="preserve">These contrasts are descriptive. The bootstrap tests did not show that the two components differ significantly in their effects on any dimension, and the weakest paths lost significance in some specifications. The theoretical reading below is therefore tentative. Monitoring-type controls, as agency theory predicts, show their largest effects on forums that need verifiable evidence of compliance (legal and professional), whereas strategic financial management, which structures discretion and supplies performance information, shows its largest effects on forums that judge results and priorities (political and organizational), as stewardship logic suggests. Because all paths were positive, agency and stewardship logics may be two mechanisms that both layers of control can activate, with the weight depending on the forum. The distinction between four dimensions proved empirically meaningful (HTMT ≤ 0.60), which supports treating accountability as multidimensional (Mulgan, 2000; Romzek &amp; Dubnick, 1987).</w:t>
      </w:r>
    </w:p>
    <w:p>
      <w:pPr>
        <w:spacing w:before="0" w:after="120" w:line="360" w:lineRule="auto"/>
        <w:jc w:val="both"/>
      </w:pPr>
      <w:r>
        <w:rPr>
          <w:rFonts w:ascii="Times New Roman" w:hAnsi="Times New Roman" w:cs="Times New Roman" w:eastAsia="Times New Roman"/>
          <w:sz w:val="24"/>
          <w:szCs w:val="24"/>
        </w:rPr>
        <w:t xml:space="preserve">The findings carry cautious implications for reform in Iran and other transitional economies. Because strategic financial management shows its largest effects on political and organizational accountability, public budget hearings (Fung, 2006), real-time reporting portals (Meijer et al., 2012) and clear performance indicators for programs (Behn, 2003) may be worthwhile. Because control activities show their largest effects on professional and legal accountability, transaction-level controls, training, whistleblower protection (Kaptein, 2011) and independent audit (Ferry et al., 2022) remain justified. Since both layers contribute, they should complement and not replace each other.</w:t>
      </w:r>
    </w:p>
    <w:p>
      <w:pPr>
        <w:spacing w:before="0" w:after="120" w:line="360" w:lineRule="auto"/>
        <w:jc w:val="both"/>
      </w:pPr>
      <w:r>
        <w:rPr>
          <w:rFonts w:ascii="Times New Roman" w:hAnsi="Times New Roman" w:cs="Times New Roman" w:eastAsia="Times New Roman"/>
          <w:sz w:val="24"/>
          <w:szCs w:val="24"/>
        </w:rPr>
        <w:t xml:space="preserve">Several limitations apply. The design is cross-sectional, so the paths are associations and not demonstrated causal effects. Data come from one organization in one city, which limits generalization to different administrative cultures. All data are self-reported by staff from a single source and capture perceived accountability. A method factor with equal loadings was modest, but the unconstrained factor was degenerate, and controlling the method factor lowered all coefficients and made two paths non-significant, so the coefficients may be somewhat inflated (Podsakoff et al., 2003). The sample (N = 187) is modest relative to 37 indicators, the χ² test of exact fit was significant, and the financial management construct had an AVE marginally below 0.50. Finally, differences between the two predictors were not statistically significant. Future research could use longitudinal designs around specific financial reforms, multi-source or objective accountability indicators such as audit findings, larger multi-organization samples with adequate power to test differences between components, and cross-national comparisons.</w:t>
      </w:r>
    </w:p>
    <w:p>
      <w:pPr>
        <w:keepNext/>
        <w:spacing w:before="240" w:after="120" w:line="360" w:lineRule="auto"/>
        <w:jc w:val="left"/>
      </w:pPr>
      <w:r>
        <w:rPr>
          <w:rFonts w:ascii="Times New Roman" w:hAnsi="Times New Roman" w:cs="Times New Roman" w:eastAsia="Times New Roman"/>
          <w:b/>
          <w:bCs/>
          <w:sz w:val="24"/>
          <w:szCs w:val="24"/>
        </w:rPr>
        <w:t xml:space="preserve">References</w:t>
      </w:r>
    </w:p>
    <w:p>
      <w:pPr>
        <w:spacing w:after="60" w:line="240" w:lineRule="auto"/>
        <w:ind w:left="360" w:hanging="360"/>
        <w:jc w:val="left"/>
      </w:pPr>
      <w:r>
        <w:rPr>
          <w:rFonts w:ascii="Times New Roman" w:hAnsi="Times New Roman" w:cs="Times New Roman" w:eastAsia="Times New Roman"/>
          <w:sz w:val="20"/>
          <w:szCs w:val="20"/>
        </w:rPr>
        <w:t xml:space="preserve">Anderson, J. C., &amp; Gerbing, D. W. (1988). Structural equation modeling in practice: A review and recommended two-step approach. </w:t>
      </w:r>
      <w:r>
        <w:rPr>
          <w:rFonts w:ascii="Times New Roman" w:hAnsi="Times New Roman" w:cs="Times New Roman" w:eastAsia="Times New Roman"/>
          <w:i/>
          <w:iCs/>
          <w:sz w:val="20"/>
          <w:szCs w:val="20"/>
        </w:rPr>
        <w:t xml:space="preserve">Psychological Bulletin</w:t>
      </w:r>
      <w:r>
        <w:rPr>
          <w:rFonts w:ascii="Times New Roman" w:hAnsi="Times New Roman" w:cs="Times New Roman" w:eastAsia="Times New Roman"/>
          <w:sz w:val="20"/>
          <w:szCs w:val="20"/>
        </w:rPr>
        <w:t xml:space="preserve">, 103(3), 411–423. https://doi.org/10.1037/0033-2909.103.3.411</w:t>
      </w:r>
    </w:p>
    <w:p>
      <w:pPr>
        <w:spacing w:after="60" w:line="240" w:lineRule="auto"/>
        <w:ind w:left="360" w:hanging="360"/>
        <w:jc w:val="left"/>
      </w:pPr>
      <w:r>
        <w:rPr>
          <w:rFonts w:ascii="Times New Roman" w:hAnsi="Times New Roman" w:cs="Times New Roman" w:eastAsia="Times New Roman"/>
          <w:sz w:val="20"/>
          <w:szCs w:val="20"/>
        </w:rPr>
        <w:t xml:space="preserve">Andrews, M. (2013). </w:t>
      </w:r>
      <w:r>
        <w:rPr>
          <w:rFonts w:ascii="Times New Roman" w:hAnsi="Times New Roman" w:cs="Times New Roman" w:eastAsia="Times New Roman"/>
          <w:i/>
          <w:iCs/>
          <w:sz w:val="20"/>
          <w:szCs w:val="20"/>
        </w:rPr>
        <w:t xml:space="preserve">The limits of institutional reform in development: Changing rules for realistic solutions</w:t>
      </w:r>
      <w:r>
        <w:rPr>
          <w:rFonts w:ascii="Times New Roman" w:hAnsi="Times New Roman" w:cs="Times New Roman" w:eastAsia="Times New Roman"/>
          <w:sz w:val="20"/>
          <w:szCs w:val="20"/>
        </w:rPr>
        <w:t xml:space="preserve">. Cambridge University Press. </w:t>
      </w:r>
      <w:r>
        <w:rPr>
          <w:rFonts w:ascii="Times New Roman" w:hAnsi="Times New Roman" w:cs="Times New Roman" w:eastAsia="Times New Roman"/>
          <w:sz w:val="20"/>
          <w:szCs w:val="20"/>
        </w:rPr>
        <w:t xml:space="preserve">https://doi.org/10.1017/CBO9781139060974</w:t>
      </w:r>
    </w:p>
    <w:p>
      <w:pPr>
        <w:spacing w:after="60" w:line="240" w:lineRule="auto"/>
        <w:ind w:left="360" w:hanging="360"/>
        <w:jc w:val="left"/>
      </w:pPr>
      <w:r>
        <w:rPr>
          <w:rFonts w:ascii="Times New Roman" w:hAnsi="Times New Roman" w:cs="Times New Roman" w:eastAsia="Times New Roman"/>
          <w:sz w:val="20"/>
          <w:szCs w:val="20"/>
        </w:rPr>
        <w:t xml:space="preserve">Anthony, R. N., Govindarajan, V., Hartmann, F. G., Kraus, K., &amp; Nilsson, G. (2007). </w:t>
      </w:r>
      <w:r>
        <w:rPr>
          <w:rFonts w:ascii="Times New Roman" w:hAnsi="Times New Roman" w:cs="Times New Roman" w:eastAsia="Times New Roman"/>
          <w:i/>
          <w:iCs/>
          <w:sz w:val="20"/>
          <w:szCs w:val="20"/>
        </w:rPr>
        <w:t xml:space="preserve">Management control systems</w:t>
      </w:r>
      <w:r>
        <w:rPr>
          <w:rFonts w:ascii="Times New Roman" w:hAnsi="Times New Roman" w:cs="Times New Roman" w:eastAsia="Times New Roman"/>
          <w:sz w:val="20"/>
          <w:szCs w:val="20"/>
        </w:rPr>
        <w:t xml:space="preserve"> (Vol. 12). McGraw-Hill. </w:t>
      </w:r>
      <w:r>
        <w:rPr>
          <w:rFonts w:ascii="Times New Roman" w:hAnsi="Times New Roman" w:cs="Times New Roman" w:eastAsia="Times New Roman"/>
          <w:sz w:val="20"/>
          <w:szCs w:val="20"/>
        </w:rPr>
        <w:t xml:space="preserve">https://doi.org/10.1109/TCST.2006.890299</w:t>
      </w:r>
    </w:p>
    <w:p>
      <w:pPr>
        <w:spacing w:after="60" w:line="240" w:lineRule="auto"/>
        <w:ind w:left="360" w:hanging="360"/>
        <w:jc w:val="left"/>
      </w:pPr>
      <w:r>
        <w:rPr>
          <w:rFonts w:ascii="Times New Roman" w:hAnsi="Times New Roman" w:cs="Times New Roman" w:eastAsia="Times New Roman"/>
          <w:sz w:val="20"/>
          <w:szCs w:val="20"/>
        </w:rPr>
        <w:t xml:space="preserve">Anthony, R. N., Hawkins, D. F., &amp; Merchant, K. A. (2007). </w:t>
      </w:r>
      <w:r>
        <w:rPr>
          <w:rFonts w:ascii="Times New Roman" w:hAnsi="Times New Roman" w:cs="Times New Roman" w:eastAsia="Times New Roman"/>
          <w:i/>
          <w:iCs/>
          <w:sz w:val="20"/>
          <w:szCs w:val="20"/>
        </w:rPr>
        <w:t xml:space="preserve">Accounting: Text and cases</w:t>
      </w:r>
      <w:r>
        <w:rPr>
          <w:rFonts w:ascii="Times New Roman" w:hAnsi="Times New Roman" w:cs="Times New Roman" w:eastAsia="Times New Roman"/>
          <w:sz w:val="20"/>
          <w:szCs w:val="20"/>
        </w:rPr>
        <w:t xml:space="preserve"> (13th ed.). McGraw-Hill.</w:t>
      </w:r>
    </w:p>
    <w:p>
      <w:pPr>
        <w:spacing w:after="60" w:line="240" w:lineRule="auto"/>
        <w:ind w:left="360" w:hanging="360"/>
        <w:jc w:val="left"/>
      </w:pPr>
      <w:r>
        <w:rPr>
          <w:rFonts w:ascii="Times New Roman" w:hAnsi="Times New Roman" w:cs="Times New Roman" w:eastAsia="Times New Roman"/>
          <w:sz w:val="20"/>
          <w:szCs w:val="20"/>
        </w:rPr>
        <w:t xml:space="preserve">Arens, A. A., Elder, R. J., &amp; Beasley, M. S. (2014). </w:t>
      </w:r>
      <w:r>
        <w:rPr>
          <w:rFonts w:ascii="Times New Roman" w:hAnsi="Times New Roman" w:cs="Times New Roman" w:eastAsia="Times New Roman"/>
          <w:i/>
          <w:iCs/>
          <w:sz w:val="20"/>
          <w:szCs w:val="20"/>
        </w:rPr>
        <w:t xml:space="preserve">Auditing and assurance services: An integrated approach</w:t>
      </w:r>
      <w:r>
        <w:rPr>
          <w:rFonts w:ascii="Times New Roman" w:hAnsi="Times New Roman" w:cs="Times New Roman" w:eastAsia="Times New Roman"/>
          <w:sz w:val="20"/>
          <w:szCs w:val="20"/>
        </w:rPr>
        <w:t xml:space="preserve"> (15th ed.). Pearson.</w:t>
      </w:r>
    </w:p>
    <w:p>
      <w:pPr>
        <w:spacing w:after="60" w:line="240" w:lineRule="auto"/>
        <w:ind w:left="360" w:hanging="360"/>
        <w:jc w:val="left"/>
      </w:pPr>
      <w:r>
        <w:rPr>
          <w:rFonts w:ascii="Times New Roman" w:hAnsi="Times New Roman" w:cs="Times New Roman" w:eastAsia="Times New Roman"/>
          <w:sz w:val="20"/>
          <w:szCs w:val="20"/>
        </w:rPr>
        <w:t xml:space="preserve">Arwinge, O. (2012). </w:t>
      </w:r>
      <w:r>
        <w:rPr>
          <w:rFonts w:ascii="Times New Roman" w:hAnsi="Times New Roman" w:cs="Times New Roman" w:eastAsia="Times New Roman"/>
          <w:i/>
          <w:iCs/>
          <w:sz w:val="20"/>
          <w:szCs w:val="20"/>
        </w:rPr>
        <w:t xml:space="preserve">Internal control: A study of concept and themes</w:t>
      </w:r>
      <w:r>
        <w:rPr>
          <w:rFonts w:ascii="Times New Roman" w:hAnsi="Times New Roman" w:cs="Times New Roman" w:eastAsia="Times New Roman"/>
          <w:sz w:val="20"/>
          <w:szCs w:val="20"/>
        </w:rPr>
        <w:t xml:space="preserve">. Springer Science &amp; Business Media. </w:t>
      </w:r>
      <w:r>
        <w:rPr>
          <w:rFonts w:ascii="Times New Roman" w:hAnsi="Times New Roman" w:cs="Times New Roman" w:eastAsia="Times New Roman"/>
          <w:sz w:val="20"/>
          <w:szCs w:val="20"/>
        </w:rPr>
        <w:t xml:space="preserve">https://doi.org/10.1007/978-3-7908-2882-5</w:t>
      </w:r>
    </w:p>
    <w:p>
      <w:pPr>
        <w:spacing w:after="60" w:line="240" w:lineRule="auto"/>
        <w:ind w:left="360" w:hanging="360"/>
        <w:jc w:val="left"/>
      </w:pPr>
      <w:r>
        <w:rPr>
          <w:rFonts w:ascii="Times New Roman" w:hAnsi="Times New Roman" w:cs="Times New Roman" w:eastAsia="Times New Roman"/>
          <w:sz w:val="20"/>
          <w:szCs w:val="20"/>
        </w:rPr>
        <w:t xml:space="preserve">Atrill</w:t>
      </w:r>
      <w:r>
        <w:rPr>
          <w:rFonts w:ascii="Times New Roman" w:hAnsi="Times New Roman" w:cs="Times New Roman" w:eastAsia="Times New Roman"/>
          <w:sz w:val="20"/>
          <w:szCs w:val="20"/>
        </w:rPr>
        <w:t xml:space="preserve">, P. (2006). </w:t>
      </w:r>
      <w:r>
        <w:rPr>
          <w:rFonts w:ascii="Times New Roman" w:hAnsi="Times New Roman" w:cs="Times New Roman" w:eastAsia="Times New Roman"/>
          <w:i/>
          <w:iCs/>
          <w:sz w:val="20"/>
          <w:szCs w:val="20"/>
        </w:rPr>
        <w:t xml:space="preserve">Financial management for decision makers</w:t>
      </w:r>
      <w:r>
        <w:rPr>
          <w:rFonts w:ascii="Times New Roman" w:hAnsi="Times New Roman" w:cs="Times New Roman" w:eastAsia="Times New Roman"/>
          <w:sz w:val="20"/>
          <w:szCs w:val="20"/>
        </w:rPr>
        <w:t xml:space="preserve"> (4th ed.). Financial Times Prentice Hall.</w:t>
      </w:r>
    </w:p>
    <w:p>
      <w:pPr>
        <w:spacing w:after="60" w:line="240" w:lineRule="auto"/>
        <w:ind w:left="360" w:hanging="360"/>
        <w:jc w:val="left"/>
      </w:pPr>
      <w:r>
        <w:rPr>
          <w:rFonts w:ascii="Times New Roman" w:hAnsi="Times New Roman" w:cs="Times New Roman" w:eastAsia="Times New Roman"/>
          <w:sz w:val="20"/>
          <w:szCs w:val="20"/>
        </w:rPr>
        <w:t xml:space="preserve">Beckett, R., &amp; Jonker, J. (2002). </w:t>
      </w:r>
      <w:r>
        <w:rPr>
          <w:rFonts w:ascii="Times New Roman" w:hAnsi="Times New Roman" w:cs="Times New Roman" w:eastAsia="Times New Roman"/>
          <w:sz w:val="20"/>
          <w:szCs w:val="20"/>
        </w:rPr>
        <w:t xml:space="preserve">AccountAbility</w:t>
      </w:r>
      <w:r>
        <w:rPr>
          <w:rFonts w:ascii="Times New Roman" w:hAnsi="Times New Roman" w:cs="Times New Roman" w:eastAsia="Times New Roman"/>
          <w:sz w:val="20"/>
          <w:szCs w:val="20"/>
        </w:rPr>
        <w:t xml:space="preserve"> 1000: A new social standard for building sustainability. </w:t>
      </w:r>
      <w:r>
        <w:rPr>
          <w:rFonts w:ascii="Times New Roman" w:hAnsi="Times New Roman" w:cs="Times New Roman" w:eastAsia="Times New Roman"/>
          <w:i/>
          <w:iCs/>
          <w:sz w:val="20"/>
          <w:szCs w:val="20"/>
        </w:rPr>
        <w:t xml:space="preserve">Managerial Auditing Journal</w:t>
      </w:r>
      <w:r>
        <w:rPr>
          <w:rFonts w:ascii="Times New Roman" w:hAnsi="Times New Roman" w:cs="Times New Roman" w:eastAsia="Times New Roman"/>
          <w:sz w:val="20"/>
          <w:szCs w:val="20"/>
        </w:rPr>
        <w:t xml:space="preserve">, 17(1/2), 36-42. </w:t>
      </w:r>
      <w:r>
        <w:rPr>
          <w:rFonts w:ascii="Times New Roman" w:hAnsi="Times New Roman" w:cs="Times New Roman" w:eastAsia="Times New Roman"/>
          <w:sz w:val="20"/>
          <w:szCs w:val="20"/>
        </w:rPr>
        <w:t xml:space="preserve">https://doi.org/10.1108/02686900210412225</w:t>
      </w:r>
    </w:p>
    <w:p>
      <w:pPr>
        <w:spacing w:after="60" w:line="240" w:lineRule="auto"/>
        <w:ind w:left="360" w:hanging="360"/>
        <w:jc w:val="left"/>
      </w:pPr>
      <w:r>
        <w:rPr>
          <w:rFonts w:ascii="Times New Roman" w:hAnsi="Times New Roman" w:cs="Times New Roman" w:eastAsia="Times New Roman"/>
          <w:sz w:val="20"/>
          <w:szCs w:val="20"/>
        </w:rPr>
        <w:t xml:space="preserve">Behn, R. D. (2001). </w:t>
      </w:r>
      <w:r>
        <w:rPr>
          <w:rFonts w:ascii="Times New Roman" w:hAnsi="Times New Roman" w:cs="Times New Roman" w:eastAsia="Times New Roman"/>
          <w:i/>
          <w:iCs/>
          <w:sz w:val="20"/>
          <w:szCs w:val="20"/>
        </w:rPr>
        <w:t xml:space="preserve">Rethinking democratic accountability</w:t>
      </w:r>
      <w:r>
        <w:rPr>
          <w:rFonts w:ascii="Times New Roman" w:hAnsi="Times New Roman" w:cs="Times New Roman" w:eastAsia="Times New Roman"/>
          <w:sz w:val="20"/>
          <w:szCs w:val="20"/>
        </w:rPr>
        <w:t xml:space="preserve">. Brookings Institution Press.</w:t>
      </w:r>
    </w:p>
    <w:p>
      <w:pPr>
        <w:spacing w:after="60" w:line="240" w:lineRule="auto"/>
        <w:ind w:left="360" w:hanging="360"/>
        <w:jc w:val="left"/>
      </w:pPr>
      <w:r>
        <w:rPr>
          <w:rFonts w:ascii="Times New Roman" w:hAnsi="Times New Roman" w:cs="Times New Roman" w:eastAsia="Times New Roman"/>
          <w:sz w:val="20"/>
          <w:szCs w:val="20"/>
        </w:rPr>
        <w:t xml:space="preserve">Behn, R. D. (2003). Why measure performance? Different purposes require different measures. </w:t>
      </w:r>
      <w:r>
        <w:rPr>
          <w:rFonts w:ascii="Times New Roman" w:hAnsi="Times New Roman" w:cs="Times New Roman" w:eastAsia="Times New Roman"/>
          <w:i/>
          <w:iCs/>
          <w:sz w:val="20"/>
          <w:szCs w:val="20"/>
        </w:rPr>
        <w:t xml:space="preserve">Public Administration Review</w:t>
      </w:r>
      <w:r>
        <w:rPr>
          <w:rFonts w:ascii="Times New Roman" w:hAnsi="Times New Roman" w:cs="Times New Roman" w:eastAsia="Times New Roman"/>
          <w:sz w:val="20"/>
          <w:szCs w:val="20"/>
        </w:rPr>
        <w:t xml:space="preserve">, 63(5), 586-606. </w:t>
      </w:r>
      <w:r>
        <w:rPr>
          <w:rFonts w:ascii="Times New Roman" w:hAnsi="Times New Roman" w:cs="Times New Roman" w:eastAsia="Times New Roman"/>
          <w:sz w:val="20"/>
          <w:szCs w:val="20"/>
        </w:rPr>
        <w:t xml:space="preserve">https://doi.org/10.1111/1540-6210.00322</w:t>
      </w:r>
    </w:p>
    <w:p>
      <w:pPr>
        <w:spacing w:after="60" w:line="240" w:lineRule="auto"/>
        <w:ind w:left="360" w:hanging="360"/>
        <w:jc w:val="left"/>
      </w:pPr>
      <w:r>
        <w:rPr>
          <w:rFonts w:ascii="Times New Roman" w:hAnsi="Times New Roman" w:cs="Times New Roman" w:eastAsia="Times New Roman"/>
          <w:sz w:val="20"/>
          <w:szCs w:val="20"/>
        </w:rPr>
        <w:t xml:space="preserve">Bovens, M. (2007). </w:t>
      </w:r>
      <w:r>
        <w:rPr>
          <w:rFonts w:ascii="Times New Roman" w:hAnsi="Times New Roman" w:cs="Times New Roman" w:eastAsia="Times New Roman"/>
          <w:sz w:val="20"/>
          <w:szCs w:val="20"/>
        </w:rPr>
        <w:t xml:space="preserve">Analysing</w:t>
      </w:r>
      <w:r>
        <w:rPr>
          <w:rFonts w:ascii="Times New Roman" w:hAnsi="Times New Roman" w:cs="Times New Roman" w:eastAsia="Times New Roman"/>
          <w:sz w:val="20"/>
          <w:szCs w:val="20"/>
        </w:rPr>
        <w:t xml:space="preserve"> and assessing accountability: A conceptual framework. </w:t>
      </w:r>
      <w:r>
        <w:rPr>
          <w:rFonts w:ascii="Times New Roman" w:hAnsi="Times New Roman" w:cs="Times New Roman" w:eastAsia="Times New Roman"/>
          <w:i/>
          <w:iCs/>
          <w:sz w:val="20"/>
          <w:szCs w:val="20"/>
        </w:rPr>
        <w:t xml:space="preserve">European Law Journal</w:t>
      </w:r>
      <w:r>
        <w:rPr>
          <w:rFonts w:ascii="Times New Roman" w:hAnsi="Times New Roman" w:cs="Times New Roman" w:eastAsia="Times New Roman"/>
          <w:sz w:val="20"/>
          <w:szCs w:val="20"/>
        </w:rPr>
        <w:t xml:space="preserve">, 13(4), 447–468. </w:t>
      </w:r>
      <w:r>
        <w:rPr>
          <w:rFonts w:ascii="Times New Roman" w:hAnsi="Times New Roman" w:cs="Times New Roman" w:eastAsia="Times New Roman"/>
          <w:sz w:val="20"/>
          <w:szCs w:val="20"/>
        </w:rPr>
        <w:t xml:space="preserve">https://doi.org/10.1111/j.1468-0386.2007.00378.x</w:t>
      </w:r>
    </w:p>
    <w:p>
      <w:pPr>
        <w:spacing w:after="60" w:line="240" w:lineRule="auto"/>
        <w:ind w:left="360" w:hanging="360"/>
        <w:jc w:val="left"/>
      </w:pPr>
      <w:r>
        <w:rPr>
          <w:rFonts w:ascii="Times New Roman" w:hAnsi="Times New Roman" w:cs="Times New Roman" w:eastAsia="Times New Roman"/>
          <w:sz w:val="20"/>
          <w:szCs w:val="20"/>
        </w:rPr>
        <w:t xml:space="preserve">Bovens, M. A. P., Goodin, R. E., &amp; </w:t>
      </w:r>
      <w:r>
        <w:rPr>
          <w:rFonts w:ascii="Times New Roman" w:hAnsi="Times New Roman" w:cs="Times New Roman" w:eastAsia="Times New Roman"/>
          <w:sz w:val="20"/>
          <w:szCs w:val="20"/>
        </w:rPr>
        <w:t xml:space="preserve">Schillemans</w:t>
      </w:r>
      <w:r>
        <w:rPr>
          <w:rFonts w:ascii="Times New Roman" w:hAnsi="Times New Roman" w:cs="Times New Roman" w:eastAsia="Times New Roman"/>
          <w:sz w:val="20"/>
          <w:szCs w:val="20"/>
        </w:rPr>
        <w:t xml:space="preserve">, T. (Eds.). (2014). </w:t>
      </w:r>
      <w:r>
        <w:rPr>
          <w:rFonts w:ascii="Times New Roman" w:hAnsi="Times New Roman" w:cs="Times New Roman" w:eastAsia="Times New Roman"/>
          <w:i/>
          <w:iCs/>
          <w:sz w:val="20"/>
          <w:szCs w:val="20"/>
        </w:rPr>
        <w:t xml:space="preserve">The Oxford handbook of public accountability</w:t>
      </w:r>
      <w:r>
        <w:rPr>
          <w:rFonts w:ascii="Times New Roman" w:hAnsi="Times New Roman" w:cs="Times New Roman" w:eastAsia="Times New Roman"/>
          <w:sz w:val="20"/>
          <w:szCs w:val="20"/>
        </w:rPr>
        <w:t xml:space="preserve">. Oxford University Press. </w:t>
      </w:r>
      <w:r>
        <w:rPr>
          <w:rFonts w:ascii="Times New Roman" w:hAnsi="Times New Roman" w:cs="Times New Roman" w:eastAsia="Times New Roman"/>
          <w:sz w:val="20"/>
          <w:szCs w:val="20"/>
        </w:rPr>
        <w:t xml:space="preserve">https://doi.org/10.1093/oxfordhb/9780199641253.001.0001</w:t>
      </w:r>
    </w:p>
    <w:p>
      <w:pPr>
        <w:spacing w:after="60" w:line="240" w:lineRule="auto"/>
        <w:ind w:left="360" w:hanging="360"/>
        <w:jc w:val="left"/>
      </w:pPr>
      <w:r>
        <w:rPr>
          <w:rFonts w:ascii="Times New Roman" w:hAnsi="Times New Roman" w:cs="Times New Roman" w:eastAsia="Times New Roman"/>
          <w:sz w:val="20"/>
          <w:szCs w:val="20"/>
        </w:rPr>
        <w:t xml:space="preserve">Broadbent, J., &amp; Guthrie, J. (2008). Public sector to public services: 20 years of "contextual" accounting research. </w:t>
      </w:r>
      <w:r>
        <w:rPr>
          <w:rFonts w:ascii="Times New Roman" w:hAnsi="Times New Roman" w:cs="Times New Roman" w:eastAsia="Times New Roman"/>
          <w:i/>
          <w:iCs/>
          <w:sz w:val="20"/>
          <w:szCs w:val="20"/>
        </w:rPr>
        <w:t xml:space="preserve">Accounting, Auditing &amp; Accountability Journal</w:t>
      </w:r>
      <w:r>
        <w:rPr>
          <w:rFonts w:ascii="Times New Roman" w:hAnsi="Times New Roman" w:cs="Times New Roman" w:eastAsia="Times New Roman"/>
          <w:sz w:val="20"/>
          <w:szCs w:val="20"/>
        </w:rPr>
        <w:t xml:space="preserve">, 21(2), 129-169. </w:t>
      </w:r>
      <w:r>
        <w:rPr>
          <w:rFonts w:ascii="Times New Roman" w:hAnsi="Times New Roman" w:cs="Times New Roman" w:eastAsia="Times New Roman"/>
          <w:sz w:val="20"/>
          <w:szCs w:val="20"/>
        </w:rPr>
        <w:t xml:space="preserve">https://doi.org/10.1108/09513570810854383</w:t>
      </w:r>
    </w:p>
    <w:p>
      <w:pPr>
        <w:spacing w:after="60" w:line="240" w:lineRule="auto"/>
        <w:ind w:left="360" w:hanging="360"/>
        <w:jc w:val="left"/>
      </w:pPr>
      <w:r>
        <w:rPr>
          <w:rFonts w:ascii="Times New Roman" w:hAnsi="Times New Roman" w:cs="Times New Roman" w:eastAsia="Times New Roman"/>
          <w:sz w:val="20"/>
          <w:szCs w:val="20"/>
        </w:rPr>
        <w:t xml:space="preserve">Cangiano, M. M., </w:t>
      </w:r>
      <w:r>
        <w:rPr>
          <w:rFonts w:ascii="Times New Roman" w:hAnsi="Times New Roman" w:cs="Times New Roman" w:eastAsia="Times New Roman"/>
          <w:sz w:val="20"/>
          <w:szCs w:val="20"/>
        </w:rPr>
        <w:t xml:space="preserve">Curristine</w:t>
      </w:r>
      <w:r>
        <w:rPr>
          <w:rFonts w:ascii="Times New Roman" w:hAnsi="Times New Roman" w:cs="Times New Roman" w:eastAsia="Times New Roman"/>
          <w:sz w:val="20"/>
          <w:szCs w:val="20"/>
        </w:rPr>
        <w:t xml:space="preserve">, M. T. R., &amp; Lazare, M. M. (2013). </w:t>
      </w:r>
      <w:r>
        <w:rPr>
          <w:rFonts w:ascii="Times New Roman" w:hAnsi="Times New Roman" w:cs="Times New Roman" w:eastAsia="Times New Roman"/>
          <w:i/>
          <w:iCs/>
          <w:sz w:val="20"/>
          <w:szCs w:val="20"/>
        </w:rPr>
        <w:t xml:space="preserve">Public financial management and its emerging architecture</w:t>
      </w:r>
      <w:r>
        <w:rPr>
          <w:rFonts w:ascii="Times New Roman" w:hAnsi="Times New Roman" w:cs="Times New Roman" w:eastAsia="Times New Roman"/>
          <w:sz w:val="20"/>
          <w:szCs w:val="20"/>
        </w:rPr>
        <w:t xml:space="preserve">. International Monetary Fund. </w:t>
      </w:r>
      <w:r>
        <w:rPr>
          <w:rFonts w:ascii="Times New Roman" w:hAnsi="Times New Roman" w:cs="Times New Roman" w:eastAsia="Times New Roman"/>
          <w:sz w:val="20"/>
          <w:szCs w:val="20"/>
        </w:rPr>
        <w:t xml:space="preserve">https://doi.org/10.5089/9781475531091.071</w:t>
      </w:r>
    </w:p>
    <w:p>
      <w:pPr>
        <w:spacing w:after="60" w:line="240" w:lineRule="auto"/>
        <w:ind w:left="360" w:hanging="360"/>
        <w:jc w:val="left"/>
      </w:pPr>
      <w:r>
        <w:rPr>
          <w:rFonts w:ascii="Times New Roman" w:hAnsi="Times New Roman" w:cs="Times New Roman" w:eastAsia="Times New Roman"/>
          <w:sz w:val="20"/>
          <w:szCs w:val="20"/>
        </w:rPr>
        <w:t xml:space="preserve">Chan, J. L. (2003). Government accounting: An assessment of theory, purposes and standards. </w:t>
      </w:r>
      <w:r>
        <w:rPr>
          <w:rFonts w:ascii="Times New Roman" w:hAnsi="Times New Roman" w:cs="Times New Roman" w:eastAsia="Times New Roman"/>
          <w:i/>
          <w:iCs/>
          <w:sz w:val="20"/>
          <w:szCs w:val="20"/>
        </w:rPr>
        <w:t xml:space="preserve">Public Money &amp; Management</w:t>
      </w:r>
      <w:r>
        <w:rPr>
          <w:rFonts w:ascii="Times New Roman" w:hAnsi="Times New Roman" w:cs="Times New Roman" w:eastAsia="Times New Roman"/>
          <w:sz w:val="20"/>
          <w:szCs w:val="20"/>
        </w:rPr>
        <w:t xml:space="preserve">, 23(1), 13-20. </w:t>
      </w:r>
      <w:r>
        <w:rPr>
          <w:rFonts w:ascii="Times New Roman" w:hAnsi="Times New Roman" w:cs="Times New Roman" w:eastAsia="Times New Roman"/>
          <w:sz w:val="20"/>
          <w:szCs w:val="20"/>
        </w:rPr>
        <w:t xml:space="preserve">https://doi.org/10.1111/1467-9302.00340</w:t>
      </w:r>
    </w:p>
    <w:p>
      <w:pPr>
        <w:spacing w:after="60" w:line="240" w:lineRule="auto"/>
        <w:ind w:left="360" w:hanging="360"/>
        <w:jc w:val="left"/>
      </w:pPr>
      <w:r>
        <w:rPr>
          <w:rFonts w:ascii="Times New Roman" w:hAnsi="Times New Roman" w:cs="Times New Roman" w:eastAsia="Times New Roman"/>
          <w:sz w:val="20"/>
          <w:szCs w:val="20"/>
        </w:rPr>
        <w:t xml:space="preserve">Cohen, J. (1988). </w:t>
      </w:r>
      <w:r>
        <w:rPr>
          <w:rFonts w:ascii="Times New Roman" w:hAnsi="Times New Roman" w:cs="Times New Roman" w:eastAsia="Times New Roman"/>
          <w:i/>
          <w:iCs/>
          <w:sz w:val="20"/>
          <w:szCs w:val="20"/>
        </w:rPr>
        <w:t xml:space="preserve">Statistical power analysis for the behavioral sciences</w:t>
      </w:r>
      <w:r>
        <w:rPr>
          <w:rFonts w:ascii="Times New Roman" w:hAnsi="Times New Roman" w:cs="Times New Roman" w:eastAsia="Times New Roman"/>
          <w:sz w:val="20"/>
          <w:szCs w:val="20"/>
        </w:rPr>
        <w:t xml:space="preserve"> (2nd ed.). Lawrence Erlbaum Associates.</w:t>
      </w:r>
    </w:p>
    <w:p>
      <w:pPr>
        <w:spacing w:after="60" w:line="240" w:lineRule="auto"/>
        <w:ind w:left="360" w:hanging="360"/>
        <w:jc w:val="left"/>
      </w:pPr>
      <w:r>
        <w:rPr>
          <w:rFonts w:ascii="Times New Roman" w:hAnsi="Times New Roman" w:cs="Times New Roman" w:eastAsia="Times New Roman"/>
          <w:sz w:val="20"/>
          <w:szCs w:val="20"/>
        </w:rPr>
        <w:t xml:space="preserve">Committee of Sponsoring Organizations of the Treadway Commission (COSO). (2013). </w:t>
      </w:r>
      <w:r>
        <w:rPr>
          <w:rFonts w:ascii="Times New Roman" w:hAnsi="Times New Roman" w:cs="Times New Roman" w:eastAsia="Times New Roman"/>
          <w:i/>
          <w:iCs/>
          <w:sz w:val="20"/>
          <w:szCs w:val="20"/>
        </w:rPr>
        <w:t xml:space="preserve">Internal control-Integrated framework: Executive summary</w:t>
      </w:r>
      <w:r>
        <w:rPr>
          <w:rFonts w:ascii="Times New Roman" w:hAnsi="Times New Roman" w:cs="Times New Roman" w:eastAsia="Times New Roman"/>
          <w:sz w:val="20"/>
          <w:szCs w:val="20"/>
        </w:rPr>
        <w:t xml:space="preserve">. AICPA.</w:t>
      </w:r>
    </w:p>
    <w:p>
      <w:pPr>
        <w:spacing w:after="60" w:line="240" w:lineRule="auto"/>
        <w:ind w:left="360" w:hanging="360"/>
        <w:jc w:val="left"/>
      </w:pPr>
      <w:r>
        <w:rPr>
          <w:rFonts w:ascii="Times New Roman" w:hAnsi="Times New Roman" w:cs="Times New Roman" w:eastAsia="Times New Roman"/>
          <w:sz w:val="20"/>
          <w:szCs w:val="20"/>
        </w:rPr>
        <w:t xml:space="preserve">Davis, J. H., </w:t>
      </w:r>
      <w:r>
        <w:rPr>
          <w:rFonts w:ascii="Times New Roman" w:hAnsi="Times New Roman" w:cs="Times New Roman" w:eastAsia="Times New Roman"/>
          <w:sz w:val="20"/>
          <w:szCs w:val="20"/>
        </w:rPr>
        <w:t xml:space="preserve">Schoorman</w:t>
      </w:r>
      <w:r>
        <w:rPr>
          <w:rFonts w:ascii="Times New Roman" w:hAnsi="Times New Roman" w:cs="Times New Roman" w:eastAsia="Times New Roman"/>
          <w:sz w:val="20"/>
          <w:szCs w:val="20"/>
        </w:rPr>
        <w:t xml:space="preserve">, F. D., &amp; Donaldson, L. (1997). Toward a stewardship theory of management. </w:t>
      </w:r>
      <w:r>
        <w:rPr>
          <w:rFonts w:ascii="Times New Roman" w:hAnsi="Times New Roman" w:cs="Times New Roman" w:eastAsia="Times New Roman"/>
          <w:i/>
          <w:iCs/>
          <w:sz w:val="20"/>
          <w:szCs w:val="20"/>
        </w:rPr>
        <w:t xml:space="preserve">Academy of Management Review</w:t>
      </w:r>
      <w:r>
        <w:rPr>
          <w:rFonts w:ascii="Times New Roman" w:hAnsi="Times New Roman" w:cs="Times New Roman" w:eastAsia="Times New Roman"/>
          <w:sz w:val="20"/>
          <w:szCs w:val="20"/>
        </w:rPr>
        <w:t xml:space="preserve">, 22(1), 20-47. </w:t>
      </w:r>
      <w:r>
        <w:rPr>
          <w:rFonts w:ascii="Times New Roman" w:hAnsi="Times New Roman" w:cs="Times New Roman" w:eastAsia="Times New Roman"/>
          <w:sz w:val="20"/>
          <w:szCs w:val="20"/>
        </w:rPr>
        <w:t xml:space="preserve">https://doi.org/10.2307/259223</w:t>
      </w:r>
    </w:p>
    <w:p>
      <w:pPr>
        <w:spacing w:after="60" w:line="240" w:lineRule="auto"/>
        <w:ind w:left="360" w:hanging="360"/>
        <w:jc w:val="left"/>
      </w:pPr>
      <w:r>
        <w:rPr>
          <w:rFonts w:ascii="Times New Roman" w:hAnsi="Times New Roman" w:cs="Times New Roman" w:eastAsia="Times New Roman"/>
          <w:sz w:val="20"/>
          <w:szCs w:val="20"/>
        </w:rPr>
        <w:t xml:space="preserve">Demb, A., &amp; Neubauer, F. (1992). </w:t>
      </w:r>
      <w:r>
        <w:rPr>
          <w:rFonts w:ascii="Times New Roman" w:hAnsi="Times New Roman" w:cs="Times New Roman" w:eastAsia="Times New Roman"/>
          <w:i/>
          <w:iCs/>
          <w:sz w:val="20"/>
          <w:szCs w:val="20"/>
        </w:rPr>
        <w:t xml:space="preserve">The corporate board: Confronting the paradoxes</w:t>
      </w:r>
      <w:r>
        <w:rPr>
          <w:rFonts w:ascii="Times New Roman" w:hAnsi="Times New Roman" w:cs="Times New Roman" w:eastAsia="Times New Roman"/>
          <w:sz w:val="20"/>
          <w:szCs w:val="20"/>
        </w:rPr>
        <w:t xml:space="preserve">. Oxford University Press. </w:t>
      </w:r>
      <w:r>
        <w:rPr>
          <w:rFonts w:ascii="Times New Roman" w:hAnsi="Times New Roman" w:cs="Times New Roman" w:eastAsia="Times New Roman"/>
          <w:sz w:val="20"/>
          <w:szCs w:val="20"/>
        </w:rPr>
        <w:t xml:space="preserve">https://doi.org/10.1093/oso/9780195070392.001.0001</w:t>
      </w:r>
    </w:p>
    <w:p>
      <w:pPr>
        <w:spacing w:after="60" w:line="240" w:lineRule="auto"/>
        <w:ind w:left="360" w:hanging="360"/>
        <w:jc w:val="left"/>
      </w:pPr>
      <w:r>
        <w:rPr>
          <w:rFonts w:ascii="Times New Roman" w:hAnsi="Times New Roman" w:cs="Times New Roman" w:eastAsia="Times New Roman"/>
          <w:sz w:val="20"/>
          <w:szCs w:val="20"/>
        </w:rPr>
        <w:t xml:space="preserve">DiMaggio, P. J., &amp; Powell, W. W. (1983). The iron cage revisited: Institutional isomorphism and collective rationality in organizational fields. </w:t>
      </w:r>
      <w:r>
        <w:rPr>
          <w:rFonts w:ascii="Times New Roman" w:hAnsi="Times New Roman" w:cs="Times New Roman" w:eastAsia="Times New Roman"/>
          <w:i/>
          <w:iCs/>
          <w:sz w:val="20"/>
          <w:szCs w:val="20"/>
        </w:rPr>
        <w:t xml:space="preserve">American Sociological Review</w:t>
      </w:r>
      <w:r>
        <w:rPr>
          <w:rFonts w:ascii="Times New Roman" w:hAnsi="Times New Roman" w:cs="Times New Roman" w:eastAsia="Times New Roman"/>
          <w:sz w:val="20"/>
          <w:szCs w:val="20"/>
        </w:rPr>
        <w:t xml:space="preserve">, 48(2), 147-160. </w:t>
      </w:r>
      <w:r>
        <w:rPr>
          <w:rFonts w:ascii="Times New Roman" w:hAnsi="Times New Roman" w:cs="Times New Roman" w:eastAsia="Times New Roman"/>
          <w:sz w:val="20"/>
          <w:szCs w:val="20"/>
        </w:rPr>
        <w:t xml:space="preserve">https://doi.org/10.2307/2095101</w:t>
      </w:r>
    </w:p>
    <w:p>
      <w:pPr>
        <w:spacing w:after="60" w:line="240" w:lineRule="auto"/>
        <w:ind w:left="360" w:hanging="360"/>
        <w:jc w:val="left"/>
      </w:pPr>
      <w:r>
        <w:rPr>
          <w:rFonts w:ascii="Times New Roman" w:hAnsi="Times New Roman" w:cs="Times New Roman" w:eastAsia="Times New Roman"/>
          <w:sz w:val="20"/>
          <w:szCs w:val="20"/>
        </w:rPr>
        <w:t xml:space="preserve">Doyle, J., Ge, W., &amp; McVay, S. (2007). Determinants of weaknesses in internal control over financial reporting. </w:t>
      </w:r>
      <w:r>
        <w:rPr>
          <w:rFonts w:ascii="Times New Roman" w:hAnsi="Times New Roman" w:cs="Times New Roman" w:eastAsia="Times New Roman"/>
          <w:i/>
          <w:iCs/>
          <w:sz w:val="20"/>
          <w:szCs w:val="20"/>
        </w:rPr>
        <w:t xml:space="preserve">Journal of Accounting and Economics</w:t>
      </w:r>
      <w:r>
        <w:rPr>
          <w:rFonts w:ascii="Times New Roman" w:hAnsi="Times New Roman" w:cs="Times New Roman" w:eastAsia="Times New Roman"/>
          <w:sz w:val="20"/>
          <w:szCs w:val="20"/>
        </w:rPr>
        <w:t xml:space="preserve">, 44(1-2), 193-223. </w:t>
      </w:r>
      <w:r>
        <w:rPr>
          <w:rFonts w:ascii="Times New Roman" w:hAnsi="Times New Roman" w:cs="Times New Roman" w:eastAsia="Times New Roman"/>
          <w:sz w:val="20"/>
          <w:szCs w:val="20"/>
        </w:rPr>
        <w:t xml:space="preserve">https://doi.org/10.1016/j.jacceco.2006.10.003</w:t>
      </w:r>
    </w:p>
    <w:p>
      <w:pPr>
        <w:spacing w:after="60" w:line="240" w:lineRule="auto"/>
        <w:ind w:left="360" w:hanging="360"/>
        <w:jc w:val="left"/>
      </w:pPr>
      <w:r>
        <w:rPr>
          <w:rFonts w:ascii="Times New Roman" w:hAnsi="Times New Roman" w:cs="Times New Roman" w:eastAsia="Times New Roman"/>
          <w:sz w:val="20"/>
          <w:szCs w:val="20"/>
        </w:rPr>
        <w:t xml:space="preserve">Ebrahim, A. (2003). Accountability in practice: Mechanisms for NGOs. </w:t>
      </w:r>
      <w:r>
        <w:rPr>
          <w:rFonts w:ascii="Times New Roman" w:hAnsi="Times New Roman" w:cs="Times New Roman" w:eastAsia="Times New Roman"/>
          <w:i/>
          <w:iCs/>
          <w:sz w:val="20"/>
          <w:szCs w:val="20"/>
        </w:rPr>
        <w:t xml:space="preserve">World Development</w:t>
      </w:r>
      <w:r>
        <w:rPr>
          <w:rFonts w:ascii="Times New Roman" w:hAnsi="Times New Roman" w:cs="Times New Roman" w:eastAsia="Times New Roman"/>
          <w:sz w:val="20"/>
          <w:szCs w:val="20"/>
        </w:rPr>
        <w:t xml:space="preserve">, 31(5), 813-829. </w:t>
      </w:r>
      <w:r>
        <w:rPr>
          <w:rFonts w:ascii="Times New Roman" w:hAnsi="Times New Roman" w:cs="Times New Roman" w:eastAsia="Times New Roman"/>
          <w:sz w:val="20"/>
          <w:szCs w:val="20"/>
        </w:rPr>
        <w:t xml:space="preserve">https://doi.org/10.1016/S0305-750X(03)00014-7</w:t>
      </w:r>
    </w:p>
    <w:p>
      <w:pPr>
        <w:spacing w:after="60" w:line="240" w:lineRule="auto"/>
        <w:ind w:left="360" w:hanging="360"/>
        <w:jc w:val="left"/>
      </w:pPr>
      <w:r>
        <w:rPr>
          <w:rFonts w:ascii="Times New Roman" w:hAnsi="Times New Roman" w:cs="Times New Roman" w:eastAsia="Times New Roman"/>
          <w:sz w:val="20"/>
          <w:szCs w:val="20"/>
        </w:rPr>
        <w:t xml:space="preserve">Ebrahim, A. (2003). Making NGOs accountable: Corporate governance and NGO accountability. </w:t>
      </w:r>
      <w:r>
        <w:rPr>
          <w:rFonts w:ascii="Times New Roman" w:hAnsi="Times New Roman" w:cs="Times New Roman" w:eastAsia="Times New Roman"/>
          <w:i/>
          <w:iCs/>
          <w:sz w:val="20"/>
          <w:szCs w:val="20"/>
        </w:rPr>
        <w:t xml:space="preserve">Public Administration Review</w:t>
      </w:r>
      <w:r>
        <w:rPr>
          <w:rFonts w:ascii="Times New Roman" w:hAnsi="Times New Roman" w:cs="Times New Roman" w:eastAsia="Times New Roman"/>
          <w:sz w:val="20"/>
          <w:szCs w:val="20"/>
        </w:rPr>
        <w:t xml:space="preserve">, 63(2), 192-205.</w:t>
      </w:r>
    </w:p>
    <w:p>
      <w:pPr>
        <w:spacing w:after="60" w:line="240" w:lineRule="auto"/>
        <w:ind w:left="360" w:hanging="360"/>
        <w:jc w:val="left"/>
      </w:pPr>
      <w:r>
        <w:rPr>
          <w:rFonts w:ascii="Times New Roman" w:hAnsi="Times New Roman" w:cs="Times New Roman" w:eastAsia="Times New Roman"/>
          <w:sz w:val="20"/>
          <w:szCs w:val="20"/>
        </w:rPr>
        <w:t xml:space="preserve">Efron, B., &amp; Tibshirani, R. J. (1993). </w:t>
      </w:r>
      <w:r>
        <w:rPr>
          <w:rFonts w:ascii="Times New Roman" w:hAnsi="Times New Roman" w:cs="Times New Roman" w:eastAsia="Times New Roman"/>
          <w:i/>
          <w:iCs/>
          <w:sz w:val="20"/>
          <w:szCs w:val="20"/>
        </w:rPr>
        <w:t xml:space="preserve">An introduction to the bootstrap</w:t>
      </w:r>
      <w:r>
        <w:rPr>
          <w:rFonts w:ascii="Times New Roman" w:hAnsi="Times New Roman" w:cs="Times New Roman" w:eastAsia="Times New Roman"/>
          <w:sz w:val="20"/>
          <w:szCs w:val="20"/>
        </w:rPr>
        <w:t xml:space="preserve">. Chapman &amp; Hall.</w:t>
      </w:r>
    </w:p>
    <w:p>
      <w:pPr>
        <w:spacing w:after="60" w:line="240" w:lineRule="auto"/>
        <w:ind w:left="360" w:hanging="360"/>
        <w:jc w:val="left"/>
      </w:pPr>
      <w:r>
        <w:rPr>
          <w:rFonts w:ascii="Times New Roman" w:hAnsi="Times New Roman" w:cs="Times New Roman" w:eastAsia="Times New Roman"/>
          <w:sz w:val="20"/>
          <w:szCs w:val="20"/>
        </w:rPr>
        <w:t xml:space="preserve">Eisenhardt, K. M. (1989). Agency theory: An assessment and review. </w:t>
      </w:r>
      <w:r>
        <w:rPr>
          <w:rFonts w:ascii="Times New Roman" w:hAnsi="Times New Roman" w:cs="Times New Roman" w:eastAsia="Times New Roman"/>
          <w:i/>
          <w:iCs/>
          <w:sz w:val="20"/>
          <w:szCs w:val="20"/>
        </w:rPr>
        <w:t xml:space="preserve">Academy of Management Review</w:t>
      </w:r>
      <w:r>
        <w:rPr>
          <w:rFonts w:ascii="Times New Roman" w:hAnsi="Times New Roman" w:cs="Times New Roman" w:eastAsia="Times New Roman"/>
          <w:sz w:val="20"/>
          <w:szCs w:val="20"/>
        </w:rPr>
        <w:t xml:space="preserve">, 14(1), 57-74. </w:t>
      </w:r>
      <w:r>
        <w:rPr>
          <w:rFonts w:ascii="Times New Roman" w:hAnsi="Times New Roman" w:cs="Times New Roman" w:eastAsia="Times New Roman"/>
          <w:sz w:val="20"/>
          <w:szCs w:val="20"/>
        </w:rPr>
        <w:t xml:space="preserve">https://doi.org/10.2307/258191</w:t>
      </w:r>
    </w:p>
    <w:p>
      <w:pPr>
        <w:spacing w:after="60" w:line="240" w:lineRule="auto"/>
        <w:ind w:left="360" w:hanging="360"/>
        <w:jc w:val="left"/>
      </w:pPr>
      <w:r>
        <w:rPr>
          <w:rFonts w:ascii="Times New Roman" w:hAnsi="Times New Roman" w:cs="Times New Roman" w:eastAsia="Times New Roman"/>
          <w:sz w:val="20"/>
          <w:szCs w:val="20"/>
        </w:rPr>
        <w:t xml:space="preserve">Ferry, L., Radcliffe, V. S., &amp; </w:t>
      </w:r>
      <w:r>
        <w:rPr>
          <w:rFonts w:ascii="Times New Roman" w:hAnsi="Times New Roman" w:cs="Times New Roman" w:eastAsia="Times New Roman"/>
          <w:sz w:val="20"/>
          <w:szCs w:val="20"/>
        </w:rPr>
        <w:t xml:space="preserve">Steccolini</w:t>
      </w:r>
      <w:r>
        <w:rPr>
          <w:rFonts w:ascii="Times New Roman" w:hAnsi="Times New Roman" w:cs="Times New Roman" w:eastAsia="Times New Roman"/>
          <w:sz w:val="20"/>
          <w:szCs w:val="20"/>
        </w:rPr>
        <w:t xml:space="preserve">, I. (2022). The future of public audit. </w:t>
      </w:r>
      <w:r>
        <w:rPr>
          <w:rFonts w:ascii="Times New Roman" w:hAnsi="Times New Roman" w:cs="Times New Roman" w:eastAsia="Times New Roman"/>
          <w:i/>
          <w:iCs/>
          <w:sz w:val="20"/>
          <w:szCs w:val="20"/>
        </w:rPr>
        <w:t xml:space="preserve">Financial Accountability &amp; Management, 38</w:t>
      </w:r>
      <w:r>
        <w:rPr>
          <w:rFonts w:ascii="Times New Roman" w:hAnsi="Times New Roman" w:cs="Times New Roman" w:eastAsia="Times New Roman"/>
          <w:sz w:val="20"/>
          <w:szCs w:val="20"/>
        </w:rPr>
        <w:t xml:space="preserve">(3), 325–336. </w:t>
      </w:r>
      <w:r>
        <w:rPr>
          <w:rFonts w:ascii="Times New Roman" w:hAnsi="Times New Roman" w:cs="Times New Roman" w:eastAsia="Times New Roman"/>
          <w:sz w:val="20"/>
          <w:szCs w:val="20"/>
        </w:rPr>
        <w:t xml:space="preserve">https://doi.org/10.1111/faam.12339</w:t>
      </w:r>
    </w:p>
    <w:p>
      <w:pPr>
        <w:spacing w:after="60" w:line="240" w:lineRule="auto"/>
        <w:ind w:left="360" w:hanging="360"/>
        <w:jc w:val="left"/>
      </w:pPr>
      <w:r>
        <w:rPr>
          <w:rFonts w:ascii="Times New Roman" w:hAnsi="Times New Roman" w:cs="Times New Roman" w:eastAsia="Times New Roman"/>
          <w:sz w:val="20"/>
          <w:szCs w:val="20"/>
        </w:rPr>
        <w:t xml:space="preserve">Fornell, C., &amp; Larcker, D. F. (1981). Evaluating structural equation models with unobservable variables and measurement error. </w:t>
      </w:r>
      <w:r>
        <w:rPr>
          <w:rFonts w:ascii="Times New Roman" w:hAnsi="Times New Roman" w:cs="Times New Roman" w:eastAsia="Times New Roman"/>
          <w:i/>
          <w:iCs/>
          <w:sz w:val="20"/>
          <w:szCs w:val="20"/>
        </w:rPr>
        <w:t xml:space="preserve">Journal of Marketing Research</w:t>
      </w:r>
      <w:r>
        <w:rPr>
          <w:rFonts w:ascii="Times New Roman" w:hAnsi="Times New Roman" w:cs="Times New Roman" w:eastAsia="Times New Roman"/>
          <w:sz w:val="20"/>
          <w:szCs w:val="20"/>
        </w:rPr>
        <w:t xml:space="preserve">, 18(1), 39-50. </w:t>
      </w:r>
      <w:r>
        <w:rPr>
          <w:rFonts w:ascii="Times New Roman" w:hAnsi="Times New Roman" w:cs="Times New Roman" w:eastAsia="Times New Roman"/>
          <w:sz w:val="20"/>
          <w:szCs w:val="20"/>
        </w:rPr>
        <w:t xml:space="preserve">https://doi.org/10.1177/002224378101800104</w:t>
      </w:r>
    </w:p>
    <w:p>
      <w:pPr>
        <w:spacing w:after="60" w:line="240" w:lineRule="auto"/>
        <w:ind w:left="360" w:hanging="360"/>
        <w:jc w:val="left"/>
      </w:pPr>
      <w:r>
        <w:rPr>
          <w:rFonts w:ascii="Times New Roman" w:hAnsi="Times New Roman" w:cs="Times New Roman" w:eastAsia="Times New Roman"/>
          <w:sz w:val="20"/>
          <w:szCs w:val="20"/>
        </w:rPr>
        <w:t xml:space="preserve">Fung, A. (2006). Varieties of participation in complex governance. </w:t>
      </w:r>
      <w:r>
        <w:rPr>
          <w:rFonts w:ascii="Times New Roman" w:hAnsi="Times New Roman" w:cs="Times New Roman" w:eastAsia="Times New Roman"/>
          <w:i/>
          <w:iCs/>
          <w:sz w:val="20"/>
          <w:szCs w:val="20"/>
        </w:rPr>
        <w:t xml:space="preserve">Public Administration Review</w:t>
      </w:r>
      <w:r>
        <w:rPr>
          <w:rFonts w:ascii="Times New Roman" w:hAnsi="Times New Roman" w:cs="Times New Roman" w:eastAsia="Times New Roman"/>
          <w:sz w:val="20"/>
          <w:szCs w:val="20"/>
        </w:rPr>
        <w:t xml:space="preserve">, 66, 66-75. </w:t>
      </w:r>
      <w:r>
        <w:rPr>
          <w:rFonts w:ascii="Times New Roman" w:hAnsi="Times New Roman" w:cs="Times New Roman" w:eastAsia="Times New Roman"/>
          <w:sz w:val="20"/>
          <w:szCs w:val="20"/>
        </w:rPr>
        <w:t xml:space="preserve">https://doi.org/10.1111/j.1540-6210.2006.00667.x</w:t>
      </w:r>
    </w:p>
    <w:p>
      <w:pPr>
        <w:spacing w:after="60" w:line="240" w:lineRule="auto"/>
        <w:ind w:left="360" w:hanging="360"/>
        <w:jc w:val="left"/>
      </w:pPr>
      <w:r>
        <w:rPr>
          <w:rFonts w:ascii="Times New Roman" w:hAnsi="Times New Roman" w:cs="Times New Roman" w:eastAsia="Times New Roman"/>
          <w:sz w:val="20"/>
          <w:szCs w:val="20"/>
        </w:rPr>
        <w:t xml:space="preserve">Gendron, Y., Cooper, D. J., &amp; Townley, B. (2007). The construction of auditing expertise in measuring government performance. </w:t>
      </w:r>
      <w:r>
        <w:rPr>
          <w:rFonts w:ascii="Times New Roman" w:hAnsi="Times New Roman" w:cs="Times New Roman" w:eastAsia="Times New Roman"/>
          <w:i/>
          <w:iCs/>
          <w:sz w:val="20"/>
          <w:szCs w:val="20"/>
        </w:rPr>
        <w:t xml:space="preserve">Accounting, Organizations and Society</w:t>
      </w:r>
      <w:r>
        <w:rPr>
          <w:rFonts w:ascii="Times New Roman" w:hAnsi="Times New Roman" w:cs="Times New Roman" w:eastAsia="Times New Roman"/>
          <w:sz w:val="20"/>
          <w:szCs w:val="20"/>
        </w:rPr>
        <w:t xml:space="preserve">, 32(1-2), 101-129. </w:t>
      </w:r>
      <w:r>
        <w:rPr>
          <w:rFonts w:ascii="Times New Roman" w:hAnsi="Times New Roman" w:cs="Times New Roman" w:eastAsia="Times New Roman"/>
          <w:sz w:val="20"/>
          <w:szCs w:val="20"/>
        </w:rPr>
        <w:t xml:space="preserve">https://doi.org/10.1016/j.aos.2006.03.005</w:t>
      </w:r>
    </w:p>
    <w:p>
      <w:pPr>
        <w:spacing w:after="60" w:line="240" w:lineRule="auto"/>
        <w:ind w:left="360" w:hanging="360"/>
        <w:jc w:val="left"/>
      </w:pPr>
      <w:r>
        <w:rPr>
          <w:rFonts w:ascii="Times New Roman" w:hAnsi="Times New Roman" w:cs="Times New Roman" w:eastAsia="Times New Roman"/>
          <w:sz w:val="20"/>
          <w:szCs w:val="20"/>
        </w:rPr>
        <w:t xml:space="preserve">Goh, B. W. (2009). Audit committees, boards of directors, and remediation of material weaknesses in internal control. </w:t>
      </w:r>
      <w:r>
        <w:rPr>
          <w:rFonts w:ascii="Times New Roman" w:hAnsi="Times New Roman" w:cs="Times New Roman" w:eastAsia="Times New Roman"/>
          <w:i/>
          <w:iCs/>
          <w:sz w:val="20"/>
          <w:szCs w:val="20"/>
        </w:rPr>
        <w:t xml:space="preserve">Contemporary Accounting Research</w:t>
      </w:r>
      <w:r>
        <w:rPr>
          <w:rFonts w:ascii="Times New Roman" w:hAnsi="Times New Roman" w:cs="Times New Roman" w:eastAsia="Times New Roman"/>
          <w:sz w:val="20"/>
          <w:szCs w:val="20"/>
        </w:rPr>
        <w:t xml:space="preserve">, 26(2), 549-579. </w:t>
      </w:r>
      <w:r>
        <w:rPr>
          <w:rFonts w:ascii="Times New Roman" w:hAnsi="Times New Roman" w:cs="Times New Roman" w:eastAsia="Times New Roman"/>
          <w:sz w:val="20"/>
          <w:szCs w:val="20"/>
        </w:rPr>
        <w:t xml:space="preserve">https://doi.org/10.1506/car.26.2.9</w:t>
      </w:r>
    </w:p>
    <w:p>
      <w:pPr>
        <w:spacing w:after="60" w:line="240" w:lineRule="auto"/>
        <w:ind w:left="360" w:hanging="360"/>
        <w:jc w:val="left"/>
      </w:pPr>
      <w:r>
        <w:rPr>
          <w:rFonts w:ascii="Times New Roman" w:hAnsi="Times New Roman" w:cs="Times New Roman" w:eastAsia="Times New Roman"/>
          <w:sz w:val="20"/>
          <w:szCs w:val="20"/>
        </w:rPr>
        <w:t xml:space="preserve">Goodwin‐Stewart, J., &amp; Kent, P. (2006). The use of internal audit by Australian companies. </w:t>
      </w:r>
      <w:r>
        <w:rPr>
          <w:rFonts w:ascii="Times New Roman" w:hAnsi="Times New Roman" w:cs="Times New Roman" w:eastAsia="Times New Roman"/>
          <w:i/>
          <w:iCs/>
          <w:sz w:val="20"/>
          <w:szCs w:val="20"/>
        </w:rPr>
        <w:t xml:space="preserve">Managerial Auditing Journal</w:t>
      </w:r>
      <w:r>
        <w:rPr>
          <w:rFonts w:ascii="Times New Roman" w:hAnsi="Times New Roman" w:cs="Times New Roman" w:eastAsia="Times New Roman"/>
          <w:sz w:val="20"/>
          <w:szCs w:val="20"/>
        </w:rPr>
        <w:t xml:space="preserve">, 21(1), 81-101. </w:t>
      </w:r>
      <w:r>
        <w:rPr>
          <w:rFonts w:ascii="Times New Roman" w:hAnsi="Times New Roman" w:cs="Times New Roman" w:eastAsia="Times New Roman"/>
          <w:sz w:val="20"/>
          <w:szCs w:val="20"/>
        </w:rPr>
        <w:t xml:space="preserve">https://doi.org/10.1108/02686900610634775</w:t>
      </w:r>
    </w:p>
    <w:p>
      <w:pPr>
        <w:spacing w:after="60" w:line="240" w:lineRule="auto"/>
        <w:ind w:left="360" w:hanging="360"/>
        <w:jc w:val="left"/>
      </w:pPr>
      <w:r>
        <w:rPr>
          <w:rFonts w:ascii="Times New Roman" w:hAnsi="Times New Roman" w:cs="Times New Roman" w:eastAsia="Times New Roman"/>
          <w:sz w:val="20"/>
          <w:szCs w:val="20"/>
        </w:rPr>
        <w:t xml:space="preserve">Gourbier, L., et al. (2025). Risk management in the public sector: A comparative perspective. </w:t>
      </w:r>
      <w:r>
        <w:rPr>
          <w:rFonts w:ascii="Times New Roman" w:hAnsi="Times New Roman" w:cs="Times New Roman" w:eastAsia="Times New Roman"/>
          <w:i/>
          <w:iCs/>
          <w:sz w:val="20"/>
          <w:szCs w:val="20"/>
        </w:rPr>
        <w:t xml:space="preserve">Financial Accountability &amp; Management</w:t>
      </w:r>
      <w:r>
        <w:rPr>
          <w:rFonts w:ascii="Times New Roman" w:hAnsi="Times New Roman" w:cs="Times New Roman" w:eastAsia="Times New Roman"/>
          <w:sz w:val="20"/>
          <w:szCs w:val="20"/>
        </w:rPr>
        <w:t xml:space="preserve">. </w:t>
      </w:r>
    </w:p>
    <w:p>
      <w:pPr>
        <w:spacing w:after="60" w:line="240" w:lineRule="auto"/>
        <w:ind w:left="360" w:hanging="360"/>
        <w:jc w:val="left"/>
      </w:pPr>
      <w:r>
        <w:rPr>
          <w:rFonts w:ascii="Times New Roman" w:hAnsi="Times New Roman" w:cs="Times New Roman" w:eastAsia="Times New Roman"/>
          <w:sz w:val="20"/>
          <w:szCs w:val="20"/>
        </w:rPr>
        <w:t xml:space="preserve">Hall, A. T. (2005). </w:t>
      </w:r>
      <w:r>
        <w:rPr>
          <w:rFonts w:ascii="Times New Roman" w:hAnsi="Times New Roman" w:cs="Times New Roman" w:eastAsia="Times New Roman"/>
          <w:i/>
          <w:iCs/>
          <w:sz w:val="20"/>
          <w:szCs w:val="20"/>
        </w:rPr>
        <w:t xml:space="preserve">Accountability in organizations: An examination of antecedents and consequences</w:t>
      </w:r>
      <w:r>
        <w:rPr>
          <w:rFonts w:ascii="Times New Roman" w:hAnsi="Times New Roman" w:cs="Times New Roman" w:eastAsia="Times New Roman"/>
          <w:sz w:val="20"/>
          <w:szCs w:val="20"/>
        </w:rPr>
        <w:t xml:space="preserve"> (Unpublished doctoral dissertation). The Florida State University.</w:t>
      </w:r>
    </w:p>
    <w:p>
      <w:pPr>
        <w:spacing w:after="60" w:line="240" w:lineRule="auto"/>
        <w:ind w:left="360" w:hanging="360"/>
        <w:jc w:val="left"/>
      </w:pPr>
      <w:r>
        <w:rPr>
          <w:rFonts w:ascii="Times New Roman" w:hAnsi="Times New Roman" w:cs="Times New Roman" w:eastAsia="Times New Roman"/>
          <w:sz w:val="20"/>
          <w:szCs w:val="20"/>
        </w:rPr>
        <w:t xml:space="preserve">Hanim Fadzil, F., Haron, H., &amp; Jantan, M. (2005). Internal auditing practices and internal control system. </w:t>
      </w:r>
      <w:r>
        <w:rPr>
          <w:rFonts w:ascii="Times New Roman" w:hAnsi="Times New Roman" w:cs="Times New Roman" w:eastAsia="Times New Roman"/>
          <w:i/>
          <w:iCs/>
          <w:sz w:val="20"/>
          <w:szCs w:val="20"/>
        </w:rPr>
        <w:t xml:space="preserve">Managerial Auditing Journal</w:t>
      </w:r>
      <w:r>
        <w:rPr>
          <w:rFonts w:ascii="Times New Roman" w:hAnsi="Times New Roman" w:cs="Times New Roman" w:eastAsia="Times New Roman"/>
          <w:sz w:val="20"/>
          <w:szCs w:val="20"/>
        </w:rPr>
        <w:t xml:space="preserve">, 20(8), 844-866. </w:t>
      </w:r>
      <w:r>
        <w:rPr>
          <w:rFonts w:ascii="Times New Roman" w:hAnsi="Times New Roman" w:cs="Times New Roman" w:eastAsia="Times New Roman"/>
          <w:sz w:val="20"/>
          <w:szCs w:val="20"/>
        </w:rPr>
        <w:t xml:space="preserve">https://doi.org/10.1108/02686900510619683</w:t>
      </w:r>
    </w:p>
    <w:p>
      <w:pPr>
        <w:spacing w:after="60" w:line="240" w:lineRule="auto"/>
        <w:ind w:left="360" w:hanging="360"/>
        <w:jc w:val="left"/>
      </w:pPr>
      <w:r>
        <w:rPr>
          <w:rFonts w:ascii="Times New Roman" w:hAnsi="Times New Roman" w:cs="Times New Roman" w:eastAsia="Times New Roman"/>
          <w:sz w:val="20"/>
          <w:szCs w:val="20"/>
        </w:rPr>
        <w:t xml:space="preserve">Henseler, J., Ringle, C. M., &amp; Sarstedt, M. (2015). A new criterion for assessing discriminant validity in variance-based structural equation modeling. </w:t>
      </w:r>
      <w:r>
        <w:rPr>
          <w:rFonts w:ascii="Times New Roman" w:hAnsi="Times New Roman" w:cs="Times New Roman" w:eastAsia="Times New Roman"/>
          <w:i/>
          <w:iCs/>
          <w:sz w:val="20"/>
          <w:szCs w:val="20"/>
        </w:rPr>
        <w:t xml:space="preserve">Journal of the Academy of Marketing Science</w:t>
      </w:r>
      <w:r>
        <w:rPr>
          <w:rFonts w:ascii="Times New Roman" w:hAnsi="Times New Roman" w:cs="Times New Roman" w:eastAsia="Times New Roman"/>
          <w:sz w:val="20"/>
          <w:szCs w:val="20"/>
        </w:rPr>
        <w:t xml:space="preserve">, 43(1), 115-135. </w:t>
      </w:r>
      <w:r>
        <w:rPr>
          <w:rFonts w:ascii="Times New Roman" w:hAnsi="Times New Roman" w:cs="Times New Roman" w:eastAsia="Times New Roman"/>
          <w:sz w:val="20"/>
          <w:szCs w:val="20"/>
        </w:rPr>
        <w:t xml:space="preserve">https://doi.org/10.1007/s11747-014-0403-8</w:t>
      </w:r>
    </w:p>
    <w:p>
      <w:pPr>
        <w:spacing w:after="60" w:line="240" w:lineRule="auto"/>
        <w:ind w:left="360" w:hanging="360"/>
        <w:jc w:val="left"/>
      </w:pPr>
      <w:r>
        <w:rPr>
          <w:rFonts w:ascii="Times New Roman" w:hAnsi="Times New Roman" w:cs="Times New Roman" w:eastAsia="Times New Roman"/>
          <w:sz w:val="20"/>
          <w:szCs w:val="20"/>
        </w:rPr>
        <w:t xml:space="preserve">Hood, C. (1991). A public management for all seasons? </w:t>
      </w:r>
      <w:r>
        <w:rPr>
          <w:rFonts w:ascii="Times New Roman" w:hAnsi="Times New Roman" w:cs="Times New Roman" w:eastAsia="Times New Roman"/>
          <w:i/>
          <w:iCs/>
          <w:sz w:val="20"/>
          <w:szCs w:val="20"/>
        </w:rPr>
        <w:t xml:space="preserve">Public Administration</w:t>
      </w:r>
      <w:r>
        <w:rPr>
          <w:rFonts w:ascii="Times New Roman" w:hAnsi="Times New Roman" w:cs="Times New Roman" w:eastAsia="Times New Roman"/>
          <w:sz w:val="20"/>
          <w:szCs w:val="20"/>
        </w:rPr>
        <w:t xml:space="preserve">, 69(1), 3-19. </w:t>
      </w:r>
      <w:r>
        <w:rPr>
          <w:rFonts w:ascii="Times New Roman" w:hAnsi="Times New Roman" w:cs="Times New Roman" w:eastAsia="Times New Roman"/>
          <w:sz w:val="20"/>
          <w:szCs w:val="20"/>
        </w:rPr>
        <w:t xml:space="preserve">https://doi.org/10.1111/j.1467-9299.1991.tb00779.x</w:t>
      </w:r>
    </w:p>
    <w:p>
      <w:pPr>
        <w:spacing w:after="60" w:line="240" w:lineRule="auto"/>
        <w:ind w:left="360" w:hanging="360"/>
        <w:jc w:val="left"/>
      </w:pPr>
      <w:r>
        <w:rPr>
          <w:rFonts w:ascii="Times New Roman" w:hAnsi="Times New Roman" w:cs="Times New Roman" w:eastAsia="Times New Roman"/>
          <w:sz w:val="20"/>
          <w:szCs w:val="20"/>
        </w:rPr>
        <w:t xml:space="preserve">Hu, L., &amp; Bentler, P. M. (1999). Cutoff criteria for fit indexes in covariance structure analysis: Conventional criteria versus new alternatives. Structural Equation Modeling, 6(1), 1–55.</w:t>
      </w:r>
    </w:p>
    <w:p>
      <w:pPr>
        <w:spacing w:after="60" w:line="240" w:lineRule="auto"/>
        <w:ind w:left="360" w:hanging="360"/>
        <w:jc w:val="left"/>
      </w:pPr>
      <w:r>
        <w:rPr>
          <w:rFonts w:ascii="Times New Roman" w:hAnsi="Times New Roman" w:cs="Times New Roman" w:eastAsia="Times New Roman"/>
          <w:sz w:val="20"/>
          <w:szCs w:val="20"/>
        </w:rPr>
        <w:t xml:space="preserve">Hubbard, L. D. (2003). Understanding internal controls: Auditors who can accurately interpret COSO's internal control framework offer great value to management. </w:t>
      </w:r>
      <w:r>
        <w:rPr>
          <w:rFonts w:ascii="Times New Roman" w:hAnsi="Times New Roman" w:cs="Times New Roman" w:eastAsia="Times New Roman"/>
          <w:i/>
          <w:iCs/>
          <w:sz w:val="20"/>
          <w:szCs w:val="20"/>
        </w:rPr>
        <w:t xml:space="preserve">Internal Auditor</w:t>
      </w:r>
      <w:r>
        <w:rPr>
          <w:rFonts w:ascii="Times New Roman" w:hAnsi="Times New Roman" w:cs="Times New Roman" w:eastAsia="Times New Roman"/>
          <w:sz w:val="20"/>
          <w:szCs w:val="20"/>
        </w:rPr>
        <w:t xml:space="preserve">, 60(5), 23-25.</w:t>
      </w:r>
    </w:p>
    <w:p>
      <w:pPr>
        <w:spacing w:after="60" w:line="240" w:lineRule="auto"/>
        <w:ind w:left="360" w:hanging="360"/>
        <w:jc w:val="left"/>
      </w:pPr>
      <w:r>
        <w:rPr>
          <w:rFonts w:ascii="Times New Roman" w:hAnsi="Times New Roman" w:cs="Times New Roman" w:eastAsia="Times New Roman"/>
          <w:sz w:val="20"/>
          <w:szCs w:val="20"/>
        </w:rPr>
        <w:t xml:space="preserve">Jalali, F., &amp; </w:t>
      </w:r>
      <w:r>
        <w:rPr>
          <w:rFonts w:ascii="Times New Roman" w:hAnsi="Times New Roman" w:cs="Times New Roman" w:eastAsia="Times New Roman"/>
          <w:sz w:val="20"/>
          <w:szCs w:val="20"/>
        </w:rPr>
        <w:t xml:space="preserve">Abdollahzade</w:t>
      </w:r>
      <w:r>
        <w:rPr>
          <w:rFonts w:ascii="Times New Roman" w:hAnsi="Times New Roman" w:cs="Times New Roman" w:eastAsia="Times New Roman"/>
          <w:sz w:val="20"/>
          <w:szCs w:val="20"/>
        </w:rPr>
        <w:t xml:space="preserve">, S. (2022). Public auditing practice in Iran: Objectives and scopes. </w:t>
      </w:r>
      <w:r>
        <w:rPr>
          <w:rFonts w:ascii="Times New Roman" w:hAnsi="Times New Roman" w:cs="Times New Roman" w:eastAsia="Times New Roman"/>
          <w:i/>
          <w:iCs/>
          <w:sz w:val="20"/>
          <w:szCs w:val="20"/>
        </w:rPr>
        <w:t xml:space="preserve">Journal of Public Budgeting, Accounting &amp; Financial Management, 34</w:t>
      </w:r>
      <w:r>
        <w:rPr>
          <w:rFonts w:ascii="Times New Roman" w:hAnsi="Times New Roman" w:cs="Times New Roman" w:eastAsia="Times New Roman"/>
          <w:sz w:val="20"/>
          <w:szCs w:val="20"/>
        </w:rPr>
        <w:t xml:space="preserve">(4), 566–576. </w:t>
      </w:r>
      <w:r>
        <w:rPr>
          <w:rFonts w:ascii="Times New Roman" w:hAnsi="Times New Roman" w:cs="Times New Roman" w:eastAsia="Times New Roman"/>
          <w:sz w:val="20"/>
          <w:szCs w:val="20"/>
        </w:rPr>
        <w:t xml:space="preserve">https://doi.org/10.1108/JPBAFM-12-2021-0167</w:t>
      </w:r>
      <w:r>
        <w:rPr>
          <w:rFonts w:ascii="Times New Roman" w:hAnsi="Times New Roman" w:cs="Times New Roman" w:eastAsia="Times New Roman"/>
          <w:sz w:val="20"/>
          <w:szCs w:val="20"/>
        </w:rPr>
        <w:t xml:space="preserve">. </w:t>
      </w:r>
    </w:p>
    <w:p>
      <w:pPr>
        <w:spacing w:after="60" w:line="240" w:lineRule="auto"/>
        <w:ind w:left="360" w:hanging="360"/>
        <w:jc w:val="left"/>
      </w:pPr>
      <w:r>
        <w:rPr>
          <w:rFonts w:ascii="Times New Roman" w:hAnsi="Times New Roman" w:cs="Times New Roman" w:eastAsia="Times New Roman"/>
          <w:sz w:val="20"/>
          <w:szCs w:val="20"/>
        </w:rPr>
        <w:t xml:space="preserve">Jensen, G. R. (2023). International public sector accounting standards (IPSAS). In </w:t>
      </w:r>
      <w:r>
        <w:rPr>
          <w:rFonts w:ascii="Times New Roman" w:hAnsi="Times New Roman" w:cs="Times New Roman" w:eastAsia="Times New Roman"/>
          <w:i/>
          <w:iCs/>
          <w:sz w:val="20"/>
          <w:szCs w:val="20"/>
        </w:rPr>
        <w:t xml:space="preserve">Global encyclopedia of public administration, public policy, and governance</w:t>
      </w:r>
      <w:r>
        <w:rPr>
          <w:rFonts w:ascii="Times New Roman" w:hAnsi="Times New Roman" w:cs="Times New Roman" w:eastAsia="Times New Roman"/>
          <w:sz w:val="20"/>
          <w:szCs w:val="20"/>
        </w:rPr>
        <w:t xml:space="preserve"> (pp. 6968-6976). Springer International Publishing. </w:t>
      </w:r>
      <w:r>
        <w:rPr>
          <w:rFonts w:ascii="Times New Roman" w:hAnsi="Times New Roman" w:cs="Times New Roman" w:eastAsia="Times New Roman"/>
          <w:sz w:val="20"/>
          <w:szCs w:val="20"/>
        </w:rPr>
        <w:t xml:space="preserve">https://doi.org/10.1007/978-3-030-66252-3_2280</w:t>
      </w:r>
    </w:p>
    <w:p>
      <w:pPr>
        <w:spacing w:after="60" w:line="240" w:lineRule="auto"/>
        <w:ind w:left="360" w:hanging="360"/>
        <w:jc w:val="left"/>
      </w:pPr>
      <w:r>
        <w:rPr>
          <w:rFonts w:ascii="Times New Roman" w:hAnsi="Times New Roman" w:cs="Times New Roman" w:eastAsia="Times New Roman"/>
          <w:sz w:val="20"/>
          <w:szCs w:val="20"/>
        </w:rPr>
        <w:t xml:space="preserve">Jensen, M. C., &amp; Meckling, W. H. (1976). Theory of the firm: Managerial behavior, agency costs and ownership structure. </w:t>
      </w:r>
      <w:r>
        <w:rPr>
          <w:rFonts w:ascii="Times New Roman" w:hAnsi="Times New Roman" w:cs="Times New Roman" w:eastAsia="Times New Roman"/>
          <w:i/>
          <w:iCs/>
          <w:sz w:val="20"/>
          <w:szCs w:val="20"/>
        </w:rPr>
        <w:t xml:space="preserve">Journal of Financial Economics</w:t>
      </w:r>
      <w:r>
        <w:rPr>
          <w:rFonts w:ascii="Times New Roman" w:hAnsi="Times New Roman" w:cs="Times New Roman" w:eastAsia="Times New Roman"/>
          <w:sz w:val="20"/>
          <w:szCs w:val="20"/>
        </w:rPr>
        <w:t xml:space="preserve">, 3(4), 305-360. </w:t>
      </w:r>
      <w:r>
        <w:rPr>
          <w:rFonts w:ascii="Times New Roman" w:hAnsi="Times New Roman" w:cs="Times New Roman" w:eastAsia="Times New Roman"/>
          <w:sz w:val="20"/>
          <w:szCs w:val="20"/>
        </w:rPr>
        <w:t xml:space="preserve">https://doi.org/10.1016/0304-405X(76)90026-X</w:t>
      </w:r>
    </w:p>
    <w:p>
      <w:pPr>
        <w:spacing w:after="60" w:line="240" w:lineRule="auto"/>
        <w:ind w:left="360" w:hanging="360"/>
        <w:jc w:val="left"/>
      </w:pPr>
      <w:r>
        <w:rPr>
          <w:rFonts w:ascii="Times New Roman" w:hAnsi="Times New Roman" w:cs="Times New Roman" w:eastAsia="Times New Roman"/>
          <w:sz w:val="20"/>
          <w:szCs w:val="20"/>
        </w:rPr>
        <w:t xml:space="preserve">Kaplan, R. S., &amp; Mikes, A. (2016). Managing risks: A new framework. </w:t>
      </w:r>
      <w:r>
        <w:rPr>
          <w:rFonts w:ascii="Times New Roman" w:hAnsi="Times New Roman" w:cs="Times New Roman" w:eastAsia="Times New Roman"/>
          <w:i/>
          <w:iCs/>
          <w:sz w:val="20"/>
          <w:szCs w:val="20"/>
        </w:rPr>
        <w:t xml:space="preserve">Harvard Business Review</w:t>
      </w:r>
      <w:r>
        <w:rPr>
          <w:rFonts w:ascii="Times New Roman" w:hAnsi="Times New Roman" w:cs="Times New Roman" w:eastAsia="Times New Roman"/>
          <w:sz w:val="20"/>
          <w:szCs w:val="20"/>
        </w:rPr>
        <w:t xml:space="preserve">, 94(6), 48-60.</w:t>
      </w:r>
    </w:p>
    <w:p>
      <w:pPr>
        <w:spacing w:after="60" w:line="240" w:lineRule="auto"/>
        <w:ind w:left="360" w:hanging="360"/>
        <w:jc w:val="left"/>
      </w:pPr>
      <w:r>
        <w:rPr>
          <w:rFonts w:ascii="Times New Roman" w:hAnsi="Times New Roman" w:cs="Times New Roman" w:eastAsia="Times New Roman"/>
          <w:sz w:val="20"/>
          <w:szCs w:val="20"/>
        </w:rPr>
        <w:t xml:space="preserve">Kaplan, R. S., &amp; Mikes, A. (2016). Risk management-The revealing hand. </w:t>
      </w:r>
      <w:r>
        <w:rPr>
          <w:rFonts w:ascii="Times New Roman" w:hAnsi="Times New Roman" w:cs="Times New Roman" w:eastAsia="Times New Roman"/>
          <w:i/>
          <w:iCs/>
          <w:sz w:val="20"/>
          <w:szCs w:val="20"/>
        </w:rPr>
        <w:t xml:space="preserve">Journal of Applied Corporate Finance</w:t>
      </w:r>
      <w:r>
        <w:rPr>
          <w:rFonts w:ascii="Times New Roman" w:hAnsi="Times New Roman" w:cs="Times New Roman" w:eastAsia="Times New Roman"/>
          <w:sz w:val="20"/>
          <w:szCs w:val="20"/>
        </w:rPr>
        <w:t xml:space="preserve">, 28(1), 8-18. </w:t>
      </w:r>
      <w:r>
        <w:rPr>
          <w:rFonts w:ascii="Times New Roman" w:hAnsi="Times New Roman" w:cs="Times New Roman" w:eastAsia="Times New Roman"/>
          <w:sz w:val="20"/>
          <w:szCs w:val="20"/>
        </w:rPr>
        <w:t xml:space="preserve">https://doi.org/10.1111/jacf.12155</w:t>
      </w:r>
    </w:p>
    <w:p>
      <w:pPr>
        <w:spacing w:after="60" w:line="240" w:lineRule="auto"/>
        <w:ind w:left="360" w:hanging="360"/>
        <w:jc w:val="left"/>
      </w:pPr>
      <w:r>
        <w:rPr>
          <w:rFonts w:ascii="Times New Roman" w:hAnsi="Times New Roman" w:cs="Times New Roman" w:eastAsia="Times New Roman"/>
          <w:sz w:val="20"/>
          <w:szCs w:val="20"/>
        </w:rPr>
        <w:t xml:space="preserve">Kaptein, M. (2011). Toward effective codes: Testing the relationship with unethical behavior. </w:t>
      </w:r>
      <w:r>
        <w:rPr>
          <w:rFonts w:ascii="Times New Roman" w:hAnsi="Times New Roman" w:cs="Times New Roman" w:eastAsia="Times New Roman"/>
          <w:i/>
          <w:iCs/>
          <w:sz w:val="20"/>
          <w:szCs w:val="20"/>
        </w:rPr>
        <w:t xml:space="preserve">Journal of Business Ethics</w:t>
      </w:r>
      <w:r>
        <w:rPr>
          <w:rFonts w:ascii="Times New Roman" w:hAnsi="Times New Roman" w:cs="Times New Roman" w:eastAsia="Times New Roman"/>
          <w:sz w:val="20"/>
          <w:szCs w:val="20"/>
        </w:rPr>
        <w:t xml:space="preserve">, 99, 233-251. </w:t>
      </w:r>
      <w:r>
        <w:rPr>
          <w:rFonts w:ascii="Times New Roman" w:hAnsi="Times New Roman" w:cs="Times New Roman" w:eastAsia="Times New Roman"/>
          <w:sz w:val="20"/>
          <w:szCs w:val="20"/>
        </w:rPr>
        <w:t xml:space="preserve">https://doi.org/10.1007/s10551-010-0652-5</w:t>
      </w:r>
    </w:p>
    <w:p>
      <w:pPr>
        <w:spacing w:after="60" w:line="240" w:lineRule="auto"/>
        <w:ind w:left="360" w:hanging="360"/>
        <w:jc w:val="left"/>
      </w:pPr>
      <w:r>
        <w:rPr>
          <w:rFonts w:ascii="Times New Roman" w:hAnsi="Times New Roman" w:cs="Times New Roman" w:eastAsia="Times New Roman"/>
          <w:sz w:val="20"/>
          <w:szCs w:val="20"/>
        </w:rPr>
        <w:t xml:space="preserve">Kline, R. B. (2016). </w:t>
      </w:r>
      <w:r>
        <w:rPr>
          <w:rFonts w:ascii="Times New Roman" w:hAnsi="Times New Roman" w:cs="Times New Roman" w:eastAsia="Times New Roman"/>
          <w:i/>
          <w:iCs/>
          <w:sz w:val="20"/>
          <w:szCs w:val="20"/>
        </w:rPr>
        <w:t xml:space="preserve">Principles and practice of structural equation modeling</w:t>
      </w:r>
      <w:r>
        <w:rPr>
          <w:rFonts w:ascii="Times New Roman" w:hAnsi="Times New Roman" w:cs="Times New Roman" w:eastAsia="Times New Roman"/>
          <w:sz w:val="20"/>
          <w:szCs w:val="20"/>
        </w:rPr>
        <w:t xml:space="preserve"> (4th ed.). Guilford Press.</w:t>
      </w:r>
    </w:p>
    <w:p>
      <w:pPr>
        <w:spacing w:after="60" w:line="240" w:lineRule="auto"/>
        <w:ind w:left="360" w:hanging="360"/>
        <w:jc w:val="left"/>
      </w:pPr>
      <w:r>
        <w:rPr>
          <w:rFonts w:ascii="Times New Roman" w:hAnsi="Times New Roman" w:cs="Times New Roman" w:eastAsia="Times New Roman"/>
          <w:sz w:val="20"/>
          <w:szCs w:val="20"/>
        </w:rPr>
        <w:t xml:space="preserve">Koppell, J. G. (2005). Pathologies of accountability: ICANN and the challenge of multiple accountabilities. </w:t>
      </w:r>
      <w:r>
        <w:rPr>
          <w:rFonts w:ascii="Times New Roman" w:hAnsi="Times New Roman" w:cs="Times New Roman" w:eastAsia="Times New Roman"/>
          <w:i/>
          <w:iCs/>
          <w:sz w:val="20"/>
          <w:szCs w:val="20"/>
        </w:rPr>
        <w:t xml:space="preserve">Public Administration Review</w:t>
      </w:r>
      <w:r>
        <w:rPr>
          <w:rFonts w:ascii="Times New Roman" w:hAnsi="Times New Roman" w:cs="Times New Roman" w:eastAsia="Times New Roman"/>
          <w:sz w:val="20"/>
          <w:szCs w:val="20"/>
        </w:rPr>
        <w:t xml:space="preserve">, 65(1), 94-108. </w:t>
      </w:r>
      <w:r>
        <w:rPr>
          <w:rFonts w:ascii="Times New Roman" w:hAnsi="Times New Roman" w:cs="Times New Roman" w:eastAsia="Times New Roman"/>
          <w:sz w:val="20"/>
          <w:szCs w:val="20"/>
        </w:rPr>
        <w:t xml:space="preserve">https://doi.org/10.1111/j.1540-6210.2005.00434.x</w:t>
      </w:r>
    </w:p>
    <w:p>
      <w:pPr>
        <w:spacing w:after="60" w:line="240" w:lineRule="auto"/>
        <w:ind w:left="360" w:hanging="360"/>
        <w:jc w:val="left"/>
      </w:pPr>
      <w:r>
        <w:rPr>
          <w:rFonts w:ascii="Times New Roman" w:hAnsi="Times New Roman" w:cs="Times New Roman" w:eastAsia="Times New Roman"/>
          <w:sz w:val="20"/>
          <w:szCs w:val="20"/>
        </w:rPr>
        <w:t xml:space="preserve">Koppell, J. G. S. (2005). Pathologies of accountability: ICANN and the challenge of multiple accountabilities disorder. </w:t>
      </w:r>
      <w:r>
        <w:rPr>
          <w:rFonts w:ascii="Times New Roman" w:hAnsi="Times New Roman" w:cs="Times New Roman" w:eastAsia="Times New Roman"/>
          <w:i/>
          <w:iCs/>
          <w:sz w:val="20"/>
          <w:szCs w:val="20"/>
        </w:rPr>
        <w:t xml:space="preserve">Public Administration Review, 65</w:t>
      </w:r>
      <w:r>
        <w:rPr>
          <w:rFonts w:ascii="Times New Roman" w:hAnsi="Times New Roman" w:cs="Times New Roman" w:eastAsia="Times New Roman"/>
          <w:sz w:val="20"/>
          <w:szCs w:val="20"/>
        </w:rPr>
        <w:t xml:space="preserve">(1), 94–108. </w:t>
      </w:r>
      <w:r>
        <w:rPr>
          <w:rFonts w:ascii="Times New Roman" w:hAnsi="Times New Roman" w:cs="Times New Roman" w:eastAsia="Times New Roman"/>
          <w:sz w:val="20"/>
          <w:szCs w:val="20"/>
        </w:rPr>
        <w:t xml:space="preserve">https://doi.org/10.1111/j.1540-6210.2005.00434.x</w:t>
      </w:r>
    </w:p>
    <w:p>
      <w:pPr>
        <w:spacing w:after="60" w:line="240" w:lineRule="auto"/>
        <w:ind w:left="360" w:hanging="360"/>
        <w:jc w:val="left"/>
      </w:pPr>
      <w:r>
        <w:rPr>
          <w:rFonts w:ascii="Times New Roman" w:hAnsi="Times New Roman" w:cs="Times New Roman" w:eastAsia="Times New Roman"/>
          <w:sz w:val="20"/>
          <w:szCs w:val="20"/>
        </w:rPr>
        <w:t xml:space="preserve">Lenz, R., &amp; Hahn, U. (2015). A synthesis of empirical internal audit effectiveness literature pointing to new research opportunities. </w:t>
      </w:r>
      <w:r>
        <w:rPr>
          <w:rFonts w:ascii="Times New Roman" w:hAnsi="Times New Roman" w:cs="Times New Roman" w:eastAsia="Times New Roman"/>
          <w:i/>
          <w:iCs/>
          <w:sz w:val="20"/>
          <w:szCs w:val="20"/>
        </w:rPr>
        <w:t xml:space="preserve">Managerial Auditing Journal</w:t>
      </w:r>
      <w:r>
        <w:rPr>
          <w:rFonts w:ascii="Times New Roman" w:hAnsi="Times New Roman" w:cs="Times New Roman" w:eastAsia="Times New Roman"/>
          <w:sz w:val="20"/>
          <w:szCs w:val="20"/>
        </w:rPr>
        <w:t xml:space="preserve">, 30(1), 5-33. </w:t>
      </w:r>
      <w:r>
        <w:rPr>
          <w:rFonts w:ascii="Times New Roman" w:hAnsi="Times New Roman" w:cs="Times New Roman" w:eastAsia="Times New Roman"/>
          <w:sz w:val="20"/>
          <w:szCs w:val="20"/>
        </w:rPr>
        <w:t xml:space="preserve">https://doi.org/10.1108/MAJ-08-2014-1072</w:t>
      </w:r>
    </w:p>
    <w:p>
      <w:pPr>
        <w:spacing w:after="60" w:line="240" w:lineRule="auto"/>
        <w:ind w:left="360" w:hanging="360"/>
        <w:jc w:val="left"/>
      </w:pPr>
      <w:r>
        <w:rPr>
          <w:rFonts w:ascii="Times New Roman" w:hAnsi="Times New Roman" w:cs="Times New Roman" w:eastAsia="Times New Roman"/>
          <w:sz w:val="20"/>
          <w:szCs w:val="20"/>
        </w:rPr>
        <w:t xml:space="preserve">Mardia, K. V. (1970). Measures of multivariate skewness and kurtosis with applications. </w:t>
      </w:r>
      <w:r>
        <w:rPr>
          <w:rFonts w:ascii="Times New Roman" w:hAnsi="Times New Roman" w:cs="Times New Roman" w:eastAsia="Times New Roman"/>
          <w:i/>
          <w:iCs/>
          <w:sz w:val="20"/>
          <w:szCs w:val="20"/>
        </w:rPr>
        <w:t xml:space="preserve">Biometrika</w:t>
      </w:r>
      <w:r>
        <w:rPr>
          <w:rFonts w:ascii="Times New Roman" w:hAnsi="Times New Roman" w:cs="Times New Roman" w:eastAsia="Times New Roman"/>
          <w:sz w:val="20"/>
          <w:szCs w:val="20"/>
        </w:rPr>
        <w:t xml:space="preserve">, 57(3), 519–530. https://doi.org/10.1093/biomet/57.3.519</w:t>
      </w:r>
    </w:p>
    <w:p>
      <w:pPr>
        <w:spacing w:after="60" w:line="240" w:lineRule="auto"/>
        <w:ind w:left="360" w:hanging="360"/>
        <w:jc w:val="left"/>
      </w:pPr>
      <w:r>
        <w:rPr>
          <w:rFonts w:ascii="Times New Roman" w:hAnsi="Times New Roman" w:cs="Times New Roman" w:eastAsia="Times New Roman"/>
          <w:sz w:val="20"/>
          <w:szCs w:val="20"/>
        </w:rPr>
        <w:t xml:space="preserve">Maydeu-Olivares, A., &amp; Coffman, D. L. (2006). Random intercept item factor analysis. </w:t>
      </w:r>
      <w:r>
        <w:rPr>
          <w:rFonts w:ascii="Times New Roman" w:hAnsi="Times New Roman" w:cs="Times New Roman" w:eastAsia="Times New Roman"/>
          <w:i/>
          <w:iCs/>
          <w:sz w:val="20"/>
          <w:szCs w:val="20"/>
        </w:rPr>
        <w:t xml:space="preserve">Psychological Methods</w:t>
      </w:r>
      <w:r>
        <w:rPr>
          <w:rFonts w:ascii="Times New Roman" w:hAnsi="Times New Roman" w:cs="Times New Roman" w:eastAsia="Times New Roman"/>
          <w:sz w:val="20"/>
          <w:szCs w:val="20"/>
        </w:rPr>
        <w:t xml:space="preserve">, 11(4), 344–362. https://doi.org/10.1037/1082-989X.11.4.344</w:t>
      </w:r>
    </w:p>
    <w:p>
      <w:pPr>
        <w:spacing w:after="60" w:line="240" w:lineRule="auto"/>
        <w:ind w:left="360" w:hanging="360"/>
        <w:jc w:val="left"/>
      </w:pPr>
      <w:r>
        <w:rPr>
          <w:rFonts w:ascii="Times New Roman" w:hAnsi="Times New Roman" w:cs="Times New Roman" w:eastAsia="Times New Roman"/>
          <w:sz w:val="20"/>
          <w:szCs w:val="20"/>
        </w:rPr>
        <w:t xml:space="preserve">Meijer, A. J., Curtin, D., &amp; Hillebrandt, M. (2012). Open government: Connecting vision and voice. </w:t>
      </w:r>
      <w:r>
        <w:rPr>
          <w:rFonts w:ascii="Times New Roman" w:hAnsi="Times New Roman" w:cs="Times New Roman" w:eastAsia="Times New Roman"/>
          <w:i/>
          <w:iCs/>
          <w:sz w:val="20"/>
          <w:szCs w:val="20"/>
        </w:rPr>
        <w:t xml:space="preserve">International Review of Administrative Sciences</w:t>
      </w:r>
      <w:r>
        <w:rPr>
          <w:rFonts w:ascii="Times New Roman" w:hAnsi="Times New Roman" w:cs="Times New Roman" w:eastAsia="Times New Roman"/>
          <w:sz w:val="20"/>
          <w:szCs w:val="20"/>
        </w:rPr>
        <w:t xml:space="preserve">, 78(1), 10–29. </w:t>
      </w:r>
      <w:r>
        <w:rPr>
          <w:rFonts w:ascii="Times New Roman" w:hAnsi="Times New Roman" w:cs="Times New Roman" w:eastAsia="Times New Roman"/>
          <w:sz w:val="20"/>
          <w:szCs w:val="20"/>
        </w:rPr>
        <w:t xml:space="preserve">https://doi.org/10.1177/0020852311429533</w:t>
      </w:r>
    </w:p>
    <w:p>
      <w:pPr>
        <w:spacing w:after="60" w:line="240" w:lineRule="auto"/>
        <w:ind w:left="360" w:hanging="360"/>
        <w:jc w:val="left"/>
      </w:pPr>
      <w:r>
        <w:rPr>
          <w:rFonts w:ascii="Times New Roman" w:hAnsi="Times New Roman" w:cs="Times New Roman" w:eastAsia="Times New Roman"/>
          <w:sz w:val="20"/>
          <w:szCs w:val="20"/>
        </w:rPr>
        <w:t xml:space="preserve">Merchant, K. A., &amp; Van der Stede, W. A. (2007). </w:t>
      </w:r>
      <w:r>
        <w:rPr>
          <w:rFonts w:ascii="Times New Roman" w:hAnsi="Times New Roman" w:cs="Times New Roman" w:eastAsia="Times New Roman"/>
          <w:i/>
          <w:iCs/>
          <w:sz w:val="20"/>
          <w:szCs w:val="20"/>
        </w:rPr>
        <w:t xml:space="preserve">Management control systems: Performance measurement, evaluation and incentives</w:t>
      </w:r>
      <w:r>
        <w:rPr>
          <w:rFonts w:ascii="Times New Roman" w:hAnsi="Times New Roman" w:cs="Times New Roman" w:eastAsia="Times New Roman"/>
          <w:sz w:val="20"/>
          <w:szCs w:val="20"/>
        </w:rPr>
        <w:t xml:space="preserve">. Pearson Education.</w:t>
      </w:r>
    </w:p>
    <w:p>
      <w:pPr>
        <w:spacing w:after="60" w:line="240" w:lineRule="auto"/>
        <w:ind w:left="360" w:hanging="360"/>
        <w:jc w:val="left"/>
      </w:pPr>
      <w:r>
        <w:rPr>
          <w:rFonts w:ascii="Times New Roman" w:hAnsi="Times New Roman" w:cs="Times New Roman" w:eastAsia="Times New Roman"/>
          <w:sz w:val="20"/>
          <w:szCs w:val="20"/>
        </w:rPr>
        <w:t xml:space="preserve">Moynihan, D. P. (2008). </w:t>
      </w:r>
      <w:r>
        <w:rPr>
          <w:rFonts w:ascii="Times New Roman" w:hAnsi="Times New Roman" w:cs="Times New Roman" w:eastAsia="Times New Roman"/>
          <w:i/>
          <w:iCs/>
          <w:sz w:val="20"/>
          <w:szCs w:val="20"/>
        </w:rPr>
        <w:t xml:space="preserve">The dynamics of performance management: Constructing information and reform</w:t>
      </w:r>
      <w:r>
        <w:rPr>
          <w:rFonts w:ascii="Times New Roman" w:hAnsi="Times New Roman" w:cs="Times New Roman" w:eastAsia="Times New Roman"/>
          <w:sz w:val="20"/>
          <w:szCs w:val="20"/>
        </w:rPr>
        <w:t xml:space="preserve">. Georgetown University Press. </w:t>
      </w:r>
      <w:r>
        <w:rPr>
          <w:rFonts w:ascii="Times New Roman" w:hAnsi="Times New Roman" w:cs="Times New Roman" w:eastAsia="Times New Roman"/>
          <w:sz w:val="20"/>
          <w:szCs w:val="20"/>
        </w:rPr>
        <w:t xml:space="preserve">https://doi.org/10.1353/book13015</w:t>
      </w:r>
    </w:p>
    <w:p>
      <w:pPr>
        <w:spacing w:after="60" w:line="240" w:lineRule="auto"/>
        <w:ind w:left="360" w:hanging="360"/>
        <w:jc w:val="left"/>
      </w:pPr>
      <w:r>
        <w:rPr>
          <w:rFonts w:ascii="Times New Roman" w:hAnsi="Times New Roman" w:cs="Times New Roman" w:eastAsia="Times New Roman"/>
          <w:sz w:val="20"/>
          <w:szCs w:val="20"/>
        </w:rPr>
        <w:t xml:space="preserve">Mulgan</w:t>
      </w:r>
      <w:r>
        <w:rPr>
          <w:rFonts w:ascii="Times New Roman" w:hAnsi="Times New Roman" w:cs="Times New Roman" w:eastAsia="Times New Roman"/>
          <w:sz w:val="20"/>
          <w:szCs w:val="20"/>
        </w:rPr>
        <w:t xml:space="preserve">, R. (2000). Accountability: An ever-expanding concept. </w:t>
      </w:r>
      <w:r>
        <w:rPr>
          <w:rFonts w:ascii="Times New Roman" w:hAnsi="Times New Roman" w:cs="Times New Roman" w:eastAsia="Times New Roman"/>
          <w:i/>
          <w:iCs/>
          <w:sz w:val="20"/>
          <w:szCs w:val="20"/>
        </w:rPr>
        <w:t xml:space="preserve">Public Administration</w:t>
      </w:r>
      <w:r>
        <w:rPr>
          <w:rFonts w:ascii="Times New Roman" w:hAnsi="Times New Roman" w:cs="Times New Roman" w:eastAsia="Times New Roman"/>
          <w:sz w:val="20"/>
          <w:szCs w:val="20"/>
        </w:rPr>
        <w:t xml:space="preserve">, 78(3), 555–573. </w:t>
      </w:r>
      <w:r>
        <w:rPr>
          <w:rFonts w:ascii="Times New Roman" w:hAnsi="Times New Roman" w:cs="Times New Roman" w:eastAsia="Times New Roman"/>
          <w:sz w:val="20"/>
          <w:szCs w:val="20"/>
        </w:rPr>
        <w:t xml:space="preserve">https://doi.org/10.1111/1467-929-00218</w:t>
      </w:r>
    </w:p>
    <w:p>
      <w:pPr>
        <w:spacing w:after="60" w:line="240" w:lineRule="auto"/>
        <w:ind w:left="360" w:hanging="360"/>
        <w:jc w:val="left"/>
      </w:pPr>
      <w:r>
        <w:rPr>
          <w:rFonts w:ascii="Times New Roman" w:hAnsi="Times New Roman" w:cs="Times New Roman" w:eastAsia="Times New Roman"/>
          <w:sz w:val="20"/>
          <w:szCs w:val="20"/>
        </w:rPr>
        <w:t xml:space="preserve">OECD. (2020). </w:t>
      </w:r>
      <w:r>
        <w:rPr>
          <w:rFonts w:ascii="Times New Roman" w:hAnsi="Times New Roman" w:cs="Times New Roman" w:eastAsia="Times New Roman"/>
          <w:i/>
          <w:iCs/>
          <w:sz w:val="20"/>
          <w:szCs w:val="20"/>
        </w:rPr>
        <w:t xml:space="preserve">Internal control and audit in the public sector</w:t>
      </w:r>
    </w:p>
    <w:p>
      <w:pPr>
        <w:spacing w:after="60" w:line="240" w:lineRule="auto"/>
        <w:ind w:left="360" w:hanging="360"/>
        <w:jc w:val="left"/>
      </w:pPr>
      <w:r>
        <w:rPr>
          <w:rFonts w:ascii="Times New Roman" w:hAnsi="Times New Roman" w:cs="Times New Roman" w:eastAsia="Times New Roman"/>
          <w:sz w:val="20"/>
          <w:szCs w:val="20"/>
        </w:rPr>
        <w:t xml:space="preserve">Podsakoff, P. M., MacKenzie, S. B., Lee, J.-Y., &amp; Podsakoff, N. P. (2003). Common method biases in behavioral research: A critical review of the literature and recommended remedies. Journal of Applied Psychology, 88(5), 879–903.</w:t>
      </w:r>
    </w:p>
    <w:p>
      <w:pPr>
        <w:spacing w:after="60" w:line="240" w:lineRule="auto"/>
        <w:ind w:left="360" w:hanging="360"/>
        <w:jc w:val="left"/>
      </w:pPr>
      <w:r>
        <w:rPr>
          <w:rFonts w:ascii="Times New Roman" w:hAnsi="Times New Roman" w:cs="Times New Roman" w:eastAsia="Times New Roman"/>
          <w:sz w:val="20"/>
          <w:szCs w:val="20"/>
        </w:rPr>
        <w:t xml:space="preserve">Power, M. (1997). </w:t>
      </w:r>
      <w:r>
        <w:rPr>
          <w:rFonts w:ascii="Times New Roman" w:hAnsi="Times New Roman" w:cs="Times New Roman" w:eastAsia="Times New Roman"/>
          <w:i/>
          <w:iCs/>
          <w:sz w:val="20"/>
          <w:szCs w:val="20"/>
        </w:rPr>
        <w:t xml:space="preserve">The audit society: Rituals of verification</w:t>
      </w:r>
      <w:r>
        <w:rPr>
          <w:rFonts w:ascii="Times New Roman" w:hAnsi="Times New Roman" w:cs="Times New Roman" w:eastAsia="Times New Roman"/>
          <w:sz w:val="20"/>
          <w:szCs w:val="20"/>
        </w:rPr>
        <w:t xml:space="preserve">. OUP Oxford.</w:t>
      </w:r>
    </w:p>
    <w:p>
      <w:pPr>
        <w:spacing w:after="60" w:line="240" w:lineRule="auto"/>
        <w:ind w:left="360" w:hanging="360"/>
        <w:jc w:val="left"/>
      </w:pPr>
      <w:r>
        <w:rPr>
          <w:rFonts w:ascii="Times New Roman" w:hAnsi="Times New Roman" w:cs="Times New Roman" w:eastAsia="Times New Roman"/>
          <w:sz w:val="20"/>
          <w:szCs w:val="20"/>
        </w:rPr>
        <w:t xml:space="preserve">Robinson, M. (2013). </w:t>
      </w:r>
      <w:r>
        <w:rPr>
          <w:rFonts w:ascii="Times New Roman" w:hAnsi="Times New Roman" w:cs="Times New Roman" w:eastAsia="Times New Roman"/>
          <w:i/>
          <w:iCs/>
          <w:sz w:val="20"/>
          <w:szCs w:val="20"/>
        </w:rPr>
        <w:t xml:space="preserve">Financial control and public sector governance</w:t>
      </w:r>
      <w:r>
        <w:rPr>
          <w:rFonts w:ascii="Times New Roman" w:hAnsi="Times New Roman" w:cs="Times New Roman" w:eastAsia="Times New Roman"/>
          <w:sz w:val="20"/>
          <w:szCs w:val="20"/>
        </w:rPr>
        <w:t xml:space="preserve">. OECD Publishing.</w:t>
      </w:r>
    </w:p>
    <w:p>
      <w:pPr>
        <w:spacing w:after="60" w:line="240" w:lineRule="auto"/>
        <w:ind w:left="360" w:hanging="360"/>
        <w:jc w:val="left"/>
      </w:pPr>
      <w:r>
        <w:rPr>
          <w:rFonts w:ascii="Times New Roman" w:hAnsi="Times New Roman" w:cs="Times New Roman" w:eastAsia="Times New Roman"/>
          <w:sz w:val="20"/>
          <w:szCs w:val="20"/>
        </w:rPr>
        <w:t xml:space="preserve">Romney, M. B., &amp; </w:t>
      </w:r>
      <w:r>
        <w:rPr>
          <w:rFonts w:ascii="Times New Roman" w:hAnsi="Times New Roman" w:cs="Times New Roman" w:eastAsia="Times New Roman"/>
          <w:sz w:val="20"/>
          <w:szCs w:val="20"/>
        </w:rPr>
        <w:t xml:space="preserve">Steinbart</w:t>
      </w:r>
      <w:r>
        <w:rPr>
          <w:rFonts w:ascii="Times New Roman" w:hAnsi="Times New Roman" w:cs="Times New Roman" w:eastAsia="Times New Roman"/>
          <w:sz w:val="20"/>
          <w:szCs w:val="20"/>
        </w:rPr>
        <w:t xml:space="preserve">, P. J. (2017). </w:t>
      </w:r>
      <w:r>
        <w:rPr>
          <w:rFonts w:ascii="Times New Roman" w:hAnsi="Times New Roman" w:cs="Times New Roman" w:eastAsia="Times New Roman"/>
          <w:i/>
          <w:iCs/>
          <w:sz w:val="20"/>
          <w:szCs w:val="20"/>
        </w:rPr>
        <w:t xml:space="preserve">Accounting information systems</w:t>
      </w:r>
      <w:r>
        <w:rPr>
          <w:rFonts w:ascii="Times New Roman" w:hAnsi="Times New Roman" w:cs="Times New Roman" w:eastAsia="Times New Roman"/>
          <w:sz w:val="20"/>
          <w:szCs w:val="20"/>
        </w:rPr>
        <w:t xml:space="preserve">. Pearson Education Limited.</w:t>
      </w:r>
    </w:p>
    <w:p>
      <w:pPr>
        <w:spacing w:after="60" w:line="240" w:lineRule="auto"/>
        <w:ind w:left="360" w:hanging="360"/>
        <w:jc w:val="left"/>
      </w:pPr>
      <w:r>
        <w:rPr>
          <w:rFonts w:ascii="Times New Roman" w:hAnsi="Times New Roman" w:cs="Times New Roman" w:eastAsia="Times New Roman"/>
          <w:sz w:val="20"/>
          <w:szCs w:val="20"/>
        </w:rPr>
        <w:t xml:space="preserve">Romzek, B. S., &amp; </w:t>
      </w:r>
      <w:r>
        <w:rPr>
          <w:rFonts w:ascii="Times New Roman" w:hAnsi="Times New Roman" w:cs="Times New Roman" w:eastAsia="Times New Roman"/>
          <w:sz w:val="20"/>
          <w:szCs w:val="20"/>
        </w:rPr>
        <w:t xml:space="preserve">Dubnick</w:t>
      </w:r>
      <w:r>
        <w:rPr>
          <w:rFonts w:ascii="Times New Roman" w:hAnsi="Times New Roman" w:cs="Times New Roman" w:eastAsia="Times New Roman"/>
          <w:sz w:val="20"/>
          <w:szCs w:val="20"/>
        </w:rPr>
        <w:t xml:space="preserve">, M. J. (1987). Accountability in the public sector: Lessons from the Challenger tragedy. </w:t>
      </w:r>
      <w:r>
        <w:rPr>
          <w:rFonts w:ascii="Times New Roman" w:hAnsi="Times New Roman" w:cs="Times New Roman" w:eastAsia="Times New Roman"/>
          <w:i/>
          <w:iCs/>
          <w:sz w:val="20"/>
          <w:szCs w:val="20"/>
        </w:rPr>
        <w:t xml:space="preserve">Public Administration Review</w:t>
      </w:r>
      <w:r>
        <w:rPr>
          <w:rFonts w:ascii="Times New Roman" w:hAnsi="Times New Roman" w:cs="Times New Roman" w:eastAsia="Times New Roman"/>
          <w:sz w:val="20"/>
          <w:szCs w:val="20"/>
        </w:rPr>
        <w:t xml:space="preserve">, 47(3), 227–238. </w:t>
      </w:r>
      <w:r>
        <w:rPr>
          <w:rFonts w:ascii="Times New Roman" w:hAnsi="Times New Roman" w:cs="Times New Roman" w:eastAsia="Times New Roman"/>
          <w:sz w:val="20"/>
          <w:szCs w:val="20"/>
        </w:rPr>
        <w:t xml:space="preserve">https://doi.org/10.2307/975901</w:t>
      </w:r>
    </w:p>
    <w:p>
      <w:pPr>
        <w:spacing w:after="60" w:line="240" w:lineRule="auto"/>
        <w:ind w:left="360" w:hanging="360"/>
        <w:jc w:val="left"/>
      </w:pPr>
      <w:r>
        <w:rPr>
          <w:rFonts w:ascii="Times New Roman" w:hAnsi="Times New Roman" w:cs="Times New Roman" w:eastAsia="Times New Roman"/>
          <w:sz w:val="20"/>
          <w:szCs w:val="20"/>
        </w:rPr>
        <w:t xml:space="preserve">Roth, J. (2004). Getting to the heart of the problem: Meaningful evaluation of the control environment is the real key to preventing financial reporting fraud. </w:t>
      </w:r>
      <w:r>
        <w:rPr>
          <w:rFonts w:ascii="Times New Roman" w:hAnsi="Times New Roman" w:cs="Times New Roman" w:eastAsia="Times New Roman"/>
          <w:i/>
          <w:iCs/>
          <w:sz w:val="20"/>
          <w:szCs w:val="20"/>
        </w:rPr>
        <w:t xml:space="preserve">Internal Auditor</w:t>
      </w:r>
      <w:r>
        <w:rPr>
          <w:rFonts w:ascii="Times New Roman" w:hAnsi="Times New Roman" w:cs="Times New Roman" w:eastAsia="Times New Roman"/>
          <w:sz w:val="20"/>
          <w:szCs w:val="20"/>
        </w:rPr>
        <w:t xml:space="preserve">, 61(2), 31–33.</w:t>
      </w:r>
    </w:p>
    <w:p>
      <w:pPr>
        <w:spacing w:after="60" w:line="240" w:lineRule="auto"/>
        <w:ind w:left="360" w:hanging="360"/>
        <w:jc w:val="left"/>
      </w:pPr>
      <w:r>
        <w:rPr>
          <w:rFonts w:ascii="Times New Roman" w:hAnsi="Times New Roman" w:cs="Times New Roman" w:eastAsia="Times New Roman"/>
          <w:sz w:val="20"/>
          <w:szCs w:val="20"/>
        </w:rPr>
        <w:t xml:space="preserve">Schedler, A. (1999). </w:t>
      </w:r>
      <w:r>
        <w:rPr>
          <w:rFonts w:ascii="Times New Roman" w:hAnsi="Times New Roman" w:cs="Times New Roman" w:eastAsia="Times New Roman"/>
          <w:i/>
          <w:iCs/>
          <w:sz w:val="20"/>
          <w:szCs w:val="20"/>
        </w:rPr>
        <w:t xml:space="preserve">The self-restraining state: Power and accountability in new democracies</w:t>
      </w:r>
      <w:r>
        <w:rPr>
          <w:rFonts w:ascii="Times New Roman" w:hAnsi="Times New Roman" w:cs="Times New Roman" w:eastAsia="Times New Roman"/>
          <w:sz w:val="20"/>
          <w:szCs w:val="20"/>
        </w:rPr>
        <w:t xml:space="preserve">. Lynne Rienner Publishers. </w:t>
      </w:r>
      <w:r>
        <w:rPr>
          <w:rFonts w:ascii="Times New Roman" w:hAnsi="Times New Roman" w:cs="Times New Roman" w:eastAsia="Times New Roman"/>
          <w:sz w:val="20"/>
          <w:szCs w:val="20"/>
        </w:rPr>
        <w:t xml:space="preserve">https://doi.org/10.1515/9781685854133</w:t>
      </w:r>
    </w:p>
    <w:p>
      <w:pPr>
        <w:spacing w:after="60" w:line="240" w:lineRule="auto"/>
        <w:ind w:left="360" w:hanging="360"/>
        <w:jc w:val="left"/>
      </w:pPr>
      <w:r>
        <w:rPr>
          <w:rFonts w:ascii="Times New Roman" w:hAnsi="Times New Roman" w:cs="Times New Roman" w:eastAsia="Times New Roman"/>
          <w:sz w:val="20"/>
          <w:szCs w:val="20"/>
        </w:rPr>
        <w:t xml:space="preserve">Schedler, K., &amp; </w:t>
      </w:r>
      <w:r>
        <w:rPr>
          <w:rFonts w:ascii="Times New Roman" w:hAnsi="Times New Roman" w:cs="Times New Roman" w:eastAsia="Times New Roman"/>
          <w:sz w:val="20"/>
          <w:szCs w:val="20"/>
        </w:rPr>
        <w:t xml:space="preserve">Proeller</w:t>
      </w:r>
      <w:r>
        <w:rPr>
          <w:rFonts w:ascii="Times New Roman" w:hAnsi="Times New Roman" w:cs="Times New Roman" w:eastAsia="Times New Roman"/>
          <w:sz w:val="20"/>
          <w:szCs w:val="20"/>
        </w:rPr>
        <w:t xml:space="preserve">, I. (2010a). </w:t>
      </w:r>
      <w:r>
        <w:rPr>
          <w:rFonts w:ascii="Times New Roman" w:hAnsi="Times New Roman" w:cs="Times New Roman" w:eastAsia="Times New Roman"/>
          <w:i/>
          <w:iCs/>
          <w:sz w:val="20"/>
          <w:szCs w:val="20"/>
        </w:rPr>
        <w:t xml:space="preserve">Outcome-oriented public management: A responsibility-based approach to the new public management</w:t>
      </w:r>
      <w:r>
        <w:rPr>
          <w:rFonts w:ascii="Times New Roman" w:hAnsi="Times New Roman" w:cs="Times New Roman" w:eastAsia="Times New Roman"/>
          <w:sz w:val="20"/>
          <w:szCs w:val="20"/>
        </w:rPr>
        <w:t xml:space="preserve">. Information Age Publishing. </w:t>
      </w:r>
      <w:r>
        <w:rPr>
          <w:rFonts w:ascii="Times New Roman" w:hAnsi="Times New Roman" w:cs="Times New Roman" w:eastAsia="Times New Roman"/>
          <w:sz w:val="20"/>
          <w:szCs w:val="20"/>
        </w:rPr>
        <w:t xml:space="preserve">https://doi.org/10.1108/978-1-61735-182-2</w:t>
      </w:r>
    </w:p>
    <w:p>
      <w:pPr>
        <w:spacing w:after="60" w:line="240" w:lineRule="auto"/>
        <w:ind w:left="360" w:hanging="360"/>
        <w:jc w:val="left"/>
      </w:pPr>
      <w:r>
        <w:rPr>
          <w:rFonts w:ascii="Times New Roman" w:hAnsi="Times New Roman" w:cs="Times New Roman" w:eastAsia="Times New Roman"/>
          <w:sz w:val="20"/>
          <w:szCs w:val="20"/>
        </w:rPr>
        <w:t xml:space="preserve">Schedler, K., &amp; </w:t>
      </w:r>
      <w:r>
        <w:rPr>
          <w:rFonts w:ascii="Times New Roman" w:hAnsi="Times New Roman" w:cs="Times New Roman" w:eastAsia="Times New Roman"/>
          <w:sz w:val="20"/>
          <w:szCs w:val="20"/>
        </w:rPr>
        <w:t xml:space="preserve">Proeller</w:t>
      </w:r>
      <w:r>
        <w:rPr>
          <w:rFonts w:ascii="Times New Roman" w:hAnsi="Times New Roman" w:cs="Times New Roman" w:eastAsia="Times New Roman"/>
          <w:sz w:val="20"/>
          <w:szCs w:val="20"/>
        </w:rPr>
        <w:t xml:space="preserve">, I. (2010b). </w:t>
      </w:r>
      <w:r>
        <w:rPr>
          <w:rFonts w:ascii="Times New Roman" w:hAnsi="Times New Roman" w:cs="Times New Roman" w:eastAsia="Times New Roman"/>
          <w:i/>
          <w:iCs/>
          <w:sz w:val="20"/>
          <w:szCs w:val="20"/>
        </w:rPr>
        <w:t xml:space="preserve">Public management: Evaluation, control and performance</w:t>
      </w:r>
      <w:r>
        <w:rPr>
          <w:rFonts w:ascii="Times New Roman" w:hAnsi="Times New Roman" w:cs="Times New Roman" w:eastAsia="Times New Roman"/>
          <w:sz w:val="20"/>
          <w:szCs w:val="20"/>
        </w:rPr>
        <w:t xml:space="preserve">. Gower Publishing. </w:t>
      </w:r>
      <w:r>
        <w:rPr>
          <w:rFonts w:ascii="Times New Roman" w:hAnsi="Times New Roman" w:cs="Times New Roman" w:eastAsia="Times New Roman"/>
          <w:sz w:val="20"/>
          <w:szCs w:val="20"/>
        </w:rPr>
        <w:t xml:space="preserve">https://doi.org/10.36198/9783838536385</w:t>
      </w:r>
    </w:p>
    <w:p>
      <w:pPr>
        <w:spacing w:after="60" w:line="240" w:lineRule="auto"/>
        <w:ind w:left="360" w:hanging="360"/>
        <w:jc w:val="left"/>
      </w:pPr>
      <w:r>
        <w:rPr>
          <w:rFonts w:ascii="Times New Roman" w:hAnsi="Times New Roman" w:cs="Times New Roman" w:eastAsia="Times New Roman"/>
          <w:sz w:val="20"/>
          <w:szCs w:val="20"/>
        </w:rPr>
        <w:t xml:space="preserve">Schelker, M. (2008). Public auditors: Evidence from the US States. </w:t>
      </w:r>
      <w:r>
        <w:rPr>
          <w:rFonts w:ascii="Times New Roman" w:hAnsi="Times New Roman" w:cs="Times New Roman" w:eastAsia="Times New Roman"/>
          <w:i/>
          <w:iCs/>
          <w:sz w:val="20"/>
          <w:szCs w:val="20"/>
        </w:rPr>
        <w:t xml:space="preserve">Center for Research in Economics, Management and the Arts Working Paper</w:t>
      </w:r>
      <w:r>
        <w:rPr>
          <w:rFonts w:ascii="Times New Roman" w:hAnsi="Times New Roman" w:cs="Times New Roman" w:eastAsia="Times New Roman"/>
          <w:sz w:val="20"/>
          <w:szCs w:val="20"/>
        </w:rPr>
        <w:t xml:space="preserve">, 4, 1–45. </w:t>
      </w:r>
      <w:r>
        <w:rPr>
          <w:rFonts w:ascii="Times New Roman" w:hAnsi="Times New Roman" w:cs="Times New Roman" w:eastAsia="Times New Roman"/>
          <w:sz w:val="20"/>
          <w:szCs w:val="20"/>
        </w:rPr>
        <w:t xml:space="preserve">https://doi.org/10.2139/ssrn.957528</w:t>
      </w:r>
    </w:p>
    <w:p>
      <w:pPr>
        <w:spacing w:after="60" w:line="240" w:lineRule="auto"/>
        <w:ind w:left="360" w:hanging="360"/>
        <w:jc w:val="left"/>
      </w:pPr>
      <w:r>
        <w:rPr>
          <w:rFonts w:ascii="Times New Roman" w:hAnsi="Times New Roman" w:cs="Times New Roman" w:eastAsia="Times New Roman"/>
          <w:sz w:val="20"/>
          <w:szCs w:val="20"/>
        </w:rPr>
        <w:t xml:space="preserve">Scott, W. R. (2004). Institutional theory. </w:t>
      </w:r>
      <w:r>
        <w:rPr>
          <w:rFonts w:ascii="Times New Roman" w:hAnsi="Times New Roman" w:cs="Times New Roman" w:eastAsia="Times New Roman"/>
          <w:i/>
          <w:iCs/>
          <w:sz w:val="20"/>
          <w:szCs w:val="20"/>
        </w:rPr>
        <w:t xml:space="preserve">Encyclopedia of Social Theory</w:t>
      </w:r>
      <w:r>
        <w:rPr>
          <w:rFonts w:ascii="Times New Roman" w:hAnsi="Times New Roman" w:cs="Times New Roman" w:eastAsia="Times New Roman"/>
          <w:sz w:val="20"/>
          <w:szCs w:val="20"/>
        </w:rPr>
        <w:t xml:space="preserve">, 11, 408–414.</w:t>
      </w:r>
    </w:p>
    <w:p>
      <w:pPr>
        <w:spacing w:after="60" w:line="240" w:lineRule="auto"/>
        <w:ind w:left="360" w:hanging="360"/>
        <w:jc w:val="left"/>
      </w:pPr>
      <w:r>
        <w:rPr>
          <w:rFonts w:ascii="Times New Roman" w:hAnsi="Times New Roman" w:cs="Times New Roman" w:eastAsia="Times New Roman"/>
          <w:sz w:val="20"/>
          <w:szCs w:val="20"/>
        </w:rPr>
        <w:t xml:space="preserve">Stewart, J. D. (1984). The role of information in public accountability. In A. Hopwood &amp; C. Tomkins (Eds.), Issues in public sector accounting (pp. 13–34). Philip Allan</w:t>
      </w:r>
      <w:r>
        <w:rPr>
          <w:rFonts w:ascii="Times New Roman" w:hAnsi="Times New Roman" w:cs="Times New Roman" w:eastAsia="Times New Roman"/>
          <w:sz w:val="20"/>
          <w:szCs w:val="20"/>
        </w:rPr>
        <w:t xml:space="preserve">.</w:t>
      </w:r>
    </w:p>
    <w:p>
      <w:pPr>
        <w:spacing w:after="60" w:line="240" w:lineRule="auto"/>
        <w:ind w:left="360" w:hanging="360"/>
        <w:jc w:val="left"/>
      </w:pPr>
      <w:r>
        <w:rPr>
          <w:rFonts w:ascii="Times New Roman" w:hAnsi="Times New Roman" w:cs="Times New Roman" w:eastAsia="Times New Roman"/>
          <w:sz w:val="20"/>
          <w:szCs w:val="20"/>
        </w:rPr>
        <w:t xml:space="preserve">Uhr, J. (1993b). Redesigning accountability: From muddles to maps. </w:t>
      </w:r>
      <w:r>
        <w:rPr>
          <w:rFonts w:ascii="Times New Roman" w:hAnsi="Times New Roman" w:cs="Times New Roman" w:eastAsia="Times New Roman"/>
          <w:i/>
          <w:iCs/>
          <w:sz w:val="20"/>
          <w:szCs w:val="20"/>
        </w:rPr>
        <w:t xml:space="preserve">Australian Quarterly</w:t>
      </w:r>
      <w:r>
        <w:rPr>
          <w:rFonts w:ascii="Times New Roman" w:hAnsi="Times New Roman" w:cs="Times New Roman" w:eastAsia="Times New Roman"/>
          <w:sz w:val="20"/>
          <w:szCs w:val="20"/>
        </w:rPr>
        <w:t xml:space="preserve">, 65(2), 1–16. </w:t>
      </w:r>
      <w:r>
        <w:rPr>
          <w:rFonts w:ascii="Times New Roman" w:hAnsi="Times New Roman" w:cs="Times New Roman" w:eastAsia="Times New Roman"/>
          <w:sz w:val="20"/>
          <w:szCs w:val="20"/>
        </w:rPr>
        <w:t xml:space="preserve">https://doi.org/10.2307/20635716</w:t>
      </w:r>
    </w:p>
    <w:p>
      <w:pPr>
        <w:spacing w:after="60" w:line="240" w:lineRule="auto"/>
        <w:ind w:left="360" w:hanging="360"/>
        <w:jc w:val="left"/>
      </w:pPr>
      <w:r>
        <w:rPr>
          <w:rFonts w:ascii="Times New Roman" w:hAnsi="Times New Roman" w:cs="Times New Roman" w:eastAsia="Times New Roman"/>
          <w:sz w:val="20"/>
          <w:szCs w:val="20"/>
        </w:rPr>
        <w:t xml:space="preserve">Verschoor, C. C. (2008). </w:t>
      </w:r>
      <w:r>
        <w:rPr>
          <w:rFonts w:ascii="Times New Roman" w:hAnsi="Times New Roman" w:cs="Times New Roman" w:eastAsia="Times New Roman"/>
          <w:i/>
          <w:iCs/>
          <w:sz w:val="20"/>
          <w:szCs w:val="20"/>
        </w:rPr>
        <w:t xml:space="preserve">Audit committee essentials</w:t>
      </w:r>
      <w:r>
        <w:rPr>
          <w:rFonts w:ascii="Times New Roman" w:hAnsi="Times New Roman" w:cs="Times New Roman" w:eastAsia="Times New Roman"/>
          <w:sz w:val="20"/>
          <w:szCs w:val="20"/>
        </w:rPr>
        <w:t xml:space="preserve">. Wiley.</w:t>
      </w:r>
    </w:p>
    <w:p>
      <w:pPr>
        <w:spacing w:after="60" w:line="240" w:lineRule="auto"/>
        <w:ind w:left="360" w:hanging="360"/>
        <w:jc w:val="left"/>
      </w:pPr>
      <w:r>
        <w:rPr>
          <w:rFonts w:ascii="Times New Roman" w:hAnsi="Times New Roman" w:cs="Times New Roman" w:eastAsia="Times New Roman"/>
          <w:sz w:val="20"/>
          <w:szCs w:val="20"/>
        </w:rPr>
        <w:t xml:space="preserve">Wakiriba</w:t>
      </w:r>
      <w:r>
        <w:rPr>
          <w:rFonts w:ascii="Times New Roman" w:hAnsi="Times New Roman" w:cs="Times New Roman" w:eastAsia="Times New Roman"/>
          <w:sz w:val="20"/>
          <w:szCs w:val="20"/>
        </w:rPr>
        <w:t xml:space="preserve">, J. W., Ngahu, S., &amp; </w:t>
      </w:r>
      <w:r>
        <w:rPr>
          <w:rFonts w:ascii="Times New Roman" w:hAnsi="Times New Roman" w:cs="Times New Roman" w:eastAsia="Times New Roman"/>
          <w:sz w:val="20"/>
          <w:szCs w:val="20"/>
        </w:rPr>
        <w:t xml:space="preserve">Wagoki</w:t>
      </w:r>
      <w:r>
        <w:rPr>
          <w:rFonts w:ascii="Times New Roman" w:hAnsi="Times New Roman" w:cs="Times New Roman" w:eastAsia="Times New Roman"/>
          <w:sz w:val="20"/>
          <w:szCs w:val="20"/>
        </w:rPr>
        <w:t xml:space="preserve">, J. (2014). Effects of financial controls on financial management in Kenya's public sector: A case of National Government departments in </w:t>
      </w:r>
      <w:r>
        <w:rPr>
          <w:rFonts w:ascii="Times New Roman" w:hAnsi="Times New Roman" w:cs="Times New Roman" w:eastAsia="Times New Roman"/>
          <w:sz w:val="20"/>
          <w:szCs w:val="20"/>
        </w:rPr>
        <w:t xml:space="preserve">Mirangine</w:t>
      </w:r>
      <w:r>
        <w:rPr>
          <w:rFonts w:ascii="Times New Roman" w:hAnsi="Times New Roman" w:cs="Times New Roman" w:eastAsia="Times New Roman"/>
          <w:sz w:val="20"/>
          <w:szCs w:val="20"/>
        </w:rPr>
        <w:t xml:space="preserve"> Sub-County, </w:t>
      </w:r>
      <w:r>
        <w:rPr>
          <w:rFonts w:ascii="Times New Roman" w:hAnsi="Times New Roman" w:cs="Times New Roman" w:eastAsia="Times New Roman"/>
          <w:sz w:val="20"/>
          <w:szCs w:val="20"/>
        </w:rPr>
        <w:t xml:space="preserve">Nyandarua</w:t>
      </w:r>
      <w:r>
        <w:rPr>
          <w:rFonts w:ascii="Times New Roman" w:hAnsi="Times New Roman" w:cs="Times New Roman" w:eastAsia="Times New Roman"/>
          <w:sz w:val="20"/>
          <w:szCs w:val="20"/>
        </w:rPr>
        <w:t xml:space="preserve"> County. </w:t>
      </w:r>
      <w:r>
        <w:rPr>
          <w:rFonts w:ascii="Times New Roman" w:hAnsi="Times New Roman" w:cs="Times New Roman" w:eastAsia="Times New Roman"/>
          <w:i/>
          <w:iCs/>
          <w:sz w:val="20"/>
          <w:szCs w:val="20"/>
        </w:rPr>
        <w:t xml:space="preserve">Journal of Business and Management</w:t>
      </w:r>
      <w:r>
        <w:rPr>
          <w:rFonts w:ascii="Times New Roman" w:hAnsi="Times New Roman" w:cs="Times New Roman" w:eastAsia="Times New Roman"/>
          <w:sz w:val="20"/>
          <w:szCs w:val="20"/>
        </w:rPr>
        <w:t xml:space="preserve">, 16(10), 105–115. </w:t>
      </w:r>
      <w:r>
        <w:rPr>
          <w:rFonts w:ascii="Times New Roman" w:hAnsi="Times New Roman" w:cs="Times New Roman" w:eastAsia="Times New Roman"/>
          <w:sz w:val="20"/>
          <w:szCs w:val="20"/>
        </w:rPr>
        <w:t xml:space="preserve">https://doi.org/10.9790/487X-16103105115</w:t>
      </w:r>
    </w:p>
    <w:p>
      <w:pPr>
        <w:spacing w:after="60" w:line="240" w:lineRule="auto"/>
        <w:ind w:left="360" w:hanging="360"/>
        <w:jc w:val="left"/>
      </w:pPr>
      <w:r>
        <w:rPr>
          <w:rFonts w:ascii="Times New Roman" w:hAnsi="Times New Roman" w:cs="Times New Roman" w:eastAsia="Times New Roman"/>
          <w:sz w:val="20"/>
          <w:szCs w:val="20"/>
        </w:rPr>
        <w:t xml:space="preserve">World Bank. (2005). </w:t>
      </w:r>
      <w:r>
        <w:rPr>
          <w:rFonts w:ascii="Times New Roman" w:hAnsi="Times New Roman" w:cs="Times New Roman" w:eastAsia="Times New Roman"/>
          <w:i/>
          <w:iCs/>
          <w:sz w:val="20"/>
          <w:szCs w:val="20"/>
        </w:rPr>
        <w:t xml:space="preserve">The Islamic Republic of Iran: Report on public financial management, procurement, and expenditure systems in Iran</w:t>
      </w:r>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https://doi.org/10.1596/8360</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