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0" w:lineRule="auto"/>
        <w:jc w:val="left"/>
      </w:pPr>
      <w:r>
        <w:rPr>
          <w:rFonts w:ascii="Times New Roman" w:hAnsi="Times New Roman" w:cs="Times New Roman" w:eastAsia="Times New Roman"/>
          <w:sz w:val="22"/>
          <w:szCs w:val="22"/>
        </w:rPr>
        <w:t xml:space="preserve">21 October 2026</w:t>
      </w:r>
    </w:p>
    <w:p>
      <w:pPr>
        <w:spacing w:before="0" w:after="0" w:line="270" w:lineRule="auto"/>
        <w:jc w:val="left"/>
      </w:pPr>
      <w:r>
        <w:rPr>
          <w:rFonts w:ascii="Times New Roman" w:hAnsi="Times New Roman" w:cs="Times New Roman" w:eastAsia="Times New Roman"/>
          <w:sz w:val="22"/>
          <w:szCs w:val="22"/>
        </w:rPr>
        <w:t xml:space="preserve">The Editor-in-Chief</w:t>
      </w:r>
    </w:p>
    <w:p>
      <w:pPr>
        <w:spacing w:before="0" w:after="100" w:line="270" w:lineRule="auto"/>
        <w:jc w:val="left"/>
      </w:pPr>
      <w:r>
        <w:rPr>
          <w:rFonts w:ascii="Times New Roman" w:hAnsi="Times New Roman" w:cs="Times New Roman" w:eastAsia="Times New Roman"/>
          <w:i/>
          <w:iCs/>
          <w:sz w:val="22"/>
          <w:szCs w:val="22"/>
        </w:rPr>
        <w:t xml:space="preserve">Public Organization Review</w:t>
      </w:r>
    </w:p>
    <w:p>
      <w:pPr>
        <w:spacing w:before="0" w:after="100" w:line="270" w:lineRule="auto"/>
        <w:jc w:val="left"/>
      </w:pPr>
      <w:r>
        <w:rPr>
          <w:rFonts w:ascii="Times New Roman" w:hAnsi="Times New Roman" w:cs="Times New Roman" w:eastAsia="Times New Roman"/>
          <w:b/>
          <w:bCs/>
          <w:sz w:val="22"/>
          <w:szCs w:val="22"/>
        </w:rPr>
        <w:t xml:space="preserve">Submission of an original research article</w:t>
      </w:r>
    </w:p>
    <w:p>
      <w:pPr>
        <w:spacing w:before="0" w:after="100" w:line="270" w:lineRule="auto"/>
        <w:jc w:val="left"/>
      </w:pPr>
      <w:r>
        <w:rPr>
          <w:rFonts w:ascii="Times New Roman" w:hAnsi="Times New Roman" w:cs="Times New Roman" w:eastAsia="Times New Roman"/>
          <w:sz w:val="22"/>
          <w:szCs w:val="22"/>
        </w:rPr>
        <w:t xml:space="preserve">Dear Editor-in-Chief,</w:t>
      </w:r>
    </w:p>
    <w:p>
      <w:pPr>
        <w:spacing w:before="0" w:after="100" w:line="270" w:lineRule="auto"/>
        <w:jc w:val="both"/>
      </w:pPr>
      <w:r>
        <w:rPr>
          <w:rFonts w:ascii="Times New Roman" w:hAnsi="Times New Roman" w:cs="Times New Roman" w:eastAsia="Times New Roman"/>
          <w:sz w:val="22"/>
          <w:szCs w:val="22"/>
        </w:rPr>
        <w:t xml:space="preserve">We submit for your consideration the manuscript “Internal Control Architectures and Accountability Dimensions in Emerging Economy Bureaucracies” as an original research article for </w:t>
      </w:r>
      <w:r>
        <w:rPr>
          <w:rFonts w:ascii="Times New Roman" w:hAnsi="Times New Roman" w:cs="Times New Roman" w:eastAsia="Times New Roman"/>
          <w:i/>
          <w:iCs/>
          <w:sz w:val="22"/>
          <w:szCs w:val="22"/>
        </w:rPr>
        <w:t xml:space="preserve">Public Organization Review</w:t>
      </w:r>
      <w:r>
        <w:rPr>
          <w:rFonts w:ascii="Times New Roman" w:hAnsi="Times New Roman" w:cs="Times New Roman" w:eastAsia="Times New Roman"/>
          <w:sz w:val="22"/>
          <w:szCs w:val="22"/>
        </w:rPr>
        <w:t xml:space="preserve">.</w:t>
      </w:r>
    </w:p>
    <w:p>
      <w:pPr>
        <w:spacing w:before="0" w:after="100" w:line="270" w:lineRule="auto"/>
        <w:jc w:val="both"/>
      </w:pPr>
      <w:r>
        <w:rPr>
          <w:rFonts w:ascii="Times New Roman" w:hAnsi="Times New Roman" w:cs="Times New Roman" w:eastAsia="Times New Roman"/>
          <w:sz w:val="22"/>
          <w:szCs w:val="22"/>
        </w:rPr>
        <w:t xml:space="preserve">The manuscript asks how two components of internal financial control, procedural control activities and strategic financial management, relate to four dimensions of public accountability (organizational, legal, professional and political). Public-sector studies often treat control and accountability as single constructs, which hides how particular control mechanisms may serve different forums. We address this gap with survey data from 187 tax officials and certified accountants of the Tax Affairs Administration of Tehran, a centralized bureaucracy in an emerging economy, and we draw on agency theory and stewardship theory.</w:t>
      </w:r>
    </w:p>
    <w:p>
      <w:pPr>
        <w:spacing w:before="0" w:after="100" w:line="270" w:lineRule="auto"/>
        <w:jc w:val="both"/>
      </w:pPr>
      <w:r>
        <w:rPr>
          <w:rFonts w:ascii="Times New Roman" w:hAnsi="Times New Roman" w:cs="Times New Roman" w:eastAsia="Times New Roman"/>
          <w:sz w:val="22"/>
          <w:szCs w:val="22"/>
        </w:rPr>
        <w:t xml:space="preserve">The measurement model was validated with confirmatory factor analysis, and the hypotheses were tested with covariance-based structural equation modeling, bootstrap confidence intervals, competing models, and several robustness checks. Both components were positively associated with all four accountability dimensions. Control activities showed their largest effects on professional and legal accountability, and financial management on political and organizational accountability. We report candidly that the differences between the two components are not statistically significant and that the two weakest paths are sensitive to the specification, so the conclusions are presented as cautious evidence.</w:t>
      </w:r>
    </w:p>
    <w:p>
      <w:pPr>
        <w:spacing w:before="0" w:after="100" w:line="270" w:lineRule="auto"/>
        <w:jc w:val="both"/>
      </w:pPr>
      <w:r>
        <w:rPr>
          <w:rFonts w:ascii="Times New Roman" w:hAnsi="Times New Roman" w:cs="Times New Roman" w:eastAsia="Times New Roman"/>
          <w:sz w:val="22"/>
          <w:szCs w:val="22"/>
        </w:rPr>
        <w:t xml:space="preserve">We believe the paper fits the journal’s interest in public organizations, governance and control mechanisms, and that it offers comparative evidence from a setting that is rarely studied empirically. The manuscript is anonymized for double-blind review. The title page, which includes the declarations (Compliance with Ethical Standards), is provided as a separate file, together with Online Resource 1 (supplementary tables, figure, and questionnaire).</w:t>
      </w:r>
    </w:p>
    <w:p>
      <w:pPr>
        <w:spacing w:before="0" w:after="100" w:line="270" w:lineRule="auto"/>
        <w:jc w:val="both"/>
      </w:pPr>
      <w:r>
        <w:rPr>
          <w:rFonts w:ascii="Times New Roman" w:hAnsi="Times New Roman" w:cs="Times New Roman" w:eastAsia="Times New Roman"/>
          <w:sz w:val="22"/>
          <w:szCs w:val="22"/>
        </w:rPr>
        <w:t xml:space="preserve">We confirm that the manuscript is original, has not been published previously, and is not under consideration by any other journal. It does not re-use previously published material and contains no unpublished material that is under consideration elsewhere. All authors have approved the submission, and the authors declare that they have no competing interests. The anonymized data and analysis code are available from the corresponding author upon reasonable request.</w:t>
      </w:r>
    </w:p>
    <w:p>
      <w:pPr>
        <w:spacing w:before="0" w:after="100" w:line="270" w:lineRule="auto"/>
        <w:jc w:val="both"/>
      </w:pPr>
      <w:r>
        <w:rPr>
          <w:rFonts w:ascii="Times New Roman" w:hAnsi="Times New Roman" w:cs="Times New Roman" w:eastAsia="Times New Roman"/>
          <w:sz w:val="22"/>
          <w:szCs w:val="22"/>
        </w:rPr>
        <w:t xml:space="preserve">Thank you for considering our work. We would be glad to provide suggestions for reviewers if useful.</w:t>
      </w:r>
    </w:p>
    <w:p>
      <w:pPr>
        <w:spacing w:before="0" w:after="60" w:line="270" w:lineRule="auto"/>
        <w:jc w:val="left"/>
      </w:pPr>
      <w:r>
        <w:rPr>
          <w:rFonts w:ascii="Times New Roman" w:hAnsi="Times New Roman" w:cs="Times New Roman" w:eastAsia="Times New Roman"/>
          <w:sz w:val="22"/>
          <w:szCs w:val="22"/>
        </w:rPr>
        <w:t xml:space="preserve">Sincerely,</w:t>
      </w:r>
    </w:p>
    <w:p>
      <w:pPr>
        <w:spacing w:before="0" w:after="0" w:line="270" w:lineRule="auto"/>
        <w:jc w:val="left"/>
      </w:pPr>
      <w:r>
        <w:rPr>
          <w:rFonts w:ascii="Times New Roman" w:hAnsi="Times New Roman" w:cs="Times New Roman" w:eastAsia="Times New Roman"/>
          <w:sz w:val="22"/>
          <w:szCs w:val="22"/>
        </w:rPr>
        <w:t xml:space="preserve">Ruhollah Amareh</w:t>
      </w:r>
    </w:p>
    <w:p>
      <w:pPr>
        <w:spacing w:before="0" w:after="100" w:line="270" w:lineRule="auto"/>
        <w:jc w:val="left"/>
      </w:pPr>
      <w:r>
        <w:rPr>
          <w:rFonts w:ascii="Times New Roman" w:hAnsi="Times New Roman" w:cs="Times New Roman" w:eastAsia="Times New Roman"/>
          <w:sz w:val="22"/>
          <w:szCs w:val="22"/>
        </w:rPr>
        <w:t xml:space="preserve">Assistant Professor of Accounting, Faculty of Management and Economics, Guilan University, Guilan, Iran. amareh.ruhollah@gmail.com</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