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left"/>
      </w:pPr>
      <w:r>
        <w:rPr>
          <w:rFonts w:ascii="Times New Roman" w:hAnsi="Times New Roman" w:cs="Times New Roman" w:eastAsia="Times New Roman"/>
          <w:b/>
          <w:bCs/>
          <w:sz w:val="26"/>
          <w:szCs w:val="26"/>
        </w:rPr>
        <w:t xml:space="preserve">Title page</w:t>
      </w:r>
    </w:p>
    <w:p>
      <w:pPr>
        <w:spacing w:before="0" w:after="200" w:line="276" w:lineRule="auto"/>
        <w:jc w:val="left"/>
      </w:pPr>
      <w:r>
        <w:rPr>
          <w:rFonts w:ascii="Times New Roman" w:hAnsi="Times New Roman" w:cs="Times New Roman" w:eastAsia="Times New Roman"/>
          <w:b/>
          <w:bCs/>
          <w:sz w:val="28"/>
          <w:szCs w:val="28"/>
        </w:rPr>
        <w:t xml:space="preserve">Internal Control Architectures and Accountability Dimensions in Emerging Economy Bureaucracies</w:t>
      </w:r>
    </w:p>
    <w:p>
      <w:pPr>
        <w:spacing w:before="0" w:after="40" w:line="276" w:lineRule="auto"/>
        <w:jc w:val="left"/>
      </w:pPr>
      <w:r>
        <w:rPr>
          <w:rFonts w:ascii="Times New Roman" w:hAnsi="Times New Roman" w:cs="Times New Roman" w:eastAsia="Times New Roman"/>
          <w:b/>
          <w:bCs/>
          <w:sz w:val="24"/>
          <w:szCs w:val="24"/>
        </w:rPr>
        <w:t xml:space="preserve">Authors</w:t>
      </w:r>
    </w:p>
    <w:p>
      <w:pPr>
        <w:spacing w:before="0" w:after="120" w:line="276" w:lineRule="auto"/>
        <w:jc w:val="left"/>
      </w:pPr>
      <w:r>
        <w:rPr>
          <w:rFonts w:ascii="Times New Roman" w:hAnsi="Times New Roman" w:cs="Times New Roman" w:eastAsia="Times New Roman"/>
          <w:sz w:val="24"/>
          <w:szCs w:val="24"/>
        </w:rPr>
        <w:t xml:space="preserve">Ruhollah Amareh</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Behrooz Badpa</w:t>
      </w:r>
      <w:r>
        <w:rPr>
          <w:rFonts w:ascii="Times New Roman" w:hAnsi="Times New Roman" w:cs="Times New Roman" w:eastAsia="Times New Roman"/>
          <w:sz w:val="24"/>
          <w:szCs w:val="24"/>
          <w:vertAlign w:val="superscript"/>
        </w:rPr>
        <w:t xml:space="preserve">2</w:t>
      </w:r>
    </w:p>
    <w:p>
      <w:pPr>
        <w:spacing w:before="0" w:after="40" w:line="276" w:lineRule="auto"/>
        <w:jc w:val="left"/>
      </w:pPr>
      <w:r>
        <w:rPr>
          <w:rFonts w:ascii="Times New Roman" w:hAnsi="Times New Roman" w:cs="Times New Roman" w:eastAsia="Times New Roman"/>
          <w:b/>
          <w:bCs/>
          <w:sz w:val="24"/>
          <w:szCs w:val="24"/>
        </w:rPr>
        <w:t xml:space="preserve">Affiliations</w:t>
      </w:r>
    </w:p>
    <w:p>
      <w:pPr>
        <w:spacing w:before="0" w:after="40" w:line="276" w:lineRule="auto"/>
        <w:jc w:val="left"/>
      </w:pP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Assistant Professor of Accounting, Faculty of Management and Economics, Guilan University, Guilan, Iran</w:t>
      </w:r>
    </w:p>
    <w:p>
      <w:pPr>
        <w:spacing w:before="0" w:after="120" w:line="276" w:lineRule="auto"/>
        <w:jc w:val="left"/>
      </w:pPr>
      <w:r>
        <w:rPr>
          <w:rFonts w:ascii="Times New Roman" w:hAnsi="Times New Roman" w:cs="Times New Roman" w:eastAsia="Times New Roman"/>
          <w:sz w:val="24"/>
          <w:szCs w:val="24"/>
          <w:vertAlign w:val="superscript"/>
        </w:rPr>
        <w:t xml:space="preserve">2</w:t>
      </w:r>
      <w:r>
        <w:rPr>
          <w:rFonts w:ascii="Times New Roman" w:hAnsi="Times New Roman" w:cs="Times New Roman" w:eastAsia="Times New Roman"/>
          <w:sz w:val="24"/>
          <w:szCs w:val="24"/>
        </w:rPr>
        <w:t xml:space="preserve"> Associate Professor of Accounting, Faculty of Literature and Humanities, Ilam University, Ilam, Iran</w:t>
      </w:r>
    </w:p>
    <w:p>
      <w:pPr>
        <w:spacing w:before="0" w:after="40" w:line="276" w:lineRule="auto"/>
        <w:jc w:val="left"/>
      </w:pPr>
      <w:r>
        <w:rPr>
          <w:rFonts w:ascii="Times New Roman" w:hAnsi="Times New Roman" w:cs="Times New Roman" w:eastAsia="Times New Roman"/>
          <w:b/>
          <w:bCs/>
          <w:sz w:val="24"/>
          <w:szCs w:val="24"/>
        </w:rPr>
        <w:t xml:space="preserve">Corresponding author</w:t>
      </w:r>
    </w:p>
    <w:p>
      <w:pPr>
        <w:spacing w:before="0" w:after="120" w:line="276" w:lineRule="auto"/>
        <w:jc w:val="left"/>
      </w:pPr>
      <w:r>
        <w:rPr>
          <w:rFonts w:ascii="Times New Roman" w:hAnsi="Times New Roman" w:cs="Times New Roman" w:eastAsia="Times New Roman"/>
          <w:sz w:val="24"/>
          <w:szCs w:val="24"/>
          <w:vertAlign w:val="superscript"/>
        </w:rPr>
        <w:t xml:space="preserve">*</w:t>
      </w:r>
      <w:r>
        <w:rPr>
          <w:rFonts w:ascii="Times New Roman" w:hAnsi="Times New Roman" w:cs="Times New Roman" w:eastAsia="Times New Roman"/>
          <w:sz w:val="24"/>
          <w:szCs w:val="24"/>
        </w:rPr>
        <w:t xml:space="preserve"> Ruhollah Amareh, Faculty of Management and Economics, Guilan University, Guilan, Iran. E-mail: amareh.ruhollah@gmail.com. Fax: not applicable</w:t>
      </w:r>
    </w:p>
    <w:p>
      <w:pPr>
        <w:spacing w:before="0" w:after="40" w:line="276" w:lineRule="auto"/>
        <w:jc w:val="left"/>
      </w:pPr>
      <w:r>
        <w:rPr>
          <w:rFonts w:ascii="Times New Roman" w:hAnsi="Times New Roman" w:cs="Times New Roman" w:eastAsia="Times New Roman"/>
          <w:b/>
          <w:bCs/>
          <w:sz w:val="24"/>
          <w:szCs w:val="24"/>
        </w:rPr>
        <w:t xml:space="preserve">ORCID iDs</w:t>
      </w:r>
    </w:p>
    <w:p>
      <w:pPr>
        <w:spacing w:before="0" w:after="200" w:line="276" w:lineRule="auto"/>
        <w:jc w:val="left"/>
      </w:pPr>
      <w:r>
        <w:rPr>
          <w:rFonts w:ascii="Times New Roman" w:hAnsi="Times New Roman" w:cs="Times New Roman" w:eastAsia="Times New Roman"/>
          <w:sz w:val="24"/>
          <w:szCs w:val="24"/>
        </w:rPr>
        <w:t xml:space="preserve">https://orcid.org/0000-0002-4153-3378; https://orcid.org/0000-0002-1048-0787</w:t>
      </w:r>
    </w:p>
    <w:p>
      <w:pPr>
        <w:spacing w:before="60" w:after="100" w:line="276" w:lineRule="auto"/>
        <w:jc w:val="left"/>
      </w:pPr>
      <w:r>
        <w:rPr>
          <w:rFonts w:ascii="Times New Roman" w:hAnsi="Times New Roman" w:cs="Times New Roman" w:eastAsia="Times New Roman"/>
          <w:b/>
          <w:bCs/>
          <w:sz w:val="26"/>
          <w:szCs w:val="26"/>
        </w:rPr>
        <w:t xml:space="preserve">Compliance with Ethical Standards</w:t>
      </w:r>
    </w:p>
    <w:p>
      <w:pPr>
        <w:spacing w:before="0" w:after="100" w:line="276" w:lineRule="auto"/>
        <w:jc w:val="both"/>
      </w:pPr>
      <w:r>
        <w:rPr>
          <w:rFonts w:ascii="Times New Roman" w:hAnsi="Times New Roman" w:cs="Times New Roman" w:eastAsia="Times New Roman"/>
          <w:b/>
          <w:bCs/>
          <w:sz w:val="24"/>
          <w:szCs w:val="24"/>
        </w:rPr>
        <w:t xml:space="preserve">Conflict of Interest.</w:t>
      </w:r>
      <w:r>
        <w:rPr>
          <w:rFonts w:ascii="Times New Roman" w:hAnsi="Times New Roman" w:cs="Times New Roman" w:eastAsia="Times New Roman"/>
          <w:sz w:val="24"/>
          <w:szCs w:val="24"/>
        </w:rPr>
        <w:t xml:space="preserve"> Financial interests: The authors declare they have no financial interests. Non-financial interests: None.</w:t>
      </w:r>
    </w:p>
    <w:p>
      <w:pPr>
        <w:spacing w:before="0" w:after="100" w:line="276" w:lineRule="auto"/>
        <w:jc w:val="both"/>
      </w:pPr>
      <w:r>
        <w:rPr>
          <w:rFonts w:ascii="Times New Roman" w:hAnsi="Times New Roman" w:cs="Times New Roman" w:eastAsia="Times New Roman"/>
          <w:b/>
          <w:bCs/>
          <w:sz w:val="24"/>
          <w:szCs w:val="24"/>
        </w:rPr>
        <w:t xml:space="preserve">Informed consent.</w:t>
      </w:r>
      <w:r>
        <w:rPr>
          <w:rFonts w:ascii="Times New Roman" w:hAnsi="Times New Roman" w:cs="Times New Roman" w:eastAsia="Times New Roman"/>
          <w:sz w:val="24"/>
          <w:szCs w:val="24"/>
        </w:rPr>
        <w:t xml:space="preserve"> Participation was voluntary and anonymous, no identifying information was collected, and submission of the questionnaire was taken as informed consent. Consent for publication: Not applicable.</w:t>
      </w:r>
    </w:p>
    <w:p>
      <w:pPr>
        <w:spacing w:before="0" w:after="100" w:line="276" w:lineRule="auto"/>
        <w:jc w:val="both"/>
      </w:pPr>
      <w:r>
        <w:rPr>
          <w:rFonts w:ascii="Times New Roman" w:hAnsi="Times New Roman" w:cs="Times New Roman" w:eastAsia="Times New Roman"/>
          <w:b/>
          <w:bCs/>
          <w:sz w:val="24"/>
          <w:szCs w:val="24"/>
        </w:rPr>
        <w:t xml:space="preserve">Funding information.</w:t>
      </w:r>
      <w:r>
        <w:rPr>
          <w:rFonts w:ascii="Times New Roman" w:hAnsi="Times New Roman" w:cs="Times New Roman" w:eastAsia="Times New Roman"/>
          <w:sz w:val="24"/>
          <w:szCs w:val="24"/>
        </w:rPr>
        <w:t xml:space="preserve"> The authors did not receive support from any organization for the submitted work.</w:t>
      </w:r>
    </w:p>
    <w:p>
      <w:pPr>
        <w:spacing w:before="0" w:after="100" w:line="276" w:lineRule="auto"/>
        <w:jc w:val="both"/>
      </w:pPr>
      <w:r>
        <w:rPr>
          <w:rFonts w:ascii="Times New Roman" w:hAnsi="Times New Roman" w:cs="Times New Roman" w:eastAsia="Times New Roman"/>
          <w:b/>
          <w:bCs/>
          <w:sz w:val="24"/>
          <w:szCs w:val="24"/>
        </w:rPr>
        <w:t xml:space="preserve">Ethical approval.</w:t>
      </w:r>
      <w:r>
        <w:rPr>
          <w:rFonts w:ascii="Times New Roman" w:hAnsi="Times New Roman" w:cs="Times New Roman" w:eastAsia="Times New Roman"/>
          <w:sz w:val="24"/>
          <w:szCs w:val="24"/>
        </w:rPr>
        <w:t xml:space="preserve"> The study was an anonymous, voluntary survey of adult professionals that involved no foreseeable risk beyond everyday professional activities. No identifying information was collected.</w:t>
      </w:r>
    </w:p>
    <w:p>
      <w:pPr>
        <w:spacing w:before="0" w:after="100" w:line="276" w:lineRule="auto"/>
        <w:jc w:val="both"/>
      </w:pPr>
      <w:r>
        <w:rPr>
          <w:rFonts w:ascii="Times New Roman" w:hAnsi="Times New Roman" w:cs="Times New Roman" w:eastAsia="Times New Roman"/>
          <w:b/>
          <w:bCs/>
          <w:sz w:val="24"/>
          <w:szCs w:val="24"/>
        </w:rPr>
        <w:t xml:space="preserve">Data availability.</w:t>
      </w:r>
      <w:r>
        <w:rPr>
          <w:rFonts w:ascii="Times New Roman" w:hAnsi="Times New Roman" w:cs="Times New Roman" w:eastAsia="Times New Roman"/>
          <w:sz w:val="24"/>
          <w:szCs w:val="24"/>
        </w:rPr>
        <w:t xml:space="preserve"> The anonymized item-level data are available from the corresponding author on reasonable request. Materials: the questionnaire items are reported in Online Resource 1. Code: the analysis code is available from the corresponding author on reasonable request.</w:t>
      </w:r>
    </w:p>
    <w:p>
      <w:pPr>
        <w:spacing w:before="0" w:after="100" w:line="276" w:lineRule="auto"/>
        <w:jc w:val="both"/>
      </w:pPr>
      <w:r>
        <w:rPr>
          <w:rFonts w:ascii="Times New Roman" w:hAnsi="Times New Roman" w:cs="Times New Roman" w:eastAsia="Times New Roman"/>
          <w:b/>
          <w:bCs/>
          <w:sz w:val="24"/>
          <w:szCs w:val="24"/>
        </w:rPr>
        <w:t xml:space="preserve">Authors’ contributions.</w:t>
      </w:r>
      <w:r>
        <w:rPr>
          <w:rFonts w:ascii="Times New Roman" w:hAnsi="Times New Roman" w:cs="Times New Roman" w:eastAsia="Times New Roman"/>
          <w:sz w:val="24"/>
          <w:szCs w:val="24"/>
        </w:rPr>
        <w:t xml:space="preserve"> Conceptualization: Ruhollah Amareh and Behrooz Badpa; Methodology: Ruhollah Amareh; Formal analysis and investigation: Ruhollah Amareh; Writing – original draft preparation: Ruhollah Amareh; Writing – review and editing: Behrooz Badpa; Supervision: Behrooz Badpa.</w:t>
      </w:r>
    </w:p>
    <w:p>
      <w:pPr>
        <w:spacing w:before="140" w:after="80" w:line="276" w:lineRule="auto"/>
        <w:jc w:val="left"/>
      </w:pPr>
      <w:r>
        <w:rPr>
          <w:rFonts w:ascii="Times New Roman" w:hAnsi="Times New Roman" w:cs="Times New Roman" w:eastAsia="Times New Roman"/>
          <w:b/>
          <w:bCs/>
          <w:sz w:val="26"/>
          <w:szCs w:val="26"/>
        </w:rPr>
        <w:t xml:space="preserve">Use of generative AI tools</w:t>
      </w:r>
    </w:p>
    <w:p>
      <w:pPr>
        <w:spacing w:before="0" w:after="120" w:line="276" w:lineRule="auto"/>
        <w:jc w:val="both"/>
      </w:pPr>
      <w:r>
        <w:rPr>
          <w:rFonts w:ascii="Times New Roman" w:hAnsi="Times New Roman" w:cs="Times New Roman" w:eastAsia="Times New Roman"/>
          <w:sz w:val="24"/>
          <w:szCs w:val="24"/>
        </w:rPr>
        <w:t xml:space="preserve">Generative AI tools (Claude, Anthropic) were used to assist with editing the manuscript text, and with writing and debugging the statistical analysis code. The authors reviewed and verified all content, including the analysis outputs, and took full responsibility for the manuscript.</w:t>
      </w:r>
    </w:p>
    <w:p>
      <w:pPr>
        <w:spacing w:before="100" w:after="80" w:line="276" w:lineRule="auto"/>
        <w:jc w:val="left"/>
      </w:pPr>
      <w:r>
        <w:rPr>
          <w:rFonts w:ascii="Times New Roman" w:hAnsi="Times New Roman" w:cs="Times New Roman" w:eastAsia="Times New Roman"/>
          <w:b/>
          <w:bCs/>
          <w:sz w:val="26"/>
          <w:szCs w:val="26"/>
        </w:rPr>
        <w:t xml:space="preserve">Acknowledgments</w:t>
      </w:r>
    </w:p>
    <w:p>
      <w:pPr>
        <w:spacing w:before="0" w:after="80" w:line="276" w:lineRule="auto"/>
        <w:jc w:val="both"/>
      </w:pPr>
      <w:r>
        <w:rPr>
          <w:rFonts w:ascii="Times New Roman" w:hAnsi="Times New Roman" w:cs="Times New Roman" w:eastAsia="Times New Roman"/>
          <w:sz w:val="24"/>
          <w:szCs w:val="24"/>
        </w:rPr>
        <w:t xml:space="preserve">None.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