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اثر مواجهه با محتوای سرمایه‌گذاری شبکه‌های اجتماعی بر کیفیت تصمیم سرمایه‌گذاران حقیقی بورس تهران</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نقش میانجی متوالی فومو و رفتار توده‌وار و نقش تعدیل‌گر استفاده از اطلاعات حسابداری</w:t>
      </w:r>
    </w:p>
    <w:p>
      <w:pPr>
        <w:pStyle w:val="Normal"/>
        <w:bidi w:val="1"/>
        <w:spacing w:lineRule="auto" w:line="240" w:before="0" w:after="0"/>
        <w:jc w:val="center"/>
        <w:rPr/>
      </w:pPr>
      <w:r>
        <w:rPr>
          <w:rFonts w:ascii="Times New Roman" w:hAnsi="Times New Roman" w:eastAsia="Times New Roman"/>
          <w:b/>
          <w:b/>
          <w:bCs/>
          <w:sz w:val="24"/>
          <w:sz w:val="24"/>
          <w:szCs w:val="24"/>
          <w:highlight w:val="yellow"/>
          <w:rtl w:val="true"/>
          <w:lang w:val="en-US" w:bidi="fa-IR"/>
        </w:rPr>
        <w:t>نام و نام‌خانوادگی نویسنده اول</w:t>
      </w:r>
      <w:r>
        <w:rPr>
          <w:rFonts w:ascii="Times New Roman" w:hAnsi="Times New Roman" w:eastAsia="Times New Roman"/>
          <w:b/>
          <w:b/>
          <w:bCs/>
          <w:sz w:val="24"/>
          <w:sz w:val="24"/>
          <w:szCs w:val="24"/>
          <w:rtl w:val="true"/>
          <w:lang w:val="en-US" w:bidi="fa-IR"/>
        </w:rPr>
        <w:t>∗</w:t>
      </w:r>
    </w:p>
    <w:p>
      <w:pPr>
        <w:pStyle w:val="Normal"/>
        <w:bidi w:val="1"/>
        <w:spacing w:lineRule="auto" w:line="240" w:before="0" w:after="60"/>
        <w:jc w:val="center"/>
        <w:rPr/>
      </w:pPr>
      <w:r>
        <w:rPr>
          <w:rFonts w:ascii="Times New Roman" w:hAnsi="Times New Roman" w:eastAsia="Times New Roman"/>
          <w:sz w:val="24"/>
          <w:sz w:val="24"/>
          <w:szCs w:val="24"/>
          <w:highlight w:val="yellow"/>
          <w:rtl w:val="true"/>
          <w:lang w:val="en-US" w:bidi="fa-IR"/>
        </w:rPr>
        <w:t>دانشجوی دکتری، رشتهٔ حسابداری، نام دانشگاه، شهر، ایران</w:t>
      </w:r>
      <w:r>
        <w:rPr>
          <w:rFonts w:ascii="Times New Roman" w:hAnsi="Times New Roman" w:eastAsia="Times New Roman"/>
          <w:sz w:val="24"/>
          <w:sz w:val="24"/>
          <w:szCs w:val="24"/>
          <w:rtl w:val="true"/>
          <w:lang w:val="en-US" w:bidi="fa-IR"/>
        </w:rPr>
        <w:t xml:space="preserve"> — پست الکترونیکی</w:t>
      </w:r>
      <w:r>
        <w:rPr>
          <w:rFonts w:eastAsia="Times New Roman" w:cs="B Nazanin"/>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ایمیل سازمانی نویسنده مسئول</w:t>
      </w:r>
    </w:p>
    <w:p>
      <w:pPr>
        <w:pStyle w:val="Normal"/>
        <w:bidi w:val="1"/>
        <w:spacing w:lineRule="auto" w:line="240" w:before="0" w:after="0"/>
        <w:jc w:val="center"/>
        <w:rPr/>
      </w:pPr>
      <w:r>
        <w:rPr>
          <w:rFonts w:ascii="Times New Roman" w:hAnsi="Times New Roman" w:eastAsia="Times New Roman"/>
          <w:b/>
          <w:b/>
          <w:bCs/>
          <w:sz w:val="24"/>
          <w:sz w:val="24"/>
          <w:szCs w:val="24"/>
          <w:highlight w:val="yellow"/>
          <w:rtl w:val="true"/>
          <w:lang w:val="en-US" w:bidi="fa-IR"/>
        </w:rPr>
        <w:t xml:space="preserve">نام و نام‌خانوادگی نویسنده دوم </w:t>
      </w:r>
      <w:r>
        <w:rPr>
          <w:rFonts w:eastAsia="Times New Roman" w:cs="B Nazanin"/>
          <w:b/>
          <w:bCs/>
          <w:sz w:val="24"/>
          <w:szCs w:val="24"/>
          <w:highlight w:val="yellow"/>
          <w:rtl w:val="true"/>
          <w:lang w:val="en-US" w:bidi="fa-IR"/>
        </w:rPr>
        <w:t>(</w:t>
      </w:r>
      <w:r>
        <w:rPr>
          <w:rFonts w:ascii="Times New Roman" w:hAnsi="Times New Roman" w:eastAsia="Times New Roman"/>
          <w:b/>
          <w:b/>
          <w:bCs/>
          <w:sz w:val="24"/>
          <w:sz w:val="24"/>
          <w:szCs w:val="24"/>
          <w:highlight w:val="yellow"/>
          <w:rtl w:val="true"/>
          <w:lang w:val="en-US" w:bidi="fa-IR"/>
        </w:rPr>
        <w:t>در صورت وجود</w:t>
      </w:r>
      <w:r>
        <w:rPr>
          <w:rFonts w:eastAsia="Times New Roman" w:cs="B Nazanin"/>
          <w:b/>
          <w:bCs/>
          <w:sz w:val="24"/>
          <w:szCs w:val="24"/>
          <w:highlight w:val="yellow"/>
          <w:rtl w:val="true"/>
          <w:lang w:val="en-US" w:bidi="fa-IR"/>
        </w:rPr>
        <w:t>)</w:t>
      </w:r>
    </w:p>
    <w:p>
      <w:pPr>
        <w:pStyle w:val="Normal"/>
        <w:bidi w:val="1"/>
        <w:spacing w:lineRule="auto" w:line="240" w:before="0" w:after="160"/>
        <w:jc w:val="center"/>
        <w:rPr/>
      </w:pPr>
      <w:r>
        <w:rPr>
          <w:rFonts w:ascii="Times New Roman" w:hAnsi="Times New Roman" w:eastAsia="Times New Roman"/>
          <w:sz w:val="24"/>
          <w:sz w:val="24"/>
          <w:szCs w:val="24"/>
          <w:highlight w:val="yellow"/>
          <w:rtl w:val="true"/>
          <w:lang w:val="en-US" w:bidi="fa-IR"/>
        </w:rPr>
        <w:t>رتبهٔ علمی، گروه، دانشگاه، شهر، ایران</w:t>
      </w:r>
    </w:p>
    <w:p>
      <w:pPr>
        <w:pStyle w:val="Normal"/>
        <w:bidi w:val="1"/>
        <w:spacing w:lineRule="auto" w:line="240" w:before="0" w:after="60"/>
        <w:jc w:val="center"/>
        <w:rPr/>
      </w:pPr>
      <w:r>
        <w:rPr>
          <w:rFonts w:ascii="Times New Roman" w:hAnsi="Times New Roman" w:eastAsia="Times New Roman"/>
          <w:b/>
          <w:b/>
          <w:bCs/>
          <w:sz w:val="24"/>
          <w:sz w:val="24"/>
          <w:szCs w:val="24"/>
          <w:rtl w:val="true"/>
          <w:lang w:val="en-US" w:bidi="fa-IR"/>
        </w:rPr>
        <w:t>چکیده</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هدف</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و رفتار توده‌وار، و با تعدیل‌گری استفاده از اطلاعات حسابداری بررسی می‌کند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روش‌شناسی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پژوهش کمّی و پیمایشی است و با مدل‌سازی معادلات ساختاری مبتنی بر کوواریانس و تمام‌متغیرهای پنهان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هر گویه مستقیماً به سازهٔ خود متصل است</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انجام شد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داده‌های </w:t>
      </w:r>
      <w:r>
        <w:rPr>
          <w:rFonts w:ascii="Times New Roman" w:hAnsi="Times New Roman" w:eastAsia="Times New Roman"/>
          <w:sz w:val="24"/>
          <w:sz w:val="24"/>
          <w:szCs w:val="24"/>
          <w:lang w:val="en-US" w:bidi="fa-IR"/>
        </w:rPr>
        <w:t>۳۸۶</w:t>
      </w:r>
      <w:r>
        <w:rPr>
          <w:rFonts w:ascii="Times New Roman" w:hAnsi="Times New Roman" w:eastAsia="Times New Roman"/>
          <w:sz w:val="24"/>
          <w:sz w:val="24"/>
          <w:szCs w:val="24"/>
          <w:rtl w:val="true"/>
          <w:lang w:val="en-US" w:bidi="fa-IR"/>
        </w:rPr>
        <w:t xml:space="preserve"> سرمایه‌گذار حقیقی با ابزار </w:t>
      </w:r>
      <w:r>
        <w:rPr>
          <w:rFonts w:ascii="Times New Roman" w:hAnsi="Times New Roman" w:eastAsia="Times New Roman"/>
          <w:sz w:val="24"/>
          <w:sz w:val="24"/>
          <w:szCs w:val="24"/>
          <w:lang w:val="en-US" w:bidi="fa-IR"/>
        </w:rPr>
        <w:t>۲۶</w:t>
      </w:r>
      <w:r>
        <w:rPr>
          <w:rFonts w:ascii="Times New Roman" w:hAnsi="Times New Roman" w:eastAsia="Times New Roman"/>
          <w:sz w:val="24"/>
          <w:sz w:val="24"/>
          <w:szCs w:val="24"/>
          <w:rtl w:val="true"/>
          <w:lang w:val="en-US" w:bidi="fa-IR"/>
        </w:rPr>
        <w:t xml:space="preserve"> گویه‌ای لیکرت و شبیه‌سازی واقع‌نما با پارامترهای از پیش تعیین‌شده تولید شد؛ از این‌رو یافته‌ها جنبهٔ نمایشی و روش‌شناختی دارند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تعامل پنهان با شاخص‌های حاصل‌ضرب جفت‌شده و اثرهای غیرمستقیم با خودگردان‌سازی </w:t>
      </w:r>
      <w:r>
        <w:rPr>
          <w:rFonts w:ascii="Times New Roman" w:hAnsi="Times New Roman" w:eastAsia="Times New Roman"/>
          <w:sz w:val="24"/>
          <w:sz w:val="24"/>
          <w:szCs w:val="24"/>
          <w:lang w:val="en-US" w:bidi="fa-IR"/>
        </w:rPr>
        <w:t>۲۰۰۰</w:t>
      </w:r>
      <w:r>
        <w:rPr>
          <w:rFonts w:ascii="Times New Roman" w:hAnsi="Times New Roman" w:eastAsia="Times New Roman"/>
          <w:sz w:val="24"/>
          <w:sz w:val="24"/>
          <w:szCs w:val="24"/>
          <w:rtl w:val="true"/>
          <w:lang w:val="en-US" w:bidi="fa-IR"/>
        </w:rPr>
        <w:t xml:space="preserve"> تکراری آزمون شد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یافته‌ها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 ساختاری برازش مطلوب داشت </w:t>
      </w:r>
      <w:r>
        <w:rPr>
          <w:rFonts w:eastAsia="Times New Roman" w:cs="B Nazanin"/>
          <w:sz w:val="24"/>
          <w:szCs w:val="24"/>
          <w:rtl w:val="true"/>
          <w:lang w:val="en-US" w:bidi="fa-IR"/>
        </w:rPr>
        <w:t>(⁦</w:t>
      </w:r>
      <w:r>
        <w:rPr>
          <w:rFonts w:eastAsia="Times New Roman" w:cs="B Nazanin"/>
          <w:sz w:val="24"/>
          <w:szCs w:val="24"/>
          <w:lang w:val="en-US" w:bidi="fa-IR"/>
        </w:rPr>
        <w:t xml:space="preserve">CFI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۹۷۷</w:t>
      </w:r>
      <w:r>
        <w:rPr>
          <w:rFonts w:ascii="Times New Roman" w:hAnsi="Times New Roman" w:eastAsia="Times New Roman"/>
          <w:sz w:val="24"/>
          <w:sz w:val="24"/>
          <w:szCs w:val="24"/>
          <w:rtl w:val="true"/>
          <w:lang w:val="en-US" w:bidi="fa-IR"/>
        </w:rPr>
        <w:t>⁩؛ ⁦</w:t>
      </w:r>
      <w:r>
        <w:rPr>
          <w:rFonts w:eastAsia="Times New Roman" w:cs="B Nazanin"/>
          <w:sz w:val="24"/>
          <w:szCs w:val="24"/>
          <w:lang w:val="en-US" w:bidi="fa-IR"/>
        </w:rPr>
        <w:t xml:space="preserve">RMSEA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۰۲۳</w:t>
      </w:r>
      <w:r>
        <w:rPr>
          <w:rFonts w:ascii="Times New Roman" w:hAnsi="Times New Roman" w:eastAsia="Times New Roman"/>
          <w:sz w:val="24"/>
          <w:sz w:val="24"/>
          <w:szCs w:val="24"/>
          <w:rtl w:val="true"/>
          <w:lang w:val="en-US" w:bidi="fa-IR"/>
        </w:rPr>
        <w:t>⁩؛ ⁦</w:t>
      </w:r>
      <w:r>
        <w:rPr>
          <w:rFonts w:eastAsia="Times New Roman" w:cs="B Nazanin"/>
          <w:sz w:val="24"/>
          <w:szCs w:val="24"/>
          <w:lang w:val="en-US" w:bidi="fa-IR"/>
        </w:rPr>
        <w:t xml:space="preserve">SRMR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۰۴۲</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مواجهه با محتوا فومو را افزایش داد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۴۹</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فومو رفتار توده‌وار را تقویت کرد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۴۱</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رفتار توده‌وار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۳۵</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اثر غیرمستقیم متوالی معنادار بود و استفاده از اطلاعات حسابداری اثر فومو بر رفتار توده‌وار را تضعیف کرد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نتیجه‌گیری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دانش‌افزایی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r>
        <w:rPr>
          <w:rFonts w:eastAsia="Times New Roman" w:cs="B Nazanin"/>
          <w:sz w:val="24"/>
          <w:szCs w:val="24"/>
          <w:rtl w:val="true"/>
          <w:lang w:val="en-US" w:bidi="fa-IR"/>
        </w:rPr>
        <w:t>.</w:t>
      </w:r>
    </w:p>
    <w:p>
      <w:pPr>
        <w:pStyle w:val="Normal"/>
        <w:bidi w:val="1"/>
        <w:spacing w:lineRule="auto" w:line="240" w:before="12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مواجهه با شبکه‌های اجتماعی؛ فومو؛ رفتار توده‌وار؛ اطلاعات حسابداری؛ کیفیت تصمیم سرمایه‌گذاری؛ مدل‌سازی معادلات ساختاری؛ بورس تهران</w:t>
      </w:r>
    </w:p>
    <w:p>
      <w:pPr>
        <w:pStyle w:val="Normal"/>
        <w:rPr/>
      </w:pPr>
      <w:r>
        <w:rPr>
          <w:rtl w:val="true"/>
        </w:rPr>
      </w:r>
      <w:r>
        <w:br w:type="page"/>
      </w:r>
    </w:p>
    <w:p>
      <w:pPr>
        <w:pStyle w:val="Normal"/>
        <w:keepNext w:val="true"/>
        <w:bidi w:val="1"/>
        <w:spacing w:lineRule="auto" w:line="240" w:before="0" w:after="50"/>
        <w:jc w:val="left"/>
        <w:rPr/>
      </w:pP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بازار سرمایهٔ ایران در سال‌های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۱۴۰۰</w:t>
      </w:r>
      <w:r>
        <w:rPr>
          <w:rFonts w:ascii="Times New Roman" w:hAnsi="Times New Roman" w:eastAsia="Times New Roman"/>
          <w:sz w:val="26"/>
          <w:sz w:val="26"/>
          <w:szCs w:val="26"/>
          <w:rtl w:val="true"/>
          <w:lang w:val="en-US" w:bidi="fa-IR"/>
        </w:rPr>
        <w:t xml:space="preserve">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چنین تجربه‌هایی پرسشی بنیادین را پیش می‌کشد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شواهد بین‌المللی دو رویکرد را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یک‌سو، نظرها و احساسات منتشرشده در شبکه‌ها می‌توانند حامل اطلاعات سودمند دربارهٔ بازده آتی باشند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چن و همکاران</w:t>
      </w:r>
      <w:r>
        <w:rPr>
          <w:rStyle w:val="FootnoteReference"/>
          <w:rFonts w:ascii="Times New Roman" w:hAnsi="Times New Roman" w:eastAsia="Times New Roman"/>
          <w:sz w:val="26"/>
          <w:sz w:val="26"/>
          <w:szCs w:val="26"/>
          <w:vertAlign w:val="superscript"/>
          <w:lang w:val="en-US" w:bidi="fa-IR"/>
        </w:rPr>
        <w:footnoteReference w:id="2"/>
      </w:r>
      <w:r>
        <w:rPr>
          <w:rFonts w:ascii="Times New Roman" w:hAnsi="Times New Roman" w:eastAsia="Times New Roman"/>
          <w:sz w:val="26"/>
          <w:sz w:val="26"/>
          <w:szCs w:val="26"/>
          <w:vertAlign w:val="superscript"/>
          <w:lang w:val="en-US" w:bidi="fa-IR"/>
        </w:rPr>
        <w:t>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ascii="Times New Roman" w:hAnsi="Times New Roman" w:eastAsia="Times New Roman"/>
          <w:sz w:val="26"/>
          <w:sz w:val="26"/>
          <w:szCs w:val="26"/>
          <w:rtl w:val="true"/>
          <w:lang w:val="en-US" w:bidi="fa-IR"/>
        </w:rPr>
        <w:t>؛ بولن و همکاران</w:t>
      </w:r>
      <w:r>
        <w:rPr>
          <w:rStyle w:val="FootnoteReference"/>
          <w:rFonts w:ascii="Times New Roman" w:hAnsi="Times New Roman" w:eastAsia="Times New Roman"/>
          <w:sz w:val="26"/>
          <w:sz w:val="26"/>
          <w:szCs w:val="26"/>
          <w:vertAlign w:val="superscript"/>
          <w:lang w:val="en-US" w:bidi="fa-IR"/>
        </w:rPr>
        <w:footnoteReference w:id="3"/>
      </w:r>
      <w:r>
        <w:rPr>
          <w:rFonts w:ascii="Times New Roman" w:hAnsi="Times New Roman" w:eastAsia="Times New Roman"/>
          <w:sz w:val="26"/>
          <w:sz w:val="26"/>
          <w:szCs w:val="26"/>
          <w:vertAlign w:val="superscript"/>
          <w:lang w:val="en-US" w:bidi="fa-IR"/>
        </w:rPr>
        <w:t>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توجه سرمایه‌گذاران خرد را جلب و جهت 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دا و همکاران</w:t>
      </w:r>
      <w:r>
        <w:rPr>
          <w:rStyle w:val="FootnoteReference"/>
          <w:rFonts w:ascii="Times New Roman" w:hAnsi="Times New Roman" w:eastAsia="Times New Roman"/>
          <w:sz w:val="26"/>
          <w:sz w:val="26"/>
          <w:szCs w:val="26"/>
          <w:vertAlign w:val="superscript"/>
          <w:lang w:val="en-US" w:bidi="fa-IR"/>
        </w:rPr>
        <w:footnoteReference w:id="4"/>
      </w:r>
      <w:r>
        <w:rPr>
          <w:rFonts w:ascii="Times New Roman" w:hAnsi="Times New Roman" w:eastAsia="Times New Roman"/>
          <w:sz w:val="26"/>
          <w:sz w:val="26"/>
          <w:szCs w:val="26"/>
          <w:vertAlign w:val="superscript"/>
          <w:lang w:val="en-US" w:bidi="fa-IR"/>
        </w:rPr>
        <w:t>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ascii="Times New Roman" w:hAnsi="Times New Roman" w:eastAsia="Times New Roman"/>
          <w:sz w:val="26"/>
          <w:sz w:val="26"/>
          <w:szCs w:val="26"/>
          <w:rtl w:val="true"/>
          <w:lang w:val="en-US" w:bidi="fa-IR"/>
        </w:rPr>
        <w:t>؛ باربر و اودین</w:t>
      </w:r>
      <w:r>
        <w:rPr>
          <w:rStyle w:val="FootnoteReference"/>
          <w:rFonts w:ascii="Times New Roman" w:hAnsi="Times New Roman" w:eastAsia="Times New Roman"/>
          <w:sz w:val="26"/>
          <w:sz w:val="26"/>
          <w:szCs w:val="26"/>
          <w:vertAlign w:val="superscript"/>
          <w:lang w:val="en-US" w:bidi="fa-IR"/>
        </w:rPr>
        <w:footnoteReference w:id="5"/>
      </w:r>
      <w:r>
        <w:rPr>
          <w:rFonts w:ascii="Times New Roman" w:hAnsi="Times New Roman" w:eastAsia="Times New Roman"/>
          <w:sz w:val="26"/>
          <w:sz w:val="26"/>
          <w:szCs w:val="26"/>
          <w:vertAlign w:val="superscript"/>
          <w:lang w:val="en-US" w:bidi="fa-IR"/>
        </w:rPr>
        <w:t>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سوی دیگر، همین بسترها می‌توانند به هم‌جهتی، اتاق‌های پژواک و تشدید خطاهای قضاوت بینجامند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کوکسون و نیسنر</w:t>
      </w:r>
      <w:r>
        <w:rPr>
          <w:rStyle w:val="FootnoteReference"/>
          <w:rFonts w:ascii="Times New Roman" w:hAnsi="Times New Roman" w:eastAsia="Times New Roman"/>
          <w:sz w:val="26"/>
          <w:sz w:val="26"/>
          <w:szCs w:val="26"/>
          <w:vertAlign w:val="superscript"/>
          <w:lang w:val="en-US" w:bidi="fa-IR"/>
        </w:rPr>
        <w:footnoteReference w:id="6"/>
      </w:r>
      <w:r>
        <w:rPr>
          <w:rFonts w:ascii="Times New Roman" w:hAnsi="Times New Roman" w:eastAsia="Times New Roman"/>
          <w:sz w:val="26"/>
          <w:sz w:val="26"/>
          <w:szCs w:val="26"/>
          <w:vertAlign w:val="superscript"/>
          <w:lang w:val="en-US" w:bidi="fa-IR"/>
        </w:rPr>
        <w:t>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ascii="Times New Roman" w:hAnsi="Times New Roman" w:eastAsia="Times New Roman"/>
          <w:sz w:val="26"/>
          <w:sz w:val="26"/>
          <w:szCs w:val="26"/>
          <w:rtl w:val="true"/>
          <w:lang w:val="en-US" w:bidi="fa-IR"/>
        </w:rPr>
        <w:t>؛ کوکسون و همکاران</w:t>
      </w:r>
      <w:r>
        <w:rPr>
          <w:rStyle w:val="FootnoteReference"/>
          <w:rFonts w:ascii="Times New Roman" w:hAnsi="Times New Roman" w:eastAsia="Times New Roman"/>
          <w:sz w:val="26"/>
          <w:sz w:val="26"/>
          <w:szCs w:val="26"/>
          <w:vertAlign w:val="superscript"/>
          <w:lang w:val="en-US" w:bidi="fa-IR"/>
        </w:rPr>
        <w:footnoteReference w:id="7"/>
      </w:r>
      <w:r>
        <w:rPr>
          <w:rFonts w:ascii="Times New Roman" w:hAnsi="Times New Roman" w:eastAsia="Times New Roman"/>
          <w:sz w:val="26"/>
          <w:sz w:val="26"/>
          <w:szCs w:val="26"/>
          <w:vertAlign w:val="superscript"/>
          <w:lang w:val="en-US" w:bidi="fa-IR"/>
        </w:rPr>
        <w:t>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ascii="Times New Roman" w:hAnsi="Times New Roman" w:eastAsia="Times New Roman"/>
          <w:sz w:val="26"/>
          <w:sz w:val="26"/>
          <w:szCs w:val="26"/>
          <w:rtl w:val="true"/>
          <w:lang w:val="en-US" w:bidi="fa-IR"/>
        </w:rPr>
        <w:t>؛ هیرشلایفر</w:t>
      </w:r>
      <w:r>
        <w:rPr>
          <w:rStyle w:val="FootnoteReference"/>
          <w:rFonts w:ascii="Times New Roman" w:hAnsi="Times New Roman" w:eastAsia="Times New Roman"/>
          <w:sz w:val="26"/>
          <w:sz w:val="26"/>
          <w:szCs w:val="26"/>
          <w:vertAlign w:val="superscript"/>
          <w:lang w:val="en-US" w:bidi="fa-IR"/>
        </w:rPr>
        <w:footnoteReference w:id="8"/>
      </w:r>
      <w:r>
        <w:rPr>
          <w:rFonts w:ascii="Times New Roman" w:hAnsi="Times New Roman" w:eastAsia="Times New Roman"/>
          <w:sz w:val="26"/>
          <w:sz w:val="26"/>
          <w:szCs w:val="26"/>
          <w:vertAlign w:val="superscript"/>
          <w:lang w:val="en-US" w:bidi="fa-IR"/>
        </w:rPr>
        <w:t>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آنچه هنوز روشن نیست سازوکار انتقال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چارچوب نظری پشتیبان این پژوهش دو ستون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نخست، نظریهٔ آبشارهای اطلاعاتی</w:t>
      </w:r>
      <w:r>
        <w:rPr>
          <w:rStyle w:val="FootnoteReference"/>
          <w:rFonts w:ascii="Times New Roman" w:hAnsi="Times New Roman" w:eastAsia="Times New Roman"/>
          <w:sz w:val="26"/>
          <w:sz w:val="26"/>
          <w:szCs w:val="26"/>
          <w:vertAlign w:val="superscript"/>
          <w:lang w:val="en-US" w:bidi="fa-IR"/>
        </w:rPr>
        <w:footnoteReference w:id="9"/>
      </w:r>
      <w:r>
        <w:rPr>
          <w:rFonts w:ascii="Times New Roman" w:hAnsi="Times New Roman" w:eastAsia="Times New Roman"/>
          <w:sz w:val="26"/>
          <w:sz w:val="26"/>
          <w:szCs w:val="26"/>
          <w:vertAlign w:val="superscript"/>
          <w:lang w:val="en-US" w:bidi="fa-IR"/>
        </w:rPr>
        <w:t>۸</w:t>
      </w:r>
      <w:r>
        <w:rPr>
          <w:rFonts w:ascii="Times New Roman" w:hAnsi="Times New Roman" w:eastAsia="Times New Roman"/>
          <w:sz w:val="26"/>
          <w:sz w:val="26"/>
          <w:szCs w:val="26"/>
          <w:rtl w:val="true"/>
          <w:lang w:val="en-US" w:bidi="fa-IR"/>
        </w:rPr>
        <w:t xml:space="preserve"> که توضیح می‌دهد چرا سرمایه‌گذاران عاقل نیز ممکن است سیگنال‌های خصوصی خود را کنار بگذارند و از رفتار دیگران پیروی 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بیکچندانی و همکاران</w:t>
      </w:r>
      <w:r>
        <w:rPr>
          <w:rStyle w:val="FootnoteReference"/>
          <w:rFonts w:ascii="Times New Roman" w:hAnsi="Times New Roman" w:eastAsia="Times New Roman"/>
          <w:sz w:val="26"/>
          <w:sz w:val="26"/>
          <w:szCs w:val="26"/>
          <w:vertAlign w:val="superscript"/>
          <w:lang w:val="en-US" w:bidi="fa-IR"/>
        </w:rPr>
        <w:footnoteReference w:id="10"/>
      </w:r>
      <w:r>
        <w:rPr>
          <w:rFonts w:ascii="Times New Roman" w:hAnsi="Times New Roman" w:eastAsia="Times New Roman"/>
          <w:sz w:val="26"/>
          <w:sz w:val="26"/>
          <w:szCs w:val="26"/>
          <w:vertAlign w:val="superscript"/>
          <w:lang w:val="en-US" w:bidi="fa-IR"/>
        </w:rPr>
        <w:t>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۱۹۹۲</w:t>
      </w:r>
      <w:r>
        <w:rPr>
          <w:rFonts w:ascii="Times New Roman" w:hAnsi="Times New Roman" w:eastAsia="Times New Roman"/>
          <w:sz w:val="26"/>
          <w:sz w:val="26"/>
          <w:szCs w:val="26"/>
          <w:rtl w:val="true"/>
          <w:lang w:val="en-US" w:bidi="fa-IR"/>
        </w:rPr>
        <w:t>؛ بنرجی</w:t>
      </w:r>
      <w:r>
        <w:rPr>
          <w:rStyle w:val="FootnoteReference"/>
          <w:rFonts w:ascii="Times New Roman" w:hAnsi="Times New Roman" w:eastAsia="Times New Roman"/>
          <w:sz w:val="26"/>
          <w:sz w:val="26"/>
          <w:szCs w:val="26"/>
          <w:vertAlign w:val="superscript"/>
          <w:lang w:val="en-US" w:bidi="fa-IR"/>
        </w:rPr>
        <w:footnoteReference w:id="11"/>
      </w:r>
      <w:r>
        <w:rPr>
          <w:rFonts w:ascii="Times New Roman" w:hAnsi="Times New Roman" w:eastAsia="Times New Roman"/>
          <w:sz w:val="26"/>
          <w:sz w:val="26"/>
          <w:szCs w:val="26"/>
          <w:vertAlign w:val="superscript"/>
          <w:lang w:val="en-US" w:bidi="fa-IR"/>
        </w:rPr>
        <w:t>۱۰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دوم، ادبیات ترس از دست دادن فرصت</w:t>
      </w:r>
      <w:r>
        <w:rPr>
          <w:rStyle w:val="FootnoteReference"/>
          <w:rFonts w:ascii="Times New Roman" w:hAnsi="Times New Roman" w:eastAsia="Times New Roman"/>
          <w:sz w:val="26"/>
          <w:sz w:val="26"/>
          <w:szCs w:val="26"/>
          <w:vertAlign w:val="superscript"/>
          <w:lang w:val="en-US" w:bidi="fa-IR"/>
        </w:rPr>
        <w:footnoteReference w:id="12"/>
      </w:r>
      <w:r>
        <w:rPr>
          <w:rFonts w:ascii="Times New Roman" w:hAnsi="Times New Roman" w:eastAsia="Times New Roman"/>
          <w:sz w:val="26"/>
          <w:sz w:val="26"/>
          <w:szCs w:val="26"/>
          <w:vertAlign w:val="superscript"/>
          <w:lang w:val="en-US" w:bidi="fa-IR"/>
        </w:rPr>
        <w:t>۱۱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فومو</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آن را اضطرابی فراگیر دربارهٔ تجربه‌های پاداش‌آور دیگران می‌داند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پرزیبیلسکی و همکاران</w:t>
      </w:r>
      <w:r>
        <w:rPr>
          <w:rStyle w:val="FootnoteReference"/>
          <w:rFonts w:ascii="Times New Roman" w:hAnsi="Times New Roman" w:eastAsia="Times New Roman"/>
          <w:sz w:val="26"/>
          <w:sz w:val="26"/>
          <w:szCs w:val="26"/>
          <w:vertAlign w:val="superscript"/>
          <w:lang w:val="en-US" w:bidi="fa-IR"/>
        </w:rPr>
        <w:footnoteReference w:id="13"/>
      </w:r>
      <w:r>
        <w:rPr>
          <w:rFonts w:ascii="Times New Roman" w:hAnsi="Times New Roman" w:eastAsia="Times New Roman"/>
          <w:sz w:val="26"/>
          <w:sz w:val="26"/>
          <w:szCs w:val="26"/>
          <w:vertAlign w:val="superscript"/>
          <w:lang w:val="en-US" w:bidi="fa-IR"/>
        </w:rPr>
        <w:t>۱۲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بر پایهٔ نظریهٔ مقایسهٔ اجتماعی</w:t>
      </w:r>
      <w:r>
        <w:rPr>
          <w:rStyle w:val="FootnoteReference"/>
          <w:rFonts w:ascii="Times New Roman" w:hAnsi="Times New Roman" w:eastAsia="Times New Roman"/>
          <w:sz w:val="26"/>
          <w:sz w:val="26"/>
          <w:szCs w:val="26"/>
          <w:vertAlign w:val="superscript"/>
          <w:lang w:val="en-US" w:bidi="fa-IR"/>
        </w:rPr>
        <w:footnoteReference w:id="14"/>
      </w:r>
      <w:r>
        <w:rPr>
          <w:rFonts w:ascii="Times New Roman" w:hAnsi="Times New Roman" w:eastAsia="Times New Roman"/>
          <w:sz w:val="26"/>
          <w:sz w:val="26"/>
          <w:szCs w:val="26"/>
          <w:vertAlign w:val="superscript"/>
          <w:lang w:val="en-US" w:bidi="fa-IR"/>
        </w:rPr>
        <w:t>۱۳</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فستینگر</w:t>
      </w:r>
      <w:r>
        <w:rPr>
          <w:rStyle w:val="FootnoteReference"/>
          <w:rFonts w:ascii="Times New Roman" w:hAnsi="Times New Roman" w:eastAsia="Times New Roman"/>
          <w:sz w:val="26"/>
          <w:sz w:val="26"/>
          <w:szCs w:val="26"/>
          <w:vertAlign w:val="superscript"/>
          <w:lang w:val="en-US" w:bidi="fa-IR"/>
        </w:rPr>
        <w:footnoteReference w:id="15"/>
      </w:r>
      <w:r>
        <w:rPr>
          <w:rFonts w:ascii="Times New Roman" w:hAnsi="Times New Roman" w:eastAsia="Times New Roman"/>
          <w:sz w:val="26"/>
          <w:sz w:val="26"/>
          <w:szCs w:val="26"/>
          <w:vertAlign w:val="superscript"/>
          <w:lang w:val="en-US" w:bidi="fa-IR"/>
        </w:rPr>
        <w:t>۱۴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محیط‌های شبکه‌ای تشدید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ترکیب این دو، مسیر زیر را پیشنهاد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 فومو ← رفتار توده‌وار ← افت کیفیت تصمیم؛ مسیری که شدت آن می‌تواند با میزان تکیهٔ سرمایه‌گذار بر اطلاعات حسابداری تعدیل 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ایران، پژوهش‌های فراوانی دربارهٔ رفتار توده‌وار و سوگیری‌های رفتاری سرمایه‌گذاران انجام شده است؛ برای نمونه جمشیدی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فرااعتمادی، نماگری و اثر تمایلی را در میان سرمایه‌گذاران حقیقی بررسی کرده‌اند، ترازودار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مدلی دادهٔ‌بنیاد برای اثر تورش‌های رفتاری و سواد مالی بر تصمیم‌گیری سرمایه‌گذاران ارائه داده‌اند و ندیری و پناهیان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احساسات عقلانی و غیرعقلانی را بر بازده بازار سهام سنجیده‌اند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دربارهٔ نقش شبکه‌های اجتماعی نیز حیدری هراتمه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تأثیر رسانه‌ها و شبکه‌های اجتماعی و مجازی را بر خط‌مشی و تصمیمات سرمایه‌گذاران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به‌نظر می‌رسد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نقش میانجی فومو میان مواجهه با محتوا و توده‌واری، و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تعدیل‌گر اطلاعات حسابداری در این زنجیره کمتر در قالب یک مدل ساختاری یکپارچه با خطای اندازه‌گیری کنترل‌شده آزموده شده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پژوهش با نگاه حسابداری رفتاری به همین دو شکاف می‌پردازد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پرسش‌های پژوهش</w:t>
      </w:r>
      <w:r>
        <w:rPr>
          <w:rFonts w:ascii="Times New Roman" w:hAnsi="Times New Roman" w:eastAsia="Times New Roman"/>
          <w:sz w:val="26"/>
          <w:sz w:val="26"/>
          <w:szCs w:val="26"/>
          <w:rtl w:val="true"/>
          <w:lang w:val="en-US" w:bidi="fa-IR"/>
        </w:rPr>
        <w:t xml:space="preserve"> عبارت‌اند از</w:t>
      </w:r>
      <w:r>
        <w:rPr>
          <w:rFonts w:eastAsia="Times New Roman" w:cs="B Nazanin"/>
          <w:sz w:val="26"/>
          <w:szCs w:val="26"/>
          <w:rtl w:val="true"/>
          <w:lang w:val="en-US" w:bidi="fa-IR"/>
        </w:rPr>
        <w:t>: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مواجهه با محتوای سرمایه‌گذاری در شبکه‌های اجتماعی از طریق فومو و رفتار توده‌وار بر کیفیت تصمیم سرمایه‌گذاران حقیقی اثر می‌گذارد؟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گویه‌ها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تحلیل به‌کار نمی‌رود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به‌طور خلاصه، نتایج نشان داد اثر غیرمستقیم متوالی مواجهه بر کیفیت تصمیم از طریق فومو و رفتار توده‌وار منفی و معنادار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ضریب استاندارد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۰۷۱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استفاده از اطلاعات حسابداری شیب فومو ← توده‌واری را کاهش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و ضرورت موضوع از دو جنبه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داده‌های این نسخه شبیه‌سازی‌شده‌اند و پیام آن بیش از هر چیز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بازتولیدپذیری روش و ساختار مدل</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 بنابراین نباید به‌منزلهٔ شواهد تجربی دربارهٔ بازار واقعی تعبیر 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ساختار مقاله چنین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ابتدا مبانی نظری و فرضیه‌ها، سپس روش‌شناسی، یافته‌ها، و در پایان بحث و نتیجه‌گیری ارائه می‌شود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مبانی نظری و توسعهٔ فرضیه‌ها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کیفیت تصمیم سرمایه‌گذاری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کیفیت تصمیم را می‌توان مجموعه‌ای از ویژگی‌های فرایندی و پیامدی دانست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اتکا به اطلاعات مرتبط و مستند، سازگاری با اهداف بلندمدت، و رضایت و پشیمانی کمتر از نتایج</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پارکر و فیشهاف</w:t>
      </w:r>
      <w:r>
        <w:rPr>
          <w:rStyle w:val="FootnoteReference"/>
          <w:rFonts w:ascii="Times New Roman" w:hAnsi="Times New Roman" w:eastAsia="Times New Roman"/>
          <w:sz w:val="26"/>
          <w:sz w:val="26"/>
          <w:szCs w:val="26"/>
          <w:vertAlign w:val="superscript"/>
          <w:lang w:val="en-US" w:bidi="fa-IR"/>
        </w:rPr>
        <w:footnoteReference w:id="16"/>
      </w:r>
      <w:r>
        <w:rPr>
          <w:rFonts w:ascii="Times New Roman" w:hAnsi="Times New Roman" w:eastAsia="Times New Roman"/>
          <w:sz w:val="26"/>
          <w:sz w:val="26"/>
          <w:szCs w:val="26"/>
          <w:vertAlign w:val="superscript"/>
          <w:lang w:val="en-US" w:bidi="fa-IR"/>
        </w:rPr>
        <w:t>۱۵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شایستگی تصمیم‌گیری را ویژگی قابل‌سنجش و متفاوت میان افراد می‌دانند و برویِن دو برویِن و همکاران</w:t>
      </w:r>
      <w:r>
        <w:rPr>
          <w:rStyle w:val="FootnoteReference"/>
          <w:rFonts w:ascii="Times New Roman" w:hAnsi="Times New Roman" w:eastAsia="Times New Roman"/>
          <w:sz w:val="26"/>
          <w:sz w:val="26"/>
          <w:szCs w:val="26"/>
          <w:vertAlign w:val="superscript"/>
          <w:lang w:val="en-US" w:bidi="fa-IR"/>
        </w:rPr>
        <w:footnoteReference w:id="17"/>
      </w:r>
      <w:r>
        <w:rPr>
          <w:rFonts w:ascii="Times New Roman" w:hAnsi="Times New Roman" w:eastAsia="Times New Roman"/>
          <w:sz w:val="26"/>
          <w:sz w:val="26"/>
          <w:szCs w:val="26"/>
          <w:vertAlign w:val="superscript"/>
          <w:lang w:val="en-US" w:bidi="fa-IR"/>
        </w:rPr>
        <w:t>۱۶</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دادند این شایستگی با پیامدهای واقعی زندگی مرتبط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بازار سهام، تفاوت میان تصمیم خوب و بد را نمی‌توان تنها با بازده سنجید، زیرا بازده بخشی از شانس است؛ ازاین‌رو فرایند تصمیم نیز مهم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سرمایه‌گذارانی که بیش‌ازحد و تحت‌تأثیر عوامل غیربنیادی معامله می‌کنند بازده خالص کمتری کسب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باربر و اودین،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تمایل به نگه‌داشتن زیان‌ها و فروش زودهنگام سودها از الگوهای شناخته‌شدهٔ کاهندهٔ کیفیت تصمیم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اودین</w:t>
      </w:r>
      <w:r>
        <w:rPr>
          <w:rStyle w:val="FootnoteReference"/>
          <w:rFonts w:ascii="Times New Roman" w:hAnsi="Times New Roman" w:eastAsia="Times New Roman"/>
          <w:sz w:val="26"/>
          <w:sz w:val="26"/>
          <w:szCs w:val="26"/>
          <w:vertAlign w:val="superscript"/>
          <w:lang w:val="en-US" w:bidi="fa-IR"/>
        </w:rPr>
        <w:footnoteReference w:id="18"/>
      </w:r>
      <w:r>
        <w:rPr>
          <w:rFonts w:ascii="Times New Roman" w:hAnsi="Times New Roman" w:eastAsia="Times New Roman"/>
          <w:sz w:val="26"/>
          <w:sz w:val="26"/>
          <w:szCs w:val="26"/>
          <w:vertAlign w:val="superscript"/>
          <w:lang w:val="en-US" w:bidi="fa-IR"/>
        </w:rPr>
        <w:t>۱۷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مرور کومار و گویال</w:t>
      </w:r>
      <w:r>
        <w:rPr>
          <w:rStyle w:val="FootnoteReference"/>
          <w:rFonts w:ascii="Times New Roman" w:hAnsi="Times New Roman" w:eastAsia="Times New Roman"/>
          <w:sz w:val="26"/>
          <w:sz w:val="26"/>
          <w:szCs w:val="26"/>
          <w:vertAlign w:val="superscript"/>
          <w:lang w:val="en-US" w:bidi="fa-IR"/>
        </w:rPr>
        <w:footnoteReference w:id="19"/>
      </w:r>
      <w:r>
        <w:rPr>
          <w:rFonts w:ascii="Times New Roman" w:hAnsi="Times New Roman" w:eastAsia="Times New Roman"/>
          <w:sz w:val="26"/>
          <w:sz w:val="26"/>
          <w:szCs w:val="26"/>
          <w:vertAlign w:val="superscript"/>
          <w:lang w:val="en-US" w:bidi="fa-IR"/>
        </w:rPr>
        <w:t>۱۸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نیز نشان می‌دهد سوگیری‌های رفتاری از مهم‌ترین عوامل انحراف تصمیم از فرایند عقلانی‌اند و جمشیدی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بررسی سرمایه‌گذاران حقیقی بورس تهران، ارتباط سوگیری‌های رفتاری با عملکرد را مطالعه کرده‌اند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شبکه‌های اجتماعی و اطلاعات مالی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شبکه‌های اجتماعی هزینهٔ دسترسی به نظرها و تحلیل‌ها را کاهش داده‌اند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دادند نظرهای منتشرشده در یک پلتفرم سرمایه‌گذاری با بازده آتی و شگفتی‌های سود مرتبط است و بولن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رابطهٔ خلق‌وخوی عمومی در توییتر با حرکت بازار را گزارش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این حال، هم‌زمان که اطلاعات ارزان‌تر می‌شود، توجه کمیاب‌تر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دادند خرید سرمایه‌گذاران حقیقی بر سهامِ مورد توجه متمرکز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چنین محیطی، محتوایی که توجه را جلب می‌کند لزوماً محتوای آگاهی‌بخش‌تر نیست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کوکسون و نیسنر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تحلیل یک شبکهٔ اجتماعی سرمایه‌گذاران نشان دادند کاربران نظرهای هم‌جهت با خود را بیشتر دنبال می‌کنند و کوکسون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شواهدی دربارهٔ اتاق‌های پژواک، تمایل به تعامل با همفکران را مستند کردند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هیرشلایفر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سوگیری انتقال اجتماعی را عاملی ساختاری در شکل‌گیری رفتارهای مالی می‌داند و شیلر</w:t>
      </w:r>
      <w:r>
        <w:rPr>
          <w:rStyle w:val="FootnoteReference"/>
          <w:rFonts w:ascii="Times New Roman" w:hAnsi="Times New Roman" w:eastAsia="Times New Roman"/>
          <w:sz w:val="26"/>
          <w:sz w:val="26"/>
          <w:szCs w:val="26"/>
          <w:vertAlign w:val="superscript"/>
          <w:lang w:val="en-US" w:bidi="fa-IR"/>
        </w:rPr>
        <w:footnoteReference w:id="20"/>
      </w:r>
      <w:r>
        <w:rPr>
          <w:rFonts w:ascii="Times New Roman" w:hAnsi="Times New Roman" w:eastAsia="Times New Roman"/>
          <w:sz w:val="26"/>
          <w:sz w:val="26"/>
          <w:szCs w:val="26"/>
          <w:vertAlign w:val="superscript"/>
          <w:lang w:val="en-US" w:bidi="fa-IR"/>
        </w:rPr>
        <w:t>۱۹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روایت‌های همه‌گیر را در نوسان‌های اقتصادی برجسته کرده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هونگ و همکاران</w:t>
      </w:r>
      <w:r>
        <w:rPr>
          <w:rStyle w:val="FootnoteReference"/>
          <w:rFonts w:ascii="Times New Roman" w:hAnsi="Times New Roman" w:eastAsia="Times New Roman"/>
          <w:sz w:val="26"/>
          <w:sz w:val="26"/>
          <w:szCs w:val="26"/>
          <w:vertAlign w:val="superscript"/>
          <w:lang w:val="en-US" w:bidi="fa-IR"/>
        </w:rPr>
        <w:footnoteReference w:id="21"/>
      </w:r>
      <w:r>
        <w:rPr>
          <w:rFonts w:ascii="Times New Roman" w:hAnsi="Times New Roman" w:eastAsia="Times New Roman"/>
          <w:sz w:val="26"/>
          <w:sz w:val="26"/>
          <w:szCs w:val="26"/>
          <w:vertAlign w:val="superscript"/>
          <w:lang w:val="en-US" w:bidi="fa-IR"/>
        </w:rPr>
        <w:t>۲۰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دادند تعاملات اجتماعی بر مشارکت در بازار سهام اثر می‌گذارد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ایران، حیدری هراتمه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رسانه‌ها و شبکه‌های اجتماعی را بر تصمیمات سرمایه‌گذاران بازارهای مالی بررسی کرده‌اند و ندیری و پناهیان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نقش احساسات سرمایه‌گذاران را در بازده بازار سهام تهران نشان داده‌اند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مطالعات زمینه‌ای فراهم می‌کنند که در آن مواجهه با محتوا می‌تواند هیجان سرمایه‌گذاران را برانگیزد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فومو در ادبیات روان‌شناسی، نگرانی فراگیر از آن است که دیگران تجربه‌های پاداش‌آوری دارند که فرد از آن‌ها محروم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پرزیبیلسکی و همکاران،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سازه با استفادهٔ بیشتر از شبکه‌های اجتماعی ارتباط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آبل و همکاران</w:t>
      </w:r>
      <w:r>
        <w:rPr>
          <w:rStyle w:val="FootnoteReference"/>
          <w:rFonts w:ascii="Times New Roman" w:hAnsi="Times New Roman" w:eastAsia="Times New Roman"/>
          <w:sz w:val="26"/>
          <w:sz w:val="26"/>
          <w:szCs w:val="26"/>
          <w:vertAlign w:val="superscript"/>
          <w:lang w:val="en-US" w:bidi="fa-IR"/>
        </w:rPr>
        <w:footnoteReference w:id="22"/>
      </w:r>
      <w:r>
        <w:rPr>
          <w:rFonts w:ascii="Times New Roman" w:hAnsi="Times New Roman" w:eastAsia="Times New Roman"/>
          <w:sz w:val="26"/>
          <w:sz w:val="26"/>
          <w:szCs w:val="26"/>
          <w:vertAlign w:val="superscript"/>
          <w:lang w:val="en-US" w:bidi="fa-IR"/>
        </w:rPr>
        <w:t>۲۱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میلیاوسکایا و همکاران</w:t>
      </w:r>
      <w:r>
        <w:rPr>
          <w:rStyle w:val="FootnoteReference"/>
          <w:rFonts w:ascii="Times New Roman" w:hAnsi="Times New Roman" w:eastAsia="Times New Roman"/>
          <w:sz w:val="26"/>
          <w:sz w:val="26"/>
          <w:szCs w:val="26"/>
          <w:vertAlign w:val="superscript"/>
          <w:lang w:val="en-US" w:bidi="fa-IR"/>
        </w:rPr>
        <w:footnoteReference w:id="23"/>
      </w:r>
      <w:r>
        <w:rPr>
          <w:rFonts w:ascii="Times New Roman" w:hAnsi="Times New Roman" w:eastAsia="Times New Roman"/>
          <w:sz w:val="26"/>
          <w:sz w:val="26"/>
          <w:szCs w:val="26"/>
          <w:vertAlign w:val="superscript"/>
          <w:lang w:val="en-US" w:bidi="fa-IR"/>
        </w:rPr>
        <w:t>۲۲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پیامدها و پویایی تجربهٔ آن را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بستر سرمایه‌گذاری، فومو به شکل نگرانی از فرصت‌های سودآور از دست‌رفته بروز می‌یابد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اساس نظریهٔ مقایسهٔ اجتماعی، افراد ارزیابی خود را از طریق مقایسه با دیگران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فستینگر،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مواجهه مکرر با گزارش سود دیگران بستر این مقایسه را فراهم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نظریهٔ پشیمانی</w:t>
      </w:r>
      <w:r>
        <w:rPr>
          <w:rStyle w:val="FootnoteReference"/>
          <w:rFonts w:ascii="Times New Roman" w:hAnsi="Times New Roman" w:eastAsia="Times New Roman"/>
          <w:sz w:val="26"/>
          <w:sz w:val="26"/>
          <w:szCs w:val="26"/>
          <w:vertAlign w:val="superscript"/>
          <w:lang w:val="en-US" w:bidi="fa-IR"/>
        </w:rPr>
        <w:footnoteReference w:id="24"/>
      </w:r>
      <w:r>
        <w:rPr>
          <w:rFonts w:ascii="Times New Roman" w:hAnsi="Times New Roman" w:eastAsia="Times New Roman"/>
          <w:sz w:val="26"/>
          <w:sz w:val="26"/>
          <w:szCs w:val="26"/>
          <w:vertAlign w:val="superscript"/>
          <w:lang w:val="en-US" w:bidi="fa-IR"/>
        </w:rPr>
        <w:t>۲۳</w:t>
      </w:r>
      <w:r>
        <w:rPr>
          <w:rFonts w:ascii="Times New Roman" w:hAnsi="Times New Roman" w:eastAsia="Times New Roman"/>
          <w:sz w:val="26"/>
          <w:sz w:val="26"/>
          <w:szCs w:val="26"/>
          <w:rtl w:val="true"/>
          <w:lang w:val="en-US" w:bidi="fa-IR"/>
        </w:rPr>
        <w:t xml:space="preserve"> نیز نشان می‌دهد پیش‌بینی پشیمانی از دست‌دادن فرصت می‌تواند انتخاب را تحریف 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لومز و ساگدن</w:t>
      </w:r>
      <w:r>
        <w:rPr>
          <w:rStyle w:val="FootnoteReference"/>
          <w:rFonts w:ascii="Times New Roman" w:hAnsi="Times New Roman" w:eastAsia="Times New Roman"/>
          <w:sz w:val="26"/>
          <w:sz w:val="26"/>
          <w:szCs w:val="26"/>
          <w:vertAlign w:val="superscript"/>
          <w:lang w:val="en-US" w:bidi="fa-IR"/>
        </w:rPr>
        <w:footnoteReference w:id="25"/>
      </w:r>
      <w:r>
        <w:rPr>
          <w:rFonts w:ascii="Times New Roman" w:hAnsi="Times New Roman" w:eastAsia="Times New Roman"/>
          <w:sz w:val="26"/>
          <w:sz w:val="26"/>
          <w:szCs w:val="26"/>
          <w:vertAlign w:val="superscript"/>
          <w:lang w:val="en-US" w:bidi="fa-IR"/>
        </w:rPr>
        <w:t>۲۴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به‌طور کلی، پژوهش‌ها نشان داده‌اند هیجان‌ها تصمیم را به شیوه‌ای نظام‌مند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لرنر و همکاران</w:t>
      </w:r>
      <w:r>
        <w:rPr>
          <w:rStyle w:val="FootnoteReference"/>
          <w:rFonts w:ascii="Times New Roman" w:hAnsi="Times New Roman" w:eastAsia="Times New Roman"/>
          <w:sz w:val="26"/>
          <w:sz w:val="26"/>
          <w:szCs w:val="26"/>
          <w:vertAlign w:val="superscript"/>
          <w:lang w:val="en-US" w:bidi="fa-IR"/>
        </w:rPr>
        <w:footnoteReference w:id="26"/>
      </w:r>
      <w:r>
        <w:rPr>
          <w:rFonts w:ascii="Times New Roman" w:hAnsi="Times New Roman" w:eastAsia="Times New Roman"/>
          <w:sz w:val="26"/>
          <w:sz w:val="26"/>
          <w:szCs w:val="26"/>
          <w:vertAlign w:val="superscript"/>
          <w:lang w:val="en-US" w:bidi="fa-IR"/>
        </w:rPr>
        <w:t>۲۵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این‌رو</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در شبکه‌های اجتماعی بر فومو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 و رفتار توده‌وار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رفتار توده‌وار</w:t>
      </w:r>
      <w:r>
        <w:rPr>
          <w:rStyle w:val="FootnoteReference"/>
          <w:rFonts w:ascii="Times New Roman" w:hAnsi="Times New Roman" w:eastAsia="Times New Roman"/>
          <w:sz w:val="26"/>
          <w:sz w:val="26"/>
          <w:szCs w:val="26"/>
          <w:vertAlign w:val="superscript"/>
          <w:lang w:val="en-US" w:bidi="fa-IR"/>
        </w:rPr>
        <w:footnoteReference w:id="27"/>
      </w:r>
      <w:r>
        <w:rPr>
          <w:rFonts w:ascii="Times New Roman" w:hAnsi="Times New Roman" w:eastAsia="Times New Roman"/>
          <w:sz w:val="26"/>
          <w:sz w:val="26"/>
          <w:szCs w:val="26"/>
          <w:vertAlign w:val="superscript"/>
          <w:lang w:val="en-US" w:bidi="fa-IR"/>
        </w:rPr>
        <w:t>۲۶</w:t>
      </w:r>
      <w:r>
        <w:rPr>
          <w:rFonts w:ascii="Times New Roman" w:hAnsi="Times New Roman" w:eastAsia="Times New Roman"/>
          <w:sz w:val="26"/>
          <w:sz w:val="26"/>
          <w:szCs w:val="26"/>
          <w:rtl w:val="true"/>
          <w:lang w:val="en-US" w:bidi="fa-IR"/>
        </w:rPr>
        <w:t xml:space="preserve"> به معنای همسو کردن تصمیم‌ها با رفتار جمع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الگوهای نظری نشان می‌دهند این رفتار می‌تواند ناشی از اطلاعات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آبشار اطلاعاتی</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اعتبار حرفه‌ای یا فشار اجتماعی باشد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ascii="Times New Roman" w:hAnsi="Times New Roman" w:eastAsia="Times New Roman"/>
          <w:sz w:val="26"/>
          <w:sz w:val="26"/>
          <w:szCs w:val="26"/>
          <w:rtl w:val="true"/>
          <w:lang w:val="en-US" w:bidi="fa-IR"/>
        </w:rPr>
        <w:t>؛ شارفشتاین و استاین</w:t>
      </w:r>
      <w:r>
        <w:rPr>
          <w:rStyle w:val="FootnoteReference"/>
          <w:rFonts w:ascii="Times New Roman" w:hAnsi="Times New Roman" w:eastAsia="Times New Roman"/>
          <w:sz w:val="26"/>
          <w:sz w:val="26"/>
          <w:szCs w:val="26"/>
          <w:vertAlign w:val="superscript"/>
          <w:lang w:val="en-US" w:bidi="fa-IR"/>
        </w:rPr>
        <w:footnoteReference w:id="28"/>
      </w:r>
      <w:r>
        <w:rPr>
          <w:rFonts w:ascii="Times New Roman" w:hAnsi="Times New Roman" w:eastAsia="Times New Roman"/>
          <w:sz w:val="26"/>
          <w:sz w:val="26"/>
          <w:szCs w:val="26"/>
          <w:vertAlign w:val="superscript"/>
          <w:lang w:val="en-US" w:bidi="fa-IR"/>
        </w:rPr>
        <w:t>۲۷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هیرشلایفر و تئو</w:t>
      </w:r>
      <w:r>
        <w:rPr>
          <w:rStyle w:val="FootnoteReference"/>
          <w:rFonts w:ascii="Times New Roman" w:hAnsi="Times New Roman" w:eastAsia="Times New Roman"/>
          <w:sz w:val="26"/>
          <w:sz w:val="26"/>
          <w:szCs w:val="26"/>
          <w:vertAlign w:val="superscript"/>
          <w:lang w:val="en-US" w:bidi="fa-IR"/>
        </w:rPr>
        <w:footnoteReference w:id="29"/>
      </w:r>
      <w:r>
        <w:rPr>
          <w:rFonts w:ascii="Times New Roman" w:hAnsi="Times New Roman" w:eastAsia="Times New Roman"/>
          <w:sz w:val="26"/>
          <w:sz w:val="26"/>
          <w:szCs w:val="26"/>
          <w:vertAlign w:val="superscript"/>
          <w:lang w:val="en-US" w:bidi="fa-IR"/>
        </w:rPr>
        <w:t>۲۸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بیکچندانی و شارما</w:t>
      </w:r>
      <w:r>
        <w:rPr>
          <w:rStyle w:val="FootnoteReference"/>
          <w:rFonts w:ascii="Times New Roman" w:hAnsi="Times New Roman" w:eastAsia="Times New Roman"/>
          <w:sz w:val="26"/>
          <w:sz w:val="26"/>
          <w:szCs w:val="26"/>
          <w:vertAlign w:val="superscript"/>
          <w:lang w:val="en-US" w:bidi="fa-IR"/>
        </w:rPr>
        <w:footnoteReference w:id="30"/>
      </w:r>
      <w:r>
        <w:rPr>
          <w:rFonts w:ascii="Times New Roman" w:hAnsi="Times New Roman" w:eastAsia="Times New Roman"/>
          <w:sz w:val="26"/>
          <w:sz w:val="26"/>
          <w:szCs w:val="26"/>
          <w:vertAlign w:val="superscript"/>
          <w:lang w:val="en-US" w:bidi="fa-IR"/>
        </w:rPr>
        <w:t>۲۹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مرور جامعی از شواهد ارائه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سطح بازار، چانگ و همکاران</w:t>
      </w:r>
      <w:r>
        <w:rPr>
          <w:rStyle w:val="FootnoteReference"/>
          <w:rFonts w:ascii="Times New Roman" w:hAnsi="Times New Roman" w:eastAsia="Times New Roman"/>
          <w:sz w:val="26"/>
          <w:sz w:val="26"/>
          <w:szCs w:val="26"/>
          <w:vertAlign w:val="superscript"/>
          <w:lang w:val="en-US" w:bidi="fa-IR"/>
        </w:rPr>
        <w:footnoteReference w:id="31"/>
      </w:r>
      <w:r>
        <w:rPr>
          <w:rFonts w:ascii="Times New Roman" w:hAnsi="Times New Roman" w:eastAsia="Times New Roman"/>
          <w:sz w:val="26"/>
          <w:sz w:val="26"/>
          <w:szCs w:val="26"/>
          <w:vertAlign w:val="superscript"/>
          <w:lang w:val="en-US" w:bidi="fa-IR"/>
        </w:rPr>
        <w:t>۳۰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روشی برای شناسایی توده‌واری از پراکندگی بازده‌ها ارائه کردند و چیانگ و ژنگ</w:t>
      </w:r>
      <w:r>
        <w:rPr>
          <w:rStyle w:val="FootnoteReference"/>
          <w:rFonts w:ascii="Times New Roman" w:hAnsi="Times New Roman" w:eastAsia="Times New Roman"/>
          <w:sz w:val="26"/>
          <w:sz w:val="26"/>
          <w:szCs w:val="26"/>
          <w:vertAlign w:val="superscript"/>
          <w:lang w:val="en-US" w:bidi="fa-IR"/>
        </w:rPr>
        <w:footnoteReference w:id="32"/>
      </w:r>
      <w:r>
        <w:rPr>
          <w:rFonts w:ascii="Times New Roman" w:hAnsi="Times New Roman" w:eastAsia="Times New Roman"/>
          <w:sz w:val="26"/>
          <w:sz w:val="26"/>
          <w:szCs w:val="26"/>
          <w:vertAlign w:val="superscript"/>
          <w:lang w:val="en-US" w:bidi="fa-IR"/>
        </w:rPr>
        <w:t>۳۱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شواهدی از توده‌واری را در بازارهای مختلف گزارش دادند؛ در ایران نیز پژوهش‌های بسیاری از همین منطق برای بورس تهران بهره برده‌اند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وقتی سرمایه‌گذار هراس از جاماندن را تجربه می‌کند، بهای روانی پیروی نکردن از جمع افزایش می‌یابد و او برای کاهش اضطراب، ورود هم‌جهت با دیگران را ترجیح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بر رفتار توده‌وار اثر مثبت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سوی دیگر، مواجهه با محتوا می‌تواند مستقل از هیجان، با ارائهٔ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سیگنال اجتماعی</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مانند اجماع ظاهری کانال‌ها یا نمایش صف‌های خرید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رفتار هم‌جهت منجر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کوکسون و نیسنر، </w:t>
      </w:r>
      <w:r>
        <w:rPr>
          <w:rFonts w:ascii="Times New Roman" w:hAnsi="Times New Roman" w:eastAsia="Times New Roman"/>
          <w:sz w:val="26"/>
          <w:sz w:val="26"/>
          <w:szCs w:val="26"/>
          <w:lang w:val="en-US" w:bidi="fa-IR"/>
        </w:rPr>
        <w:t>۲۰۲۰</w:t>
      </w:r>
      <w:r>
        <w:rPr>
          <w:rFonts w:ascii="Times New Roman" w:hAnsi="Times New Roman" w:eastAsia="Times New Roman"/>
          <w:sz w:val="26"/>
          <w:sz w:val="26"/>
          <w:szCs w:val="26"/>
          <w:rtl w:val="true"/>
          <w:lang w:val="en-US" w:bidi="fa-IR"/>
        </w:rPr>
        <w:t xml:space="preserve">؛ کوکسون و همکاران،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در شبکه‌های اجتماعی بر رفتار توده‌وار اثر مستقیم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رفتار توده‌وار و کیفیت تصمیم؛ میانجی‌گری متوالی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توده‌واری می‌تواند به بروز حباب و بازگشت‌های شدید قیمت بینجامد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هیرشلایفر،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سطح فردی، پیروی از جمع به‌جای اتکا بر تحلیل مستند، فرایند تصمیم را ضعیف می‌کند، هزینهٔ معامله را بالا می‌برد و زمان‌بندی ورود و خروج را نامناسب می‌سازد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هیرشلایفر و تئو، </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الف</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رفتار توده‌وار بر کیفیت تصمیم سرمایه‌گذاری اثر منفی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با ترکیب فرضیه‌های بالا، مسیر میانجی‌گری</w:t>
      </w:r>
      <w:r>
        <w:rPr>
          <w:rStyle w:val="FootnoteReference"/>
          <w:rFonts w:ascii="Times New Roman" w:hAnsi="Times New Roman" w:eastAsia="Times New Roman"/>
          <w:sz w:val="26"/>
          <w:sz w:val="26"/>
          <w:szCs w:val="26"/>
          <w:vertAlign w:val="superscript"/>
          <w:lang w:val="en-US" w:bidi="fa-IR"/>
        </w:rPr>
        <w:footnoteReference w:id="33"/>
      </w:r>
      <w:r>
        <w:rPr>
          <w:rFonts w:ascii="Times New Roman" w:hAnsi="Times New Roman" w:eastAsia="Times New Roman"/>
          <w:sz w:val="26"/>
          <w:sz w:val="26"/>
          <w:szCs w:val="26"/>
          <w:vertAlign w:val="superscript"/>
          <w:lang w:val="en-US" w:bidi="fa-IR"/>
        </w:rPr>
        <w:t>۳۲</w:t>
      </w:r>
      <w:r>
        <w:rPr>
          <w:rFonts w:ascii="Times New Roman" w:hAnsi="Times New Roman" w:eastAsia="Times New Roman"/>
          <w:sz w:val="26"/>
          <w:sz w:val="26"/>
          <w:szCs w:val="26"/>
          <w:rtl w:val="true"/>
          <w:lang w:val="en-US" w:bidi="fa-IR"/>
        </w:rPr>
        <w:t xml:space="preserve"> متوالی پیش‌بینی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 ابتدا فومو را برمی‌انگیزد، فومو رفتار توده‌وار را تقویت می‌کند و سرانجام کیفیت تصمیم کاهش می‌یابد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روش متعارف آزمون چنین زنجیره‌ای، خودگردان‌سازی</w:t>
      </w:r>
      <w:r>
        <w:rPr>
          <w:rStyle w:val="FootnoteReference"/>
          <w:rFonts w:ascii="Times New Roman" w:hAnsi="Times New Roman" w:eastAsia="Times New Roman"/>
          <w:sz w:val="26"/>
          <w:sz w:val="26"/>
          <w:szCs w:val="26"/>
          <w:vertAlign w:val="superscript"/>
          <w:lang w:val="en-US" w:bidi="fa-IR"/>
        </w:rPr>
        <w:footnoteReference w:id="34"/>
      </w:r>
      <w:r>
        <w:rPr>
          <w:rFonts w:ascii="Times New Roman" w:hAnsi="Times New Roman" w:eastAsia="Times New Roman"/>
          <w:sz w:val="26"/>
          <w:sz w:val="26"/>
          <w:szCs w:val="26"/>
          <w:vertAlign w:val="superscript"/>
          <w:lang w:val="en-US" w:bidi="fa-IR"/>
        </w:rPr>
        <w:t>۳۳</w:t>
      </w:r>
      <w:r>
        <w:rPr>
          <w:rFonts w:ascii="Times New Roman" w:hAnsi="Times New Roman" w:eastAsia="Times New Roman"/>
          <w:sz w:val="26"/>
          <w:sz w:val="26"/>
          <w:szCs w:val="26"/>
          <w:rtl w:val="true"/>
          <w:lang w:val="en-US" w:bidi="fa-IR"/>
        </w:rPr>
        <w:t xml:space="preserve"> اثرهای حاصل‌ضرب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Fonts w:ascii="Times New Roman" w:hAnsi="Times New Roman" w:eastAsia="Times New Roman"/>
          <w:sz w:val="26"/>
          <w:sz w:val="26"/>
          <w:szCs w:val="26"/>
          <w:vertAlign w:val="superscript"/>
          <w:lang w:val="en-US" w:bidi="fa-IR"/>
        </w:rPr>
        <w:footnoteReference w:id="35"/>
      </w:r>
      <w:r>
        <w:rPr>
          <w:rFonts w:ascii="Times New Roman" w:hAnsi="Times New Roman" w:eastAsia="Times New Roman"/>
          <w:sz w:val="26"/>
          <w:sz w:val="26"/>
          <w:szCs w:val="26"/>
          <w:vertAlign w:val="superscript"/>
          <w:lang w:val="en-US" w:bidi="fa-IR"/>
        </w:rPr>
        <w:t>۳۴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تیلور و همکاران</w:t>
      </w:r>
      <w:r>
        <w:rPr>
          <w:rStyle w:val="FootnoteReference"/>
          <w:rFonts w:ascii="Times New Roman" w:hAnsi="Times New Roman" w:eastAsia="Times New Roman"/>
          <w:sz w:val="26"/>
          <w:sz w:val="26"/>
          <w:szCs w:val="26"/>
          <w:vertAlign w:val="superscript"/>
          <w:lang w:val="en-US" w:bidi="fa-IR"/>
        </w:rPr>
        <w:footnoteReference w:id="36"/>
      </w:r>
      <w:r>
        <w:rPr>
          <w:rFonts w:ascii="Times New Roman" w:hAnsi="Times New Roman" w:eastAsia="Times New Roman"/>
          <w:sz w:val="26"/>
          <w:sz w:val="26"/>
          <w:szCs w:val="26"/>
          <w:vertAlign w:val="superscript"/>
          <w:lang w:val="en-US" w:bidi="fa-IR"/>
        </w:rPr>
        <w:t>۳۵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و رفتار توده‌وار اثر مواجهه با محتوا بر کیفیت تصمیم را به‌صورت متوالی میانجی‌گری می‌کنند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غیرمستقیم منفی</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۶</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اطلاعات حسابداری و نقش تعدیل‌گر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بال و براون</w:t>
      </w:r>
      <w:r>
        <w:rPr>
          <w:rStyle w:val="FootnoteReference"/>
          <w:rFonts w:ascii="Times New Roman" w:hAnsi="Times New Roman" w:eastAsia="Times New Roman"/>
          <w:sz w:val="26"/>
          <w:sz w:val="26"/>
          <w:szCs w:val="26"/>
          <w:vertAlign w:val="superscript"/>
          <w:lang w:val="en-US" w:bidi="fa-IR"/>
        </w:rPr>
        <w:footnoteReference w:id="37"/>
      </w:r>
      <w:r>
        <w:rPr>
          <w:rFonts w:ascii="Times New Roman" w:hAnsi="Times New Roman" w:eastAsia="Times New Roman"/>
          <w:sz w:val="26"/>
          <w:sz w:val="26"/>
          <w:szCs w:val="26"/>
          <w:vertAlign w:val="superscript"/>
          <w:lang w:val="en-US" w:bidi="fa-IR"/>
        </w:rPr>
        <w:t>۳۶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ascii="Times New Roman" w:hAnsi="Times New Roman" w:eastAsia="Times New Roman"/>
          <w:sz w:val="26"/>
          <w:sz w:val="26"/>
          <w:szCs w:val="26"/>
          <w:rtl w:val="true"/>
          <w:lang w:val="en-US" w:bidi="fa-IR"/>
        </w:rPr>
        <w:t>؛ بیور</w:t>
      </w:r>
      <w:r>
        <w:rPr>
          <w:rStyle w:val="FootnoteReference"/>
          <w:rFonts w:ascii="Times New Roman" w:hAnsi="Times New Roman" w:eastAsia="Times New Roman"/>
          <w:sz w:val="26"/>
          <w:sz w:val="26"/>
          <w:szCs w:val="26"/>
          <w:vertAlign w:val="superscript"/>
          <w:lang w:val="en-US" w:bidi="fa-IR"/>
        </w:rPr>
        <w:footnoteReference w:id="38"/>
      </w:r>
      <w:r>
        <w:rPr>
          <w:rFonts w:ascii="Times New Roman" w:hAnsi="Times New Roman" w:eastAsia="Times New Roman"/>
          <w:sz w:val="26"/>
          <w:sz w:val="26"/>
          <w:szCs w:val="26"/>
          <w:vertAlign w:val="superscript"/>
          <w:lang w:val="en-US" w:bidi="fa-IR"/>
        </w:rPr>
        <w:t>۳۷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لارنس</w:t>
      </w:r>
      <w:r>
        <w:rPr>
          <w:rStyle w:val="FootnoteReference"/>
          <w:rFonts w:ascii="Times New Roman" w:hAnsi="Times New Roman" w:eastAsia="Times New Roman"/>
          <w:sz w:val="26"/>
          <w:sz w:val="26"/>
          <w:szCs w:val="26"/>
          <w:vertAlign w:val="superscript"/>
          <w:lang w:val="en-US" w:bidi="fa-IR"/>
        </w:rPr>
        <w:footnoteReference w:id="39"/>
      </w:r>
      <w:r>
        <w:rPr>
          <w:rFonts w:ascii="Times New Roman" w:hAnsi="Times New Roman" w:eastAsia="Times New Roman"/>
          <w:sz w:val="26"/>
          <w:sz w:val="26"/>
          <w:szCs w:val="26"/>
          <w:vertAlign w:val="superscript"/>
          <w:lang w:val="en-US" w:bidi="fa-IR"/>
        </w:rPr>
        <w:t>۳۸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 سرمایه‌گذاران حقیقی با افشای شفاف‌تر و ساده‌تر عملکرد بهتری دارند و هیرشلایفر و تئو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استدلال کردند توجه محدود سرمایه‌گذاران، شیوهٔ ارائهٔ اطلاعات را مهم می‌سازد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میلر و اسکینر</w:t>
      </w:r>
      <w:r>
        <w:rPr>
          <w:rStyle w:val="FootnoteReference"/>
          <w:rFonts w:ascii="Times New Roman" w:hAnsi="Times New Roman" w:eastAsia="Times New Roman"/>
          <w:sz w:val="26"/>
          <w:sz w:val="26"/>
          <w:szCs w:val="26"/>
          <w:vertAlign w:val="superscript"/>
          <w:lang w:val="en-US" w:bidi="fa-IR"/>
        </w:rPr>
        <w:footnoteReference w:id="40"/>
      </w:r>
      <w:r>
        <w:rPr>
          <w:rFonts w:ascii="Times New Roman" w:hAnsi="Times New Roman" w:eastAsia="Times New Roman"/>
          <w:sz w:val="26"/>
          <w:sz w:val="26"/>
          <w:szCs w:val="26"/>
          <w:vertAlign w:val="superscript"/>
          <w:lang w:val="en-US" w:bidi="fa-IR"/>
        </w:rPr>
        <w:t>۳۹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چشم‌انداز تحول افشا را در عصر رسانه‌های دیجیتال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بلنکسپور و همکاران</w:t>
      </w:r>
      <w:r>
        <w:rPr>
          <w:rStyle w:val="FootnoteReference"/>
          <w:rFonts w:ascii="Times New Roman" w:hAnsi="Times New Roman" w:eastAsia="Times New Roman"/>
          <w:sz w:val="26"/>
          <w:sz w:val="26"/>
          <w:szCs w:val="26"/>
          <w:vertAlign w:val="superscript"/>
          <w:lang w:val="en-US" w:bidi="fa-IR"/>
        </w:rPr>
        <w:footnoteReference w:id="41"/>
      </w:r>
      <w:r>
        <w:rPr>
          <w:rFonts w:ascii="Times New Roman" w:hAnsi="Times New Roman" w:eastAsia="Times New Roman"/>
          <w:sz w:val="26"/>
          <w:sz w:val="26"/>
          <w:szCs w:val="26"/>
          <w:vertAlign w:val="superscript"/>
          <w:lang w:val="en-US" w:bidi="fa-IR"/>
        </w:rPr>
        <w:t>۴۰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بارتوف و همکاران</w:t>
      </w:r>
      <w:r>
        <w:rPr>
          <w:rStyle w:val="FootnoteReference"/>
          <w:rFonts w:ascii="Times New Roman" w:hAnsi="Times New Roman" w:eastAsia="Times New Roman"/>
          <w:sz w:val="26"/>
          <w:sz w:val="26"/>
          <w:szCs w:val="26"/>
          <w:vertAlign w:val="superscript"/>
          <w:lang w:val="en-US" w:bidi="fa-IR"/>
        </w:rPr>
        <w:footnoteReference w:id="42"/>
      </w:r>
      <w:r>
        <w:rPr>
          <w:rFonts w:ascii="Times New Roman" w:hAnsi="Times New Roman" w:eastAsia="Times New Roman"/>
          <w:sz w:val="26"/>
          <w:sz w:val="26"/>
          <w:szCs w:val="26"/>
          <w:vertAlign w:val="superscript"/>
          <w:lang w:val="en-US" w:bidi="fa-IR"/>
        </w:rPr>
        <w:t>۴۱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الیوت و همکاران</w:t>
      </w:r>
      <w:r>
        <w:rPr>
          <w:rStyle w:val="FootnoteReference"/>
          <w:rFonts w:ascii="Times New Roman" w:hAnsi="Times New Roman" w:eastAsia="Times New Roman"/>
          <w:sz w:val="26"/>
          <w:sz w:val="26"/>
          <w:szCs w:val="26"/>
          <w:vertAlign w:val="superscript"/>
          <w:lang w:val="en-US" w:bidi="fa-IR"/>
        </w:rPr>
        <w:footnoteReference w:id="43"/>
      </w:r>
      <w:r>
        <w:rPr>
          <w:rFonts w:ascii="Times New Roman" w:hAnsi="Times New Roman" w:eastAsia="Times New Roman"/>
          <w:sz w:val="26"/>
          <w:sz w:val="26"/>
          <w:szCs w:val="26"/>
          <w:vertAlign w:val="superscript"/>
          <w:lang w:val="en-US" w:bidi="fa-IR"/>
        </w:rPr>
        <w:t>۴۲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می‌دهند شبکه‌های اجتماعی و اطلاعات حسابداری در بازار به‌هم‌پیوسته‌اند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اولی سرعت و دسترسی را افزایش می‌دهد و دومی محتوای قابل‌راستی‌آزمایی فراهم می‌کند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ایران نیز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پیوند مالی رفتاری و متغیرهای بینادی حسابداری را در بورس تهران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یافته‌ها هرچند مستقیماً دربارهٔ فومو نیستند، اما نشان می‌دهند اطلاعات حسابداری می‌تواند وزن واکنش‌های احساسی را در تصمیم کاهش 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نگاه آبشارهای اطلاعاتی، هر چه سیگنال خصوصی سرمایه‌گذار دقیق‌تر باشد، آبشار شکننده‌تر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اطلاعات حسابداری می‌تواند چنین سیگنال خصوصی دقیقی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بیان دیگر، اطلاعات حسابداری شیب فومو ← توده‌واری را تضعیف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تعدیل‌گری</w:t>
      </w:r>
      <w:r>
        <w:rPr>
          <w:rStyle w:val="FootnoteReference"/>
          <w:rFonts w:ascii="Times New Roman" w:hAnsi="Times New Roman" w:eastAsia="Times New Roman"/>
          <w:sz w:val="26"/>
          <w:sz w:val="26"/>
          <w:szCs w:val="26"/>
          <w:vertAlign w:val="superscript"/>
          <w:lang w:val="en-US" w:bidi="fa-IR"/>
        </w:rPr>
        <w:footnoteReference w:id="44"/>
      </w:r>
      <w:r>
        <w:rPr>
          <w:rFonts w:ascii="Times New Roman" w:hAnsi="Times New Roman" w:eastAsia="Times New Roman"/>
          <w:sz w:val="26"/>
          <w:sz w:val="26"/>
          <w:szCs w:val="26"/>
          <w:vertAlign w:val="superscript"/>
          <w:lang w:val="en-US" w:bidi="fa-IR"/>
        </w:rPr>
        <w:t>۴۳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نتیجه اثر غیرمستقیم متوالی را نیز مشروط می‌سازد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میانجی‌گری تعدیل‌شده</w:t>
      </w:r>
      <w:r>
        <w:rPr>
          <w:rStyle w:val="FootnoteReference"/>
          <w:rFonts w:ascii="Times New Roman" w:hAnsi="Times New Roman" w:eastAsia="Times New Roman"/>
          <w:sz w:val="26"/>
          <w:sz w:val="26"/>
          <w:szCs w:val="26"/>
          <w:vertAlign w:val="superscript"/>
          <w:lang w:val="en-US" w:bidi="fa-IR"/>
        </w:rPr>
        <w:footnoteReference w:id="45"/>
      </w:r>
      <w:r>
        <w:rPr>
          <w:rFonts w:ascii="Times New Roman" w:hAnsi="Times New Roman" w:eastAsia="Times New Roman"/>
          <w:sz w:val="26"/>
          <w:sz w:val="26"/>
          <w:szCs w:val="26"/>
          <w:vertAlign w:val="superscript"/>
          <w:lang w:val="en-US" w:bidi="fa-IR"/>
        </w:rPr>
        <w:t>۴۴</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همکاران</w:t>
      </w:r>
      <w:r>
        <w:rPr>
          <w:rStyle w:val="FootnoteReference"/>
          <w:rFonts w:ascii="Times New Roman" w:hAnsi="Times New Roman" w:eastAsia="Times New Roman"/>
          <w:sz w:val="26"/>
          <w:sz w:val="26"/>
          <w:szCs w:val="26"/>
          <w:vertAlign w:val="superscript"/>
          <w:lang w:val="en-US" w:bidi="fa-IR"/>
        </w:rPr>
        <w:footnoteReference w:id="46"/>
      </w:r>
      <w:r>
        <w:rPr>
          <w:rFonts w:ascii="Times New Roman" w:hAnsi="Times New Roman" w:eastAsia="Times New Roman"/>
          <w:sz w:val="26"/>
          <w:sz w:val="26"/>
          <w:szCs w:val="26"/>
          <w:vertAlign w:val="superscript"/>
          <w:lang w:val="en-US" w:bidi="fa-IR"/>
        </w:rPr>
        <w:t>۴۵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۶</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اثر مثبت فومو بر رفتار توده‌وار را تضعیف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تعامل منفی</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۷</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غیرمستقیم متوالی مواجهه بر کیفیت تصمیم در سطوح بالاتر استفادهٔ سرمایه‌گذار از اطلاعات حسابداری ضعیف‌تر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شاخص میانجی‌گری تعدیل‌شدهٔ مثبت</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۸</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از اطلاعات حسابداری بر کیفیت تصمیم اثر مثبت 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مدل مفهومی پژوهش را با نمایش همهٔ سازه‌های پنهان و گویه‌های سنجنده‌ی آن‌ها نشان می‌دهد و جدول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فرضیه‌ها را خلاصه می‌کند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579745" cy="386651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5579745" cy="386651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با سازه‌های پنهان و گویه‌های سنجنده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خلاصهٔ فرضیه‌های پژوهش</w:t>
      </w:r>
    </w:p>
    <w:tbl>
      <w:tblPr>
        <w:bidiVisual w:val="true"/>
        <w:tblW w:w="9000" w:type="dxa"/>
        <w:jc w:val="center"/>
        <w:tblInd w:w="0" w:type="dxa"/>
        <w:tblLayout w:type="fixed"/>
        <w:tblCellMar>
          <w:top w:w="0" w:type="dxa"/>
          <w:left w:w="60" w:type="dxa"/>
          <w:bottom w:w="0" w:type="dxa"/>
          <w:right w:w="60" w:type="dxa"/>
        </w:tblCellMar>
      </w:tblPr>
      <w:tblGrid>
        <w:gridCol w:w="999"/>
        <w:gridCol w:w="5600"/>
        <w:gridCol w:w="2401"/>
      </w:tblGrid>
      <w:tr>
        <w:trPr>
          <w:tblHeader w:val="true"/>
        </w:trPr>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فرضیه</w:t>
            </w:r>
          </w:p>
        </w:tc>
        <w:tc>
          <w:tcPr>
            <w:tcW w:w="5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24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جهت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با محتوا ← فومو</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۲</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رفتار توده‌وار</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رفتار توده‌وار ← کیفیت تصمیم</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 ← رفتار توده‌وار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مستقیم</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 فومو ← رفتار توده‌وار ← کیفیت تصمیم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میانجی متوالی</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غیرمستقیم 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تعامل 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 رفتار توده‌وار</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منفی</w:t>
            </w:r>
          </w:p>
        </w:tc>
      </w:tr>
      <w:tr>
        <w:trPr>
          <w:cantSplit w:val="true"/>
        </w:trPr>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w:t>
            </w:r>
          </w:p>
        </w:tc>
        <w:tc>
          <w:tcPr>
            <w:tcW w:w="5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میانجی‌گری تعدیل‌شده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شاخص</w:t>
            </w:r>
            <w:r>
              <w:rPr>
                <w:rFonts w:eastAsia="Times New Roman" w:cs="B Nazanin"/>
                <w:sz w:val="24"/>
                <w:szCs w:val="24"/>
                <w:rtl w:val="true"/>
                <w:lang w:val="en-US" w:bidi="fa-IR"/>
              </w:rPr>
              <w:t>)</w:t>
            </w:r>
          </w:p>
        </w:tc>
        <w:tc>
          <w:tcPr>
            <w:tcW w:w="24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r>
        <w:trPr>
          <w:cantSplit w:val="true"/>
        </w:trPr>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۸</w:t>
            </w:r>
          </w:p>
        </w:tc>
        <w:tc>
          <w:tcPr>
            <w:tcW w:w="5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کیفیت تصمیم</w:t>
            </w:r>
          </w:p>
        </w:tc>
        <w:tc>
          <w:tcPr>
            <w:tcW w:w="24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مثبت</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روش‌شناسی</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طرح پژوهش، جامعه و کفایت نمونه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این پژوهش از نظر هدف کاربردی و از نظر شیوهٔ گردآوری داده، پیمایشی ـ مقطعی است و با مدل‌سازی معادلات ساختاری</w:t>
      </w:r>
      <w:r>
        <w:rPr>
          <w:rStyle w:val="FootnoteReference"/>
          <w:rFonts w:ascii="Times New Roman" w:hAnsi="Times New Roman" w:eastAsia="Times New Roman"/>
          <w:sz w:val="26"/>
          <w:sz w:val="26"/>
          <w:szCs w:val="26"/>
          <w:vertAlign w:val="superscript"/>
          <w:lang w:val="en-US" w:bidi="fa-IR"/>
        </w:rPr>
        <w:footnoteReference w:id="47"/>
      </w:r>
      <w:r>
        <w:rPr>
          <w:rFonts w:ascii="Times New Roman" w:hAnsi="Times New Roman" w:eastAsia="Times New Roman"/>
          <w:sz w:val="26"/>
          <w:sz w:val="26"/>
          <w:szCs w:val="26"/>
          <w:vertAlign w:val="superscript"/>
          <w:lang w:val="en-US" w:bidi="fa-IR"/>
        </w:rPr>
        <w:t>۴۶</w:t>
      </w:r>
      <w:r>
        <w:rPr>
          <w:rFonts w:ascii="Times New Roman" w:hAnsi="Times New Roman" w:eastAsia="Times New Roman"/>
          <w:sz w:val="26"/>
          <w:sz w:val="26"/>
          <w:szCs w:val="26"/>
          <w:rtl w:val="true"/>
          <w:lang w:val="en-US" w:bidi="fa-IR"/>
        </w:rPr>
        <w:t xml:space="preserve"> مبتنی بر کوواریانس تحلیل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جامعهٔ هدف، سرمایه‌گذاران حقیقی فعال در بورس و فرابورس تهران با حداقل یک سال سابقهٔ معاملهٔ مستقل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نمونه </w:t>
      </w:r>
      <w:r>
        <w:rPr>
          <w:rFonts w:ascii="Times New Roman" w:hAnsi="Times New Roman" w:eastAsia="Times New Roman"/>
          <w:sz w:val="26"/>
          <w:sz w:val="26"/>
          <w:szCs w:val="26"/>
          <w:lang w:val="en-US" w:bidi="fa-IR"/>
        </w:rPr>
        <w:t>۳۸۶</w:t>
      </w:r>
      <w:r>
        <w:rPr>
          <w:rFonts w:ascii="Times New Roman" w:hAnsi="Times New Roman" w:eastAsia="Times New Roman"/>
          <w:sz w:val="26"/>
          <w:sz w:val="26"/>
          <w:szCs w:val="26"/>
          <w:rtl w:val="true"/>
          <w:lang w:val="en-US" w:bidi="fa-IR"/>
        </w:rPr>
        <w:t xml:space="preserve"> نفر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شمار پارامترهای آزاد مدل اندازه‌گیری </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xml:space="preserve"> و مدل ساختاری </w:t>
      </w:r>
      <w:r>
        <w:rPr>
          <w:rFonts w:ascii="Times New Roman" w:hAnsi="Times New Roman" w:eastAsia="Times New Roman"/>
          <w:sz w:val="26"/>
          <w:sz w:val="26"/>
          <w:szCs w:val="26"/>
          <w:lang w:val="en-US" w:bidi="fa-IR"/>
        </w:rPr>
        <w:t>۸۰</w:t>
      </w:r>
      <w:r>
        <w:rPr>
          <w:rFonts w:ascii="Times New Roman" w:hAnsi="Times New Roman" w:eastAsia="Times New Roman"/>
          <w:sz w:val="26"/>
          <w:sz w:val="26"/>
          <w:szCs w:val="26"/>
          <w:rtl w:val="true"/>
          <w:lang w:val="en-US" w:bidi="fa-IR"/>
        </w:rPr>
        <w:t xml:space="preserve"> است؛ بنابراین نسبت مشاهده به پارامتر به‌ترتیب </w:t>
      </w:r>
      <w:r>
        <w:rPr>
          <w:rFonts w:ascii="Times New Roman" w:hAnsi="Times New Roman" w:eastAsia="Times New Roman"/>
          <w:sz w:val="26"/>
          <w:sz w:val="26"/>
          <w:szCs w:val="26"/>
          <w:lang w:val="en-US" w:bidi="fa-IR"/>
        </w:rPr>
        <w:t>۶٫۲۳</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۴٫۸۳</w:t>
      </w:r>
      <w:r>
        <w:rPr>
          <w:rFonts w:ascii="Times New Roman" w:hAnsi="Times New Roman" w:eastAsia="Times New Roman"/>
          <w:sz w:val="26"/>
          <w:sz w:val="26"/>
          <w:szCs w:val="26"/>
          <w:rtl w:val="true"/>
          <w:lang w:val="en-US" w:bidi="fa-IR"/>
        </w:rPr>
        <w:t xml:space="preserve"> می‌شود که از قاعدهٔ سرانگشتی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کمتر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قواعد سرانگشتی مبنای مطمئنی نیستند و اندازهٔ نمونهٔ لازم به ساختار مدل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تعداد گویه‌ها در هر سازه و اندازهٔ بارها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بستگی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ولف و همکاران</w:t>
      </w:r>
      <w:r>
        <w:rPr>
          <w:rStyle w:val="FootnoteReference"/>
          <w:rFonts w:ascii="Times New Roman" w:hAnsi="Times New Roman" w:eastAsia="Times New Roman"/>
          <w:sz w:val="26"/>
          <w:sz w:val="26"/>
          <w:szCs w:val="26"/>
          <w:vertAlign w:val="superscript"/>
          <w:lang w:val="en-US" w:bidi="fa-IR"/>
        </w:rPr>
        <w:footnoteReference w:id="48"/>
      </w:r>
      <w:r>
        <w:rPr>
          <w:rFonts w:ascii="Times New Roman" w:hAnsi="Times New Roman" w:eastAsia="Times New Roman"/>
          <w:sz w:val="26"/>
          <w:sz w:val="26"/>
          <w:szCs w:val="26"/>
          <w:vertAlign w:val="superscript"/>
          <w:lang w:val="en-US" w:bidi="fa-IR"/>
        </w:rPr>
        <w:t>۴۷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ascii="Times New Roman" w:hAnsi="Times New Roman" w:eastAsia="Times New Roman"/>
          <w:sz w:val="26"/>
          <w:sz w:val="26"/>
          <w:szCs w:val="26"/>
          <w:rtl w:val="true"/>
          <w:lang w:val="en-US" w:bidi="fa-IR"/>
        </w:rPr>
        <w:t>؛ کلاین</w:t>
      </w:r>
      <w:r>
        <w:rPr>
          <w:rStyle w:val="FootnoteReference"/>
          <w:rFonts w:ascii="Times New Roman" w:hAnsi="Times New Roman" w:eastAsia="Times New Roman"/>
          <w:sz w:val="26"/>
          <w:sz w:val="26"/>
          <w:szCs w:val="26"/>
          <w:vertAlign w:val="superscript"/>
          <w:lang w:val="en-US" w:bidi="fa-IR"/>
        </w:rPr>
        <w:footnoteReference w:id="49"/>
      </w:r>
      <w:r>
        <w:rPr>
          <w:rFonts w:ascii="Times New Roman" w:hAnsi="Times New Roman" w:eastAsia="Times New Roman"/>
          <w:sz w:val="26"/>
          <w:sz w:val="26"/>
          <w:szCs w:val="26"/>
          <w:vertAlign w:val="superscript"/>
          <w:lang w:val="en-US" w:bidi="fa-IR"/>
        </w:rPr>
        <w:t>۴۸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 پایهٔ تحلیل توان مبتنی بر ریشهٔ میانگین مربعات خطای تقریب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مک‌کالوم و همکاران</w:t>
      </w:r>
      <w:r>
        <w:rPr>
          <w:rStyle w:val="FootnoteReference"/>
          <w:rFonts w:ascii="Times New Roman" w:hAnsi="Times New Roman" w:eastAsia="Times New Roman"/>
          <w:sz w:val="26"/>
          <w:sz w:val="26"/>
          <w:szCs w:val="26"/>
          <w:vertAlign w:val="superscript"/>
          <w:lang w:val="en-US" w:bidi="fa-IR"/>
        </w:rPr>
        <w:footnoteReference w:id="50"/>
      </w:r>
      <w:r>
        <w:rPr>
          <w:rFonts w:ascii="Times New Roman" w:hAnsi="Times New Roman" w:eastAsia="Times New Roman"/>
          <w:sz w:val="26"/>
          <w:sz w:val="26"/>
          <w:szCs w:val="26"/>
          <w:vertAlign w:val="superscript"/>
          <w:lang w:val="en-US" w:bidi="fa-IR"/>
        </w:rPr>
        <w:t>۴۹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برای آزمون برازش نزدیک </w:t>
      </w:r>
      <w:r>
        <w:rPr>
          <w:rFonts w:eastAsia="Times New Roman" w:cs="B Nazanin"/>
          <w:sz w:val="26"/>
          <w:szCs w:val="26"/>
          <w:rtl w:val="true"/>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۰۵</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برابر برازش ضعیف </w:t>
      </w:r>
      <w:r>
        <w:rPr>
          <w:rFonts w:eastAsia="Times New Roman" w:cs="B Nazanin"/>
          <w:sz w:val="26"/>
          <w:szCs w:val="26"/>
          <w:rtl w:val="true"/>
          <w:lang w:val="en-US" w:bidi="fa-IR"/>
        </w:rPr>
        <w:t>(⁦</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توان آزمون برای مدل اندازه‌گیری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و برای مدل ساختاری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است که از </w:t>
      </w:r>
      <w:r>
        <w:rPr>
          <w:rFonts w:ascii="Times New Roman" w:hAnsi="Times New Roman" w:eastAsia="Times New Roman"/>
          <w:sz w:val="26"/>
          <w:sz w:val="26"/>
          <w:szCs w:val="26"/>
          <w:lang w:val="en-US" w:bidi="fa-IR"/>
        </w:rPr>
        <w:t>۰٫۸۰</w:t>
      </w:r>
      <w:r>
        <w:rPr>
          <w:rFonts w:ascii="Times New Roman" w:hAnsi="Times New Roman" w:eastAsia="Times New Roman"/>
          <w:sz w:val="26"/>
          <w:sz w:val="26"/>
          <w:szCs w:val="26"/>
          <w:rtl w:val="true"/>
          <w:lang w:val="en-US" w:bidi="fa-IR"/>
        </w:rPr>
        <w:t xml:space="preserve"> بسیار بالاتر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منشأ داده و محدودیت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داده‌های این پژوهش با فرایند شبیه‌سازی واقع‌نما تولید 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ابتدا متغیرهای پنهان از توزیع نرمال چندمتغیره با ضرایب ساختاری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تولید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سپس هر گویه با بار عاملی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۰٫۸۰</w:t>
      </w:r>
      <w:r>
        <w:rPr>
          <w:rFonts w:ascii="Times New Roman" w:hAnsi="Times New Roman" w:eastAsia="Times New Roman"/>
          <w:sz w:val="26"/>
          <w:sz w:val="26"/>
          <w:szCs w:val="26"/>
          <w:rtl w:val="true"/>
          <w:lang w:val="en-US" w:bidi="fa-IR"/>
        </w:rPr>
        <w:t xml:space="preserve">، چند بارگذاری متقاطع کوچک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۰٫۱۰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۰٫۲۰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همبستگی خطا میان گویه‌های هم‌محتوا، یک عامل روش مشترک ضعیف و آستانه‌های نامتقارن لیکرت به مقیاس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تبدیل شد تا ویژگی‌های ناکامل و غیرنرمال داده‌های پیمایشی بازتولید 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یافته‌ها بازتاب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توان روش در بازیابی ساختار مفروض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هستند و نه شواهد دربارهٔ بازار واقعی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جایگزینی داده‌های واقعی بدون تغییر در کد ممکن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ساختاری استاندارد مفروض در شبیه‌سازی</w:t>
      </w:r>
    </w:p>
    <w:tbl>
      <w:tblPr>
        <w:bidiVisual w:val="true"/>
        <w:tblW w:w="8900" w:type="dxa"/>
        <w:jc w:val="center"/>
        <w:tblInd w:w="0" w:type="dxa"/>
        <w:tblLayout w:type="fixed"/>
        <w:tblCellMar>
          <w:top w:w="0" w:type="dxa"/>
          <w:left w:w="60" w:type="dxa"/>
          <w:bottom w:w="0" w:type="dxa"/>
          <w:right w:w="60" w:type="dxa"/>
        </w:tblCellMar>
      </w:tblPr>
      <w:tblGrid>
        <w:gridCol w:w="2899"/>
        <w:gridCol w:w="1501"/>
        <w:gridCol w:w="3000"/>
        <w:gridCol w:w="1499"/>
      </w:tblGrid>
      <w:tr>
        <w:trPr>
          <w:tblHeader w:val="true"/>
        </w:trPr>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5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ضریب مفروض</w:t>
            </w:r>
          </w:p>
        </w:tc>
        <w:tc>
          <w:tcPr>
            <w:tcW w:w="3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ضریب مفروض</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w:t>
            </w:r>
          </w:p>
        </w:tc>
        <w:tc>
          <w:tcPr>
            <w:tcW w:w="15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۰٫۴۷</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رفتار توده‌وار</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۰٫۴۶</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رفتار توده‌وار</w:t>
            </w:r>
          </w:p>
        </w:tc>
        <w:tc>
          <w:tcPr>
            <w:tcW w:w="15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۰٫۱۰</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رفتار توده‌وار ← کیفیت تصمیم</w:t>
            </w:r>
          </w:p>
        </w:tc>
        <w:tc>
          <w:tcPr>
            <w:tcW w:w="14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۰٫۳۴</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فومو ← کیفیت تصمیم</w:t>
            </w:r>
          </w:p>
        </w:tc>
        <w:tc>
          <w:tcPr>
            <w:tcW w:w="15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۰٫۱۹</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کیفیت تصمیم</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۰٫۳۰</w:t>
            </w:r>
          </w:p>
        </w:tc>
      </w:tr>
      <w:tr>
        <w:trPr>
          <w:cantSplit w:val="true"/>
        </w:trPr>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 رفتار توده‌وار</w:t>
            </w:r>
          </w:p>
        </w:tc>
        <w:tc>
          <w:tcPr>
            <w:tcW w:w="15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۰٫۲۲</w:t>
            </w:r>
          </w:p>
        </w:tc>
        <w:tc>
          <w:tcPr>
            <w:tcW w:w="3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اطلاعات حسابداری ← رفتار توده‌وار</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۰٫۲۰</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ضرایب پیش از اعمال خطای اندازه‌گیری و گسسته‌سازی لیکرت تعریف شده‌اند؛ مقادیر برآوردشده در جدول </w:t>
      </w:r>
      <w:r>
        <w:rPr>
          <w:rFonts w:ascii="Times New Roman" w:hAnsi="Times New Roman" w:eastAsia="Times New Roman"/>
          <w:sz w:val="20"/>
          <w:sz w:val="20"/>
          <w:szCs w:val="20"/>
          <w:lang w:val="en-US" w:bidi="fa-IR"/>
        </w:rPr>
        <w:t>۹</w:t>
      </w:r>
      <w:r>
        <w:rPr>
          <w:rFonts w:ascii="Times New Roman" w:hAnsi="Times New Roman" w:eastAsia="Times New Roman"/>
          <w:sz w:val="20"/>
          <w:sz w:val="20"/>
          <w:szCs w:val="20"/>
          <w:rtl w:val="true"/>
          <w:lang w:val="en-US" w:bidi="fa-IR"/>
        </w:rPr>
        <w:t xml:space="preserve"> به‌دلیل این عوامل متفاوت‌اند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ابزار اندازه‌گیری و تعریف عملیاتی متغیرها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ابزار گردآوری، پرسشنامه‌ای شامل پنج سازه و </w:t>
      </w:r>
      <w:r>
        <w:rPr>
          <w:rFonts w:ascii="Times New Roman" w:hAnsi="Times New Roman" w:eastAsia="Times New Roman"/>
          <w:sz w:val="26"/>
          <w:sz w:val="26"/>
          <w:szCs w:val="26"/>
          <w:lang w:val="en-US" w:bidi="fa-IR"/>
        </w:rPr>
        <w:t>۲۶</w:t>
      </w:r>
      <w:r>
        <w:rPr>
          <w:rFonts w:ascii="Times New Roman" w:hAnsi="Times New Roman" w:eastAsia="Times New Roman"/>
          <w:sz w:val="26"/>
          <w:sz w:val="26"/>
          <w:szCs w:val="26"/>
          <w:rtl w:val="true"/>
          <w:lang w:val="en-US" w:bidi="fa-IR"/>
        </w:rPr>
        <w:t xml:space="preserve"> گویه در مقیاس لیکرت پنج‌درجه‌ای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کاملاً مخالفم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کاملاً موافقم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سؤال‌های جمعیت‌شناختی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گویه فقط یک سازه را می‌سنجد و مستقیماً به متغیر پنهان همان سازه متصل می‌شود؛ هیچ نمرهٔ ترکیبی یا میانگین گویه‌ها ساخته نشده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گویه‌ها از مقیاس‌های معتبر بین‌المللی بازنویسی و برای بستر سرمایه‌گذاری بومی‌سازی شده‌اند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متن کامل پرسشنامه به‌همراه راهنمای اعتبارسنجی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نسبت و شاخص روایی محتوا، ترجمه و ترجمهٔ معکوس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فایل پیوست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سازه‌های پنهان، تعداد گویه‌ها و مبنای نظری گویه‌ها</w:t>
      </w:r>
    </w:p>
    <w:tbl>
      <w:tblPr>
        <w:bidiVisual w:val="true"/>
        <w:tblW w:w="9000" w:type="dxa"/>
        <w:jc w:val="center"/>
        <w:tblInd w:w="0" w:type="dxa"/>
        <w:tblLayout w:type="fixed"/>
        <w:tblCellMar>
          <w:top w:w="0" w:type="dxa"/>
          <w:left w:w="60" w:type="dxa"/>
          <w:bottom w:w="0" w:type="dxa"/>
          <w:right w:w="60" w:type="dxa"/>
        </w:tblCellMar>
      </w:tblPr>
      <w:tblGrid>
        <w:gridCol w:w="2500"/>
        <w:gridCol w:w="700"/>
        <w:gridCol w:w="3000"/>
        <w:gridCol w:w="2799"/>
      </w:tblGrid>
      <w:tr>
        <w:trPr>
          <w:tblHeader w:val="true"/>
        </w:trPr>
        <w:tc>
          <w:tcPr>
            <w:tcW w:w="2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سازه </w:t>
            </w:r>
            <w:r>
              <w:rPr>
                <w:rFonts w:eastAsia="Times New Roman" w:cs="B Nazanin"/>
                <w:b/>
                <w:bCs/>
                <w:sz w:val="22"/>
                <w:szCs w:val="22"/>
                <w:rtl w:val="true"/>
                <w:lang w:val="en-US" w:bidi="fa-IR"/>
              </w:rPr>
              <w:t>(</w:t>
            </w:r>
            <w:r>
              <w:rPr>
                <w:rFonts w:ascii="Times New Roman" w:hAnsi="Times New Roman" w:eastAsia="Times New Roman"/>
                <w:b/>
                <w:b/>
                <w:bCs/>
                <w:sz w:val="22"/>
                <w:sz w:val="22"/>
                <w:szCs w:val="22"/>
                <w:rtl w:val="true"/>
                <w:lang w:val="en-US" w:bidi="fa-IR"/>
              </w:rPr>
              <w:t>نماد لاتین</w:t>
            </w:r>
            <w:r>
              <w:rPr>
                <w:rFonts w:eastAsia="Times New Roman" w:cs="B Nazanin"/>
                <w:b/>
                <w:bCs/>
                <w:sz w:val="22"/>
                <w:szCs w:val="22"/>
                <w:rtl w:val="true"/>
                <w:lang w:val="en-US" w:bidi="fa-IR"/>
              </w:rPr>
              <w:t>)</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3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تعریف عملیاتی</w:t>
            </w:r>
          </w:p>
        </w:tc>
        <w:tc>
          <w:tcPr>
            <w:tcW w:w="2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مبنای ابزار</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سرمایه‌گذاری در شبکه‌های اجتماعی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دفعات و شدت دنبال‌کردن و اتکا به محتوای بورس در شبکه‌ها</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الیسون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بازنویسی پژوهشگر</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نگرانی از دست‌دادن فرصت سودآوری که دیگران دارند</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پرزیبیلسکی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آبل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رفتار توده‌وار </w:t>
            </w:r>
            <w:r>
              <w:rPr>
                <w:rFonts w:eastAsia="Times New Roman" w:cs="B Nazanin"/>
                <w:sz w:val="22"/>
                <w:szCs w:val="22"/>
                <w:rtl w:val="true"/>
                <w:lang w:val="en-US" w:bidi="fa-IR"/>
              </w:rPr>
              <w:t>(</w:t>
            </w:r>
            <w:r>
              <w:rPr>
                <w:rFonts w:eastAsia="Times New Roman" w:cs="B Nazanin"/>
                <w:sz w:val="22"/>
                <w:szCs w:val="22"/>
                <w:lang w:val="en-US" w:bidi="fa-IR"/>
              </w:rPr>
              <w:t>HRD</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پیروی تصمیم از رفتار جمع به‌جای تحلیل شخصی</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باکار و یی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کومار و گویال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۲۰۱۵</w:t>
            </w:r>
            <w:r>
              <w:rPr>
                <w:rFonts w:eastAsia="Times New Roman" w:cs="B Nazanin"/>
                <w:sz w:val="22"/>
                <w:szCs w:val="22"/>
                <w:rtl w:val="true"/>
                <w:lang w:val="en-US" w:bidi="fa-IR"/>
              </w:rPr>
              <w:t>)</w:t>
            </w:r>
          </w:p>
        </w:tc>
      </w:tr>
      <w:tr>
        <w:trPr>
          <w:cantSplit w:val="true"/>
        </w:trPr>
        <w:tc>
          <w:tcPr>
            <w:tcW w:w="2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به‌کارگیری صورت‌های مالی، کدال و نسبت‌ها در تصمیم</w:t>
            </w:r>
          </w:p>
        </w:tc>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توسعه‌یافته بر پایهٔ لارنس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p>
        </w:tc>
      </w:tr>
      <w:tr>
        <w:trPr>
          <w:cantSplit w:val="true"/>
        </w:trPr>
        <w:tc>
          <w:tcPr>
            <w:tcW w:w="2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سرمایه‌گذاری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3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تحلیل‌محوری، رضایت، همسویی با اهداف و پشیمانی کم</w:t>
            </w:r>
          </w:p>
        </w:tc>
        <w:tc>
          <w:tcPr>
            <w:tcW w:w="2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پارکر و فیشهاف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۲۰۰۵</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برویِن دو برویِن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هیچ‌یک از گویه‌ها نسخهٔ استانداردشدهٔ فارسی نیست و پیش از جمع‌آوری داده‌ٔ واقعی باید اعتبارسنجی شود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راهبرد تحلیل</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تحلیل در محیط پایتون و با بستهٔ </w:t>
      </w:r>
      <w:r>
        <w:rPr>
          <w:rFonts w:eastAsia="Times New Roman" w:cs="B Nazanin"/>
          <w:sz w:val="26"/>
          <w:szCs w:val="26"/>
          <w:lang w:val="en-US" w:bidi="fa-IR"/>
        </w:rPr>
        <w:t>semopy</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ایگولکینا و میشچریاکوف</w:t>
      </w:r>
      <w:r>
        <w:rPr>
          <w:rStyle w:val="FootnoteReference"/>
          <w:rFonts w:ascii="Times New Roman" w:hAnsi="Times New Roman" w:eastAsia="Times New Roman"/>
          <w:sz w:val="26"/>
          <w:sz w:val="26"/>
          <w:szCs w:val="26"/>
          <w:vertAlign w:val="superscript"/>
          <w:lang w:val="en-US" w:bidi="fa-IR"/>
        </w:rPr>
        <w:footnoteReference w:id="51"/>
      </w:r>
      <w:r>
        <w:rPr>
          <w:rFonts w:ascii="Times New Roman" w:hAnsi="Times New Roman" w:eastAsia="Times New Roman"/>
          <w:sz w:val="26"/>
          <w:sz w:val="26"/>
          <w:szCs w:val="26"/>
          <w:vertAlign w:val="superscript"/>
          <w:lang w:val="en-US" w:bidi="fa-IR"/>
        </w:rPr>
        <w:t>۵۰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انجام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توصیف گویه‌ها و آزمون نرمال‌بودن چندمتغیره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ماردیا</w:t>
      </w:r>
      <w:r>
        <w:rPr>
          <w:rStyle w:val="FootnoteReference"/>
          <w:rFonts w:ascii="Times New Roman" w:hAnsi="Times New Roman" w:eastAsia="Times New Roman"/>
          <w:sz w:val="26"/>
          <w:sz w:val="26"/>
          <w:szCs w:val="26"/>
          <w:vertAlign w:val="superscript"/>
          <w:lang w:val="en-US" w:bidi="fa-IR"/>
        </w:rPr>
        <w:footnoteReference w:id="52"/>
      </w:r>
      <w:r>
        <w:rPr>
          <w:rFonts w:ascii="Times New Roman" w:hAnsi="Times New Roman" w:eastAsia="Times New Roman"/>
          <w:sz w:val="26"/>
          <w:sz w:val="26"/>
          <w:szCs w:val="26"/>
          <w:vertAlign w:val="superscript"/>
          <w:lang w:val="en-US" w:bidi="fa-IR"/>
        </w:rPr>
        <w:t>۵۱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بررسی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از آنجا که گویه‌ها پنج‌طبقه‌ای و بدون چولگی شدیدند، برآورد بیشینهٔ درست‌نمایی</w:t>
      </w:r>
      <w:r>
        <w:rPr>
          <w:rStyle w:val="FootnoteReference"/>
          <w:rFonts w:ascii="Times New Roman" w:hAnsi="Times New Roman" w:eastAsia="Times New Roman"/>
          <w:sz w:val="26"/>
          <w:sz w:val="26"/>
          <w:szCs w:val="26"/>
          <w:vertAlign w:val="superscript"/>
          <w:lang w:val="en-US" w:bidi="fa-IR"/>
        </w:rPr>
        <w:footnoteReference w:id="53"/>
      </w:r>
      <w:r>
        <w:rPr>
          <w:rFonts w:ascii="Times New Roman" w:hAnsi="Times New Roman" w:eastAsia="Times New Roman"/>
          <w:sz w:val="26"/>
          <w:sz w:val="26"/>
          <w:szCs w:val="26"/>
          <w:vertAlign w:val="superscript"/>
          <w:lang w:val="en-US" w:bidi="fa-IR"/>
        </w:rPr>
        <w:t>۵۲</w:t>
      </w:r>
      <w:r>
        <w:rPr>
          <w:rFonts w:ascii="Times New Roman" w:hAnsi="Times New Roman" w:eastAsia="Times New Roman"/>
          <w:sz w:val="26"/>
          <w:sz w:val="26"/>
          <w:szCs w:val="26"/>
          <w:rtl w:val="true"/>
          <w:lang w:val="en-US" w:bidi="fa-IR"/>
        </w:rPr>
        <w:t xml:space="preserve"> با تقریب پیوسته پذیرفتنی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رمتولا و همکاران</w:t>
      </w:r>
      <w:r>
        <w:rPr>
          <w:rStyle w:val="FootnoteReference"/>
          <w:rFonts w:ascii="Times New Roman" w:hAnsi="Times New Roman" w:eastAsia="Times New Roman"/>
          <w:sz w:val="26"/>
          <w:sz w:val="26"/>
          <w:szCs w:val="26"/>
          <w:vertAlign w:val="superscript"/>
          <w:lang w:val="en-US" w:bidi="fa-IR"/>
        </w:rPr>
        <w:footnoteReference w:id="54"/>
      </w:r>
      <w:r>
        <w:rPr>
          <w:rFonts w:ascii="Times New Roman" w:hAnsi="Times New Roman" w:eastAsia="Times New Roman"/>
          <w:sz w:val="26"/>
          <w:sz w:val="26"/>
          <w:szCs w:val="26"/>
          <w:vertAlign w:val="superscript"/>
          <w:lang w:val="en-US" w:bidi="fa-IR"/>
        </w:rPr>
        <w:t>۵۳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برای اطمینان از استحکام، برآوردگر حداقل مربعات وزنی قطری</w:t>
      </w:r>
      <w:r>
        <w:rPr>
          <w:rStyle w:val="FootnoteReference"/>
          <w:rFonts w:ascii="Times New Roman" w:hAnsi="Times New Roman" w:eastAsia="Times New Roman"/>
          <w:sz w:val="26"/>
          <w:sz w:val="26"/>
          <w:szCs w:val="26"/>
          <w:vertAlign w:val="superscript"/>
          <w:lang w:val="en-US" w:bidi="fa-IR"/>
        </w:rPr>
        <w:footnoteReference w:id="55"/>
      </w:r>
      <w:r>
        <w:rPr>
          <w:rFonts w:ascii="Times New Roman" w:hAnsi="Times New Roman" w:eastAsia="Times New Roman"/>
          <w:sz w:val="26"/>
          <w:sz w:val="26"/>
          <w:szCs w:val="26"/>
          <w:vertAlign w:val="superscript"/>
          <w:lang w:val="en-US" w:bidi="fa-IR"/>
        </w:rPr>
        <w:t>۵۴</w:t>
      </w:r>
      <w:r>
        <w:rPr>
          <w:rFonts w:ascii="Times New Roman" w:hAnsi="Times New Roman" w:eastAsia="Times New Roman"/>
          <w:sz w:val="26"/>
          <w:sz w:val="26"/>
          <w:szCs w:val="26"/>
          <w:rtl w:val="true"/>
          <w:lang w:val="en-US" w:bidi="fa-IR"/>
        </w:rPr>
        <w:t xml:space="preserve"> نیز اجرا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w:t>
      </w:r>
      <w:r>
        <w:rPr>
          <w:rStyle w:val="FootnoteReference"/>
          <w:rFonts w:ascii="Times New Roman" w:hAnsi="Times New Roman" w:eastAsia="Times New Roman"/>
          <w:sz w:val="26"/>
          <w:sz w:val="26"/>
          <w:szCs w:val="26"/>
          <w:vertAlign w:val="superscript"/>
          <w:lang w:val="en-US" w:bidi="fa-IR"/>
        </w:rPr>
        <w:footnoteReference w:id="56"/>
      </w:r>
      <w:r>
        <w:rPr>
          <w:rFonts w:ascii="Times New Roman" w:hAnsi="Times New Roman" w:eastAsia="Times New Roman"/>
          <w:sz w:val="26"/>
          <w:sz w:val="26"/>
          <w:szCs w:val="26"/>
          <w:vertAlign w:val="superscript"/>
          <w:lang w:val="en-US" w:bidi="fa-IR"/>
        </w:rPr>
        <w:t>۵۵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مدل اندازه‌گیری پنج‌عاملی با تحلیل عاملی تأییدی</w:t>
      </w:r>
      <w:r>
        <w:rPr>
          <w:rStyle w:val="FootnoteReference"/>
          <w:rFonts w:ascii="Times New Roman" w:hAnsi="Times New Roman" w:eastAsia="Times New Roman"/>
          <w:sz w:val="26"/>
          <w:sz w:val="26"/>
          <w:szCs w:val="26"/>
          <w:vertAlign w:val="superscript"/>
          <w:lang w:val="en-US" w:bidi="fa-IR"/>
        </w:rPr>
        <w:footnoteReference w:id="57"/>
      </w:r>
      <w:r>
        <w:rPr>
          <w:rFonts w:ascii="Times New Roman" w:hAnsi="Times New Roman" w:eastAsia="Times New Roman"/>
          <w:sz w:val="26"/>
          <w:sz w:val="26"/>
          <w:szCs w:val="26"/>
          <w:vertAlign w:val="superscript"/>
          <w:lang w:val="en-US" w:bidi="fa-IR"/>
        </w:rPr>
        <w:t>۵۶</w:t>
      </w:r>
      <w:r>
        <w:rPr>
          <w:rFonts w:ascii="Times New Roman" w:hAnsi="Times New Roman" w:eastAsia="Times New Roman"/>
          <w:sz w:val="26"/>
          <w:sz w:val="26"/>
          <w:szCs w:val="26"/>
          <w:rtl w:val="true"/>
          <w:lang w:val="en-US" w:bidi="fa-IR"/>
        </w:rPr>
        <w:t xml:space="preserve"> آزموده و پایایی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آلفای کرونباخ و پایایی ترکیبی</w:t>
      </w:r>
      <w:r>
        <w:rPr>
          <w:rStyle w:val="FootnoteReference"/>
          <w:rFonts w:ascii="Times New Roman" w:hAnsi="Times New Roman" w:eastAsia="Times New Roman"/>
          <w:sz w:val="26"/>
          <w:sz w:val="26"/>
          <w:szCs w:val="26"/>
          <w:vertAlign w:val="superscript"/>
          <w:lang w:val="en-US" w:bidi="fa-IR"/>
        </w:rPr>
        <w:footnoteReference w:id="58"/>
      </w:r>
      <w:r>
        <w:rPr>
          <w:rFonts w:ascii="Times New Roman" w:hAnsi="Times New Roman" w:eastAsia="Times New Roman"/>
          <w:sz w:val="26"/>
          <w:sz w:val="26"/>
          <w:szCs w:val="26"/>
          <w:vertAlign w:val="superscript"/>
          <w:lang w:val="en-US" w:bidi="fa-IR"/>
        </w:rPr>
        <w:t>۵۷</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روایی همگرا</w:t>
      </w:r>
      <w:r>
        <w:rPr>
          <w:rStyle w:val="FootnoteReference"/>
          <w:rFonts w:ascii="Times New Roman" w:hAnsi="Times New Roman" w:eastAsia="Times New Roman"/>
          <w:sz w:val="26"/>
          <w:sz w:val="26"/>
          <w:szCs w:val="26"/>
          <w:vertAlign w:val="superscript"/>
          <w:lang w:val="en-US" w:bidi="fa-IR"/>
        </w:rPr>
        <w:footnoteReference w:id="59"/>
      </w:r>
      <w:r>
        <w:rPr>
          <w:rFonts w:ascii="Times New Roman" w:hAnsi="Times New Roman" w:eastAsia="Times New Roman"/>
          <w:sz w:val="26"/>
          <w:sz w:val="26"/>
          <w:szCs w:val="26"/>
          <w:vertAlign w:val="superscript"/>
          <w:lang w:val="en-US" w:bidi="fa-IR"/>
        </w:rPr>
        <w:t>۵۸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واریانس استخراج‌شده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روایی واگرا</w:t>
      </w:r>
      <w:r>
        <w:rPr>
          <w:rStyle w:val="FootnoteReference"/>
          <w:rFonts w:ascii="Times New Roman" w:hAnsi="Times New Roman" w:eastAsia="Times New Roman"/>
          <w:sz w:val="26"/>
          <w:sz w:val="26"/>
          <w:szCs w:val="26"/>
          <w:vertAlign w:val="superscript"/>
          <w:lang w:val="en-US" w:bidi="fa-IR"/>
        </w:rPr>
        <w:footnoteReference w:id="60"/>
      </w:r>
      <w:r>
        <w:rPr>
          <w:rFonts w:ascii="Times New Roman" w:hAnsi="Times New Roman" w:eastAsia="Times New Roman"/>
          <w:sz w:val="26"/>
          <w:sz w:val="26"/>
          <w:szCs w:val="26"/>
          <w:vertAlign w:val="superscript"/>
          <w:lang w:val="en-US" w:bidi="fa-IR"/>
        </w:rPr>
        <w:t>۵۹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معیار فورنل ـ لارکر و نسبت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سنجیده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فورنل و لارکر</w:t>
      </w:r>
      <w:r>
        <w:rPr>
          <w:rStyle w:val="FootnoteReference"/>
          <w:rFonts w:ascii="Times New Roman" w:hAnsi="Times New Roman" w:eastAsia="Times New Roman"/>
          <w:sz w:val="26"/>
          <w:sz w:val="26"/>
          <w:szCs w:val="26"/>
          <w:vertAlign w:val="superscript"/>
          <w:lang w:val="en-US" w:bidi="fa-IR"/>
        </w:rPr>
        <w:footnoteReference w:id="61"/>
      </w:r>
      <w:r>
        <w:rPr>
          <w:rFonts w:ascii="Times New Roman" w:hAnsi="Times New Roman" w:eastAsia="Times New Roman"/>
          <w:sz w:val="26"/>
          <w:sz w:val="26"/>
          <w:szCs w:val="26"/>
          <w:vertAlign w:val="superscript"/>
          <w:lang w:val="en-US" w:bidi="fa-IR"/>
        </w:rPr>
        <w:t>۶۰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ascii="Times New Roman" w:hAnsi="Times New Roman" w:eastAsia="Times New Roman"/>
          <w:sz w:val="26"/>
          <w:sz w:val="26"/>
          <w:szCs w:val="26"/>
          <w:rtl w:val="true"/>
          <w:lang w:val="en-US" w:bidi="fa-IR"/>
        </w:rPr>
        <w:t>؛ هنسلر و همکاران</w:t>
      </w:r>
      <w:r>
        <w:rPr>
          <w:rStyle w:val="FootnoteReference"/>
          <w:rFonts w:ascii="Times New Roman" w:hAnsi="Times New Roman" w:eastAsia="Times New Roman"/>
          <w:sz w:val="26"/>
          <w:sz w:val="26"/>
          <w:szCs w:val="26"/>
          <w:vertAlign w:val="superscript"/>
          <w:lang w:val="en-US" w:bidi="fa-IR"/>
        </w:rPr>
        <w:footnoteReference w:id="62"/>
      </w:r>
      <w:r>
        <w:rPr>
          <w:rFonts w:ascii="Times New Roman" w:hAnsi="Times New Roman" w:eastAsia="Times New Roman"/>
          <w:sz w:val="26"/>
          <w:sz w:val="26"/>
          <w:szCs w:val="26"/>
          <w:vertAlign w:val="superscript"/>
          <w:lang w:val="en-US" w:bidi="fa-IR"/>
        </w:rPr>
        <w:t>۶۱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سوگیری روش مشترک با آزمون تک‌عاملی هارمن، مدل تک‌عاملی و مدل عامل روش مشترک بررسی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پوداساف و همکاران</w:t>
      </w:r>
      <w:r>
        <w:rPr>
          <w:rStyle w:val="FootnoteReference"/>
          <w:rFonts w:ascii="Times New Roman" w:hAnsi="Times New Roman" w:eastAsia="Times New Roman"/>
          <w:sz w:val="26"/>
          <w:sz w:val="26"/>
          <w:szCs w:val="26"/>
          <w:vertAlign w:val="superscript"/>
          <w:lang w:val="en-US" w:bidi="fa-IR"/>
        </w:rPr>
        <w:footnoteReference w:id="63"/>
      </w:r>
      <w:r>
        <w:rPr>
          <w:rFonts w:ascii="Times New Roman" w:hAnsi="Times New Roman" w:eastAsia="Times New Roman"/>
          <w:sz w:val="26"/>
          <w:sz w:val="26"/>
          <w:szCs w:val="26"/>
          <w:vertAlign w:val="superscript"/>
          <w:lang w:val="en-US" w:bidi="fa-IR"/>
        </w:rPr>
        <w:t>۶۲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معیارهای برازش شامل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نسبت درجهٔ آزادی، </w:t>
      </w:r>
      <w:r>
        <w:rPr>
          <w:rFonts w:eastAsia="Times New Roman" w:cs="B Nazanin"/>
          <w:sz w:val="26"/>
          <w:szCs w:val="26"/>
          <w:lang w:val="en-US" w:bidi="fa-IR"/>
        </w:rPr>
        <w:t>CFI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TLI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 که با آستانه‌های هو و بنتلر</w:t>
      </w:r>
      <w:r>
        <w:rPr>
          <w:rStyle w:val="FootnoteReference"/>
          <w:rFonts w:ascii="Times New Roman" w:hAnsi="Times New Roman" w:eastAsia="Times New Roman"/>
          <w:sz w:val="26"/>
          <w:sz w:val="26"/>
          <w:szCs w:val="26"/>
          <w:vertAlign w:val="superscript"/>
          <w:lang w:val="en-US" w:bidi="fa-IR"/>
        </w:rPr>
        <w:footnoteReference w:id="64"/>
      </w:r>
      <w:r>
        <w:rPr>
          <w:rFonts w:ascii="Times New Roman" w:hAnsi="Times New Roman" w:eastAsia="Times New Roman"/>
          <w:sz w:val="26"/>
          <w:sz w:val="26"/>
          <w:szCs w:val="26"/>
          <w:vertAlign w:val="superscript"/>
          <w:lang w:val="en-US" w:bidi="fa-IR"/>
        </w:rPr>
        <w:t>۶۳</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شدند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مدل ساختاری، هر گویه بدون تجمیع به متغیر پنهان خود متصل است و مسیرهای پیشنهادی میان متغیرهای پنهان و متغیرهای کنترل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سن، جنسیت و سابقه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تعامل پنهان فومو و استفاده از اطلاعات حسابداری با شاخص‌های حاصل‌ضرب جفت‌شدهٔ میانگین‌مرکزشده مدل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مارش و همکاران</w:t>
      </w:r>
      <w:r>
        <w:rPr>
          <w:rStyle w:val="FootnoteReference"/>
          <w:rFonts w:ascii="Times New Roman" w:hAnsi="Times New Roman" w:eastAsia="Times New Roman"/>
          <w:sz w:val="26"/>
          <w:sz w:val="26"/>
          <w:szCs w:val="26"/>
          <w:vertAlign w:val="superscript"/>
          <w:lang w:val="en-US" w:bidi="fa-IR"/>
        </w:rPr>
        <w:footnoteReference w:id="65"/>
      </w:r>
      <w:r>
        <w:rPr>
          <w:rFonts w:ascii="Times New Roman" w:hAnsi="Times New Roman" w:eastAsia="Times New Roman"/>
          <w:sz w:val="26"/>
          <w:sz w:val="26"/>
          <w:szCs w:val="26"/>
          <w:vertAlign w:val="superscript"/>
          <w:lang w:val="en-US" w:bidi="fa-IR"/>
        </w:rPr>
        <w:t>۶۴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در تحلیل استحکام با روش مرکزسازی باقی‌مانده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لیتل و همکاران</w:t>
      </w:r>
      <w:r>
        <w:rPr>
          <w:rStyle w:val="FootnoteReference"/>
          <w:rFonts w:ascii="Times New Roman" w:hAnsi="Times New Roman" w:eastAsia="Times New Roman"/>
          <w:sz w:val="26"/>
          <w:sz w:val="26"/>
          <w:szCs w:val="26"/>
          <w:vertAlign w:val="superscript"/>
          <w:lang w:val="en-US" w:bidi="fa-IR"/>
        </w:rPr>
        <w:footnoteReference w:id="66"/>
      </w:r>
      <w:r>
        <w:rPr>
          <w:rFonts w:ascii="Times New Roman" w:hAnsi="Times New Roman" w:eastAsia="Times New Roman"/>
          <w:sz w:val="26"/>
          <w:sz w:val="26"/>
          <w:szCs w:val="26"/>
          <w:vertAlign w:val="superscript"/>
          <w:lang w:val="en-US" w:bidi="fa-IR"/>
        </w:rPr>
        <w:t>۶۵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بازبرآورد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اندازهٔ اثر تعامل از تفاضل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با و بدون جملهٔ تعاملی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کوهن</w:t>
      </w:r>
      <w:r>
        <w:rPr>
          <w:rStyle w:val="FootnoteReference"/>
          <w:rFonts w:ascii="Times New Roman" w:hAnsi="Times New Roman" w:eastAsia="Times New Roman"/>
          <w:sz w:val="26"/>
          <w:sz w:val="26"/>
          <w:szCs w:val="26"/>
          <w:vertAlign w:val="superscript"/>
          <w:lang w:val="en-US" w:bidi="fa-IR"/>
        </w:rPr>
        <w:footnoteReference w:id="67"/>
      </w:r>
      <w:r>
        <w:rPr>
          <w:rFonts w:ascii="Times New Roman" w:hAnsi="Times New Roman" w:eastAsia="Times New Roman"/>
          <w:sz w:val="26"/>
          <w:sz w:val="26"/>
          <w:szCs w:val="26"/>
          <w:vertAlign w:val="superscript"/>
          <w:lang w:val="en-US" w:bidi="fa-IR"/>
        </w:rPr>
        <w:t>۶۶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محاسبه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غیرمستقیم و مشروط با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نمونهٔ خودگردان و فاصلهٔ اطمینان صدکی </w:t>
      </w:r>
      <w:r>
        <w:rPr>
          <w:rFonts w:ascii="Times New Roman" w:hAnsi="Times New Roman" w:eastAsia="Times New Roman"/>
          <w:sz w:val="26"/>
          <w:sz w:val="26"/>
          <w:szCs w:val="26"/>
          <w:lang w:val="en-US" w:bidi="fa-IR"/>
        </w:rPr>
        <w:t>۹۵</w:t>
      </w:r>
      <w:r>
        <w:rPr>
          <w:rFonts w:ascii="Times New Roman" w:hAnsi="Times New Roman" w:eastAsia="Times New Roman"/>
          <w:sz w:val="26"/>
          <w:sz w:val="26"/>
          <w:szCs w:val="26"/>
          <w:rtl w:val="true"/>
          <w:lang w:val="en-US" w:bidi="fa-IR"/>
        </w:rPr>
        <w:t>٪ آزموده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شیب‌های ساده از ضرایب پنهان و در سه سطح استفاده از اطلاعات حسابداری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میانگین و یک انحراف معیار بالاتر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پایین‌تر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محاسبه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هیچ‌یک از مراحل بر میانگین گویه‌ها استوار نیست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کد و داده در پوشهٔ پیوست قرار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یافته‌های پژوهش</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مشخصات جمعیت‌شناختی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۳۸۶</w:t>
      </w:r>
      <w:r>
        <w:rPr>
          <w:rFonts w:ascii="Times New Roman" w:hAnsi="Times New Roman" w:eastAsia="Times New Roman"/>
          <w:sz w:val="26"/>
          <w:sz w:val="26"/>
          <w:szCs w:val="26"/>
          <w:rtl w:val="true"/>
          <w:lang w:val="en-US" w:bidi="fa-IR"/>
        </w:rPr>
        <w:t xml:space="preserve"> سرمایه‌گذار، </w:t>
      </w:r>
      <w:r>
        <w:rPr>
          <w:rFonts w:ascii="Times New Roman" w:hAnsi="Times New Roman" w:eastAsia="Times New Roman"/>
          <w:sz w:val="26"/>
          <w:sz w:val="26"/>
          <w:szCs w:val="26"/>
          <w:lang w:val="en-US" w:bidi="fa-IR"/>
        </w:rPr>
        <w:t>۷۱٫۵</w:t>
      </w:r>
      <w:r>
        <w:rPr>
          <w:rFonts w:ascii="Times New Roman" w:hAnsi="Times New Roman" w:eastAsia="Times New Roman"/>
          <w:sz w:val="26"/>
          <w:sz w:val="26"/>
          <w:szCs w:val="26"/>
          <w:rtl w:val="true"/>
          <w:lang w:val="en-US" w:bidi="fa-IR"/>
        </w:rPr>
        <w:t xml:space="preserve">٪ مرد و </w:t>
      </w:r>
      <w:r>
        <w:rPr>
          <w:rFonts w:ascii="Times New Roman" w:hAnsi="Times New Roman" w:eastAsia="Times New Roman"/>
          <w:sz w:val="26"/>
          <w:sz w:val="26"/>
          <w:szCs w:val="26"/>
          <w:lang w:val="en-US" w:bidi="fa-IR"/>
        </w:rPr>
        <w:t>۲۸٫۵</w:t>
      </w:r>
      <w:r>
        <w:rPr>
          <w:rFonts w:ascii="Times New Roman" w:hAnsi="Times New Roman" w:eastAsia="Times New Roman"/>
          <w:sz w:val="26"/>
          <w:sz w:val="26"/>
          <w:szCs w:val="26"/>
          <w:rtl w:val="true"/>
          <w:lang w:val="en-US" w:bidi="fa-IR"/>
        </w:rPr>
        <w:t>٪ زن بودند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سن </w:t>
      </w:r>
      <w:r>
        <w:rPr>
          <w:rFonts w:ascii="Times New Roman" w:hAnsi="Times New Roman" w:eastAsia="Times New Roman"/>
          <w:sz w:val="26"/>
          <w:sz w:val="26"/>
          <w:szCs w:val="26"/>
          <w:lang w:val="en-US" w:bidi="fa-IR"/>
        </w:rPr>
        <w:t>۳۶٫۹</w:t>
      </w:r>
      <w:r>
        <w:rPr>
          <w:rFonts w:ascii="Times New Roman" w:hAnsi="Times New Roman" w:eastAsia="Times New Roman"/>
          <w:sz w:val="26"/>
          <w:sz w:val="26"/>
          <w:szCs w:val="26"/>
          <w:rtl w:val="true"/>
          <w:lang w:val="en-US" w:bidi="fa-IR"/>
        </w:rPr>
        <w:t xml:space="preserve"> سال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انحراف معیار </w:t>
      </w:r>
      <w:r>
        <w:rPr>
          <w:rFonts w:ascii="Times New Roman" w:hAnsi="Times New Roman" w:eastAsia="Times New Roman"/>
          <w:sz w:val="26"/>
          <w:sz w:val="26"/>
          <w:szCs w:val="26"/>
          <w:lang w:val="en-US" w:bidi="fa-IR"/>
        </w:rPr>
        <w:t>۸٫۹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میانگین سابقهٔ معامله </w:t>
      </w:r>
      <w:r>
        <w:rPr>
          <w:rFonts w:ascii="Times New Roman" w:hAnsi="Times New Roman" w:eastAsia="Times New Roman"/>
          <w:sz w:val="26"/>
          <w:sz w:val="26"/>
          <w:szCs w:val="26"/>
          <w:lang w:val="en-US" w:bidi="fa-IR"/>
        </w:rPr>
        <w:t>۷٫۰</w:t>
      </w:r>
      <w:r>
        <w:rPr>
          <w:rFonts w:ascii="Times New Roman" w:hAnsi="Times New Roman" w:eastAsia="Times New Roman"/>
          <w:sz w:val="26"/>
          <w:sz w:val="26"/>
          <w:szCs w:val="26"/>
          <w:rtl w:val="true"/>
          <w:lang w:val="en-US" w:bidi="fa-IR"/>
        </w:rPr>
        <w:t xml:space="preserve"> سال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انحراف معیار </w:t>
      </w:r>
      <w:r>
        <w:rPr>
          <w:rFonts w:ascii="Times New Roman" w:hAnsi="Times New Roman" w:eastAsia="Times New Roman"/>
          <w:sz w:val="26"/>
          <w:sz w:val="26"/>
          <w:szCs w:val="26"/>
          <w:lang w:val="en-US" w:bidi="fa-IR"/>
        </w:rPr>
        <w:t>۴٫۴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نظر تحصیلات، </w:t>
      </w:r>
      <w:r>
        <w:rPr>
          <w:rFonts w:ascii="Times New Roman" w:hAnsi="Times New Roman" w:eastAsia="Times New Roman"/>
          <w:sz w:val="26"/>
          <w:sz w:val="26"/>
          <w:szCs w:val="26"/>
          <w:lang w:val="en-US" w:bidi="fa-IR"/>
        </w:rPr>
        <w:t>۱۰٫۴</w:t>
      </w:r>
      <w:r>
        <w:rPr>
          <w:rFonts w:ascii="Times New Roman" w:hAnsi="Times New Roman" w:eastAsia="Times New Roman"/>
          <w:sz w:val="26"/>
          <w:sz w:val="26"/>
          <w:szCs w:val="26"/>
          <w:rtl w:val="true"/>
          <w:lang w:val="en-US" w:bidi="fa-IR"/>
        </w:rPr>
        <w:t xml:space="preserve">٪ دیپلم و کمتر، </w:t>
      </w:r>
      <w:r>
        <w:rPr>
          <w:rFonts w:ascii="Times New Roman" w:hAnsi="Times New Roman" w:eastAsia="Times New Roman"/>
          <w:sz w:val="26"/>
          <w:sz w:val="26"/>
          <w:szCs w:val="26"/>
          <w:lang w:val="en-US" w:bidi="fa-IR"/>
        </w:rPr>
        <w:t>۴۳٫۰</w:t>
      </w:r>
      <w:r>
        <w:rPr>
          <w:rFonts w:ascii="Times New Roman" w:hAnsi="Times New Roman" w:eastAsia="Times New Roman"/>
          <w:sz w:val="26"/>
          <w:sz w:val="26"/>
          <w:szCs w:val="26"/>
          <w:rtl w:val="true"/>
          <w:lang w:val="en-US" w:bidi="fa-IR"/>
        </w:rPr>
        <w:t xml:space="preserve">٪ کارشناسی، </w:t>
      </w:r>
      <w:r>
        <w:rPr>
          <w:rFonts w:ascii="Times New Roman" w:hAnsi="Times New Roman" w:eastAsia="Times New Roman"/>
          <w:sz w:val="26"/>
          <w:sz w:val="26"/>
          <w:szCs w:val="26"/>
          <w:lang w:val="en-US" w:bidi="fa-IR"/>
        </w:rPr>
        <w:t>۳۹٫۱</w:t>
      </w:r>
      <w:r>
        <w:rPr>
          <w:rFonts w:ascii="Times New Roman" w:hAnsi="Times New Roman" w:eastAsia="Times New Roman"/>
          <w:sz w:val="26"/>
          <w:sz w:val="26"/>
          <w:szCs w:val="26"/>
          <w:rtl w:val="true"/>
          <w:lang w:val="en-US" w:bidi="fa-IR"/>
        </w:rPr>
        <w:t xml:space="preserve">٪ کارشناسی ارشد و </w:t>
      </w:r>
      <w:r>
        <w:rPr>
          <w:rFonts w:ascii="Times New Roman" w:hAnsi="Times New Roman" w:eastAsia="Times New Roman"/>
          <w:sz w:val="26"/>
          <w:sz w:val="26"/>
          <w:szCs w:val="26"/>
          <w:lang w:val="en-US" w:bidi="fa-IR"/>
        </w:rPr>
        <w:t>۷٫۵</w:t>
      </w:r>
      <w:r>
        <w:rPr>
          <w:rFonts w:ascii="Times New Roman" w:hAnsi="Times New Roman" w:eastAsia="Times New Roman"/>
          <w:sz w:val="26"/>
          <w:sz w:val="26"/>
          <w:szCs w:val="26"/>
          <w:rtl w:val="true"/>
          <w:lang w:val="en-US" w:bidi="fa-IR"/>
        </w:rPr>
        <w:t xml:space="preserve">٪ دکتری داشتند و میانهٔ ارزش سبد </w:t>
      </w:r>
      <w:r>
        <w:rPr>
          <w:rFonts w:ascii="Times New Roman" w:hAnsi="Times New Roman" w:eastAsia="Times New Roman"/>
          <w:sz w:val="26"/>
          <w:sz w:val="26"/>
          <w:szCs w:val="26"/>
          <w:lang w:val="en-US" w:bidi="fa-IR"/>
        </w:rPr>
        <w:t>۱۸۴</w:t>
      </w:r>
      <w:r>
        <w:rPr>
          <w:rFonts w:ascii="Times New Roman" w:hAnsi="Times New Roman" w:eastAsia="Times New Roman"/>
          <w:sz w:val="26"/>
          <w:sz w:val="26"/>
          <w:szCs w:val="26"/>
          <w:rtl w:val="true"/>
          <w:lang w:val="en-US" w:bidi="fa-IR"/>
        </w:rPr>
        <w:t xml:space="preserve"> میلیون تومان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مشخصات جمعیت‌شناختی نمونه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شبیه‌سازی‌شده</w:t>
      </w:r>
      <w:r>
        <w:rPr>
          <w:rFonts w:eastAsia="Times New Roman" w:cs="B Zar"/>
          <w:b/>
          <w:bCs/>
          <w:sz w:val="20"/>
          <w:szCs w:val="20"/>
          <w:rtl w:val="true"/>
          <w:lang w:val="en-US" w:bidi="fa-IR"/>
        </w:rPr>
        <w:t>)</w:t>
      </w:r>
    </w:p>
    <w:tbl>
      <w:tblPr>
        <w:bidiVisual w:val="true"/>
        <w:tblW w:w="8000" w:type="dxa"/>
        <w:jc w:val="center"/>
        <w:tblInd w:w="0" w:type="dxa"/>
        <w:tblLayout w:type="fixed"/>
        <w:tblCellMar>
          <w:top w:w="0" w:type="dxa"/>
          <w:left w:w="60" w:type="dxa"/>
          <w:bottom w:w="0" w:type="dxa"/>
          <w:right w:w="60" w:type="dxa"/>
        </w:tblCellMar>
      </w:tblPr>
      <w:tblGrid>
        <w:gridCol w:w="2600"/>
        <w:gridCol w:w="3200"/>
        <w:gridCol w:w="2200"/>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متغیر</w:t>
            </w:r>
          </w:p>
        </w:tc>
        <w:tc>
          <w:tcPr>
            <w:tcW w:w="3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طبقه </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شاخص</w:t>
            </w:r>
          </w:p>
        </w:tc>
        <w:tc>
          <w:tcPr>
            <w:tcW w:w="2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مقدار</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جنسیت</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مرد</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۷۱٫۵٪</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زن</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۲۸٫۵٪</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سال</w:t>
            </w:r>
            <w:r>
              <w:rPr>
                <w:rFonts w:eastAsia="Times New Roman" w:cs="B Nazanin"/>
                <w:sz w:val="24"/>
                <w:szCs w:val="24"/>
                <w:rtl w:val="true"/>
                <w:lang w:val="en-US" w:bidi="fa-IR"/>
              </w:rPr>
              <w:t>)</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میانگین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انحراف معیار</w:t>
            </w:r>
            <w:r>
              <w:rPr>
                <w:rFonts w:eastAsia="Times New Roman" w:cs="B Nazanin"/>
                <w:sz w:val="24"/>
                <w:szCs w:val="24"/>
                <w:rtl w:val="true"/>
                <w:lang w:val="en-US" w:bidi="fa-IR"/>
              </w:rPr>
              <w:t>)</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۸٫۹</w:t>
            </w:r>
            <w:r>
              <w:rPr>
                <w:rFonts w:eastAsia="Times New Roman" w:cs="B Nazanin"/>
                <w:sz w:val="24"/>
                <w:szCs w:val="24"/>
                <w:rtl w:val="true"/>
                <w:lang w:val="en-US" w:bidi="fa-IR"/>
              </w:rPr>
              <w:t>)</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سابقهٔ معامله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سال</w:t>
            </w:r>
            <w:r>
              <w:rPr>
                <w:rFonts w:eastAsia="Times New Roman" w:cs="B Nazanin"/>
                <w:sz w:val="24"/>
                <w:szCs w:val="24"/>
                <w:rtl w:val="true"/>
                <w:lang w:val="en-US" w:bidi="fa-IR"/>
              </w:rPr>
              <w:t>)</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میانگین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انحراف معیار</w:t>
            </w:r>
            <w:r>
              <w:rPr>
                <w:rFonts w:eastAsia="Times New Roman" w:cs="B Nazanin"/>
                <w:sz w:val="24"/>
                <w:szCs w:val="24"/>
                <w:rtl w:val="true"/>
                <w:lang w:val="en-US" w:bidi="fa-IR"/>
              </w:rPr>
              <w:t>)</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۷٫۰</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۴٫۴</w:t>
            </w:r>
            <w:r>
              <w:rPr>
                <w:rFonts w:eastAsia="Times New Roman" w:cs="B Nazanin"/>
                <w:sz w:val="24"/>
                <w:szCs w:val="24"/>
                <w:rtl w:val="true"/>
                <w:lang w:val="en-US" w:bidi="fa-IR"/>
              </w:rPr>
              <w:t>)</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تحصیلات</w:t>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دیپلم و کمتر</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۱۰٫۴٪</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کارشناسی</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۴۳٫۰٪</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کارشناسی ارشد</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۳۹٫۱٪</w:t>
            </w:r>
          </w:p>
        </w:tc>
      </w:tr>
      <w:tr>
        <w:trPr>
          <w:cantSplit w:val="true"/>
        </w:trPr>
        <w:tc>
          <w:tcPr>
            <w:tcW w:w="2600" w:type="dxa"/>
            <w:tcBorders/>
            <w:vAlign w:val="center"/>
          </w:tcPr>
          <w:p>
            <w:pPr>
              <w:pStyle w:val="Normal"/>
              <w:bidi w:val="1"/>
              <w:spacing w:lineRule="auto" w:line="240" w:before="40" w:after="40"/>
              <w:jc w:val="center"/>
              <w:rPr/>
            </w:pPr>
            <w:r>
              <w:rPr>
                <w:rtl w:val="true"/>
              </w:rPr>
            </w:r>
          </w:p>
        </w:tc>
        <w:tc>
          <w:tcPr>
            <w:tcW w:w="3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دکتری</w:t>
            </w:r>
          </w:p>
        </w:tc>
        <w:tc>
          <w:tcPr>
            <w:tcW w:w="2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۷٫۵٪</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ارزش سبد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میلیون تومان</w:t>
            </w:r>
            <w:r>
              <w:rPr>
                <w:rFonts w:eastAsia="Times New Roman" w:cs="B Nazanin"/>
                <w:sz w:val="24"/>
                <w:szCs w:val="24"/>
                <w:rtl w:val="true"/>
                <w:lang w:val="en-US" w:bidi="fa-IR"/>
              </w:rPr>
              <w:t>)</w:t>
            </w:r>
          </w:p>
        </w:tc>
        <w:tc>
          <w:tcPr>
            <w:tcW w:w="3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میانه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دامنهٔ میان‌چارکی</w:t>
            </w:r>
            <w:r>
              <w:rPr>
                <w:rFonts w:eastAsia="Times New Roman" w:cs="B Nazanin"/>
                <w:sz w:val="24"/>
                <w:szCs w:val="24"/>
                <w:rtl w:val="true"/>
                <w:lang w:val="en-US" w:bidi="fa-IR"/>
              </w:rPr>
              <w:t>)</w:t>
            </w:r>
          </w:p>
        </w:tc>
        <w:tc>
          <w:tcPr>
            <w:tcW w:w="2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۱۸۴</w:t>
            </w:r>
            <w:r>
              <w:rPr>
                <w:rFonts w:ascii="Times New Roman" w:hAnsi="Times New Roman" w:eastAsia="Times New Roman"/>
                <w:sz w:val="24"/>
                <w:sz w:val="24"/>
                <w:szCs w:val="24"/>
                <w:rtl w:val="true"/>
                <w:lang w:val="en-US" w:bidi="fa-IR"/>
              </w:rPr>
              <w:t xml:space="preserve">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۱۰۰</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۳۵۸</w:t>
            </w:r>
            <w:r>
              <w:rPr>
                <w:rFonts w:eastAsia="Times New Roman" w:cs="B Nazanin"/>
                <w:sz w:val="24"/>
                <w:szCs w:val="24"/>
                <w:rtl w:val="true"/>
                <w:lang w:val="en-US" w:bidi="fa-IR"/>
              </w:rPr>
              <w:t>)</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آمار توصیفی گویه‌ها و بارهای عاملی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آمار توصیفی هر گویه و بار عاملی استاندارد آن را بر متغیر پنهان مربوط نشان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 گویه‌ها بین </w:t>
      </w:r>
      <w:r>
        <w:rPr>
          <w:rFonts w:ascii="Times New Roman" w:hAnsi="Times New Roman" w:eastAsia="Times New Roman"/>
          <w:sz w:val="26"/>
          <w:sz w:val="26"/>
          <w:szCs w:val="26"/>
          <w:lang w:val="en-US" w:bidi="fa-IR"/>
        </w:rPr>
        <w:t>۲٫۳۵</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۳٫۴۴</w:t>
      </w:r>
      <w:r>
        <w:rPr>
          <w:rFonts w:ascii="Times New Roman" w:hAnsi="Times New Roman" w:eastAsia="Times New Roman"/>
          <w:sz w:val="26"/>
          <w:sz w:val="26"/>
          <w:szCs w:val="26"/>
          <w:rtl w:val="true"/>
          <w:lang w:val="en-US" w:bidi="fa-IR"/>
        </w:rPr>
        <w:t xml:space="preserve"> از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چولگی در بازهٔ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۲۳</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۰٫۵۵</w:t>
      </w:r>
      <w:r>
        <w:rPr>
          <w:rFonts w:ascii="Times New Roman" w:hAnsi="Times New Roman" w:eastAsia="Times New Roman"/>
          <w:sz w:val="26"/>
          <w:sz w:val="26"/>
          <w:szCs w:val="26"/>
          <w:rtl w:val="true"/>
          <w:lang w:val="en-US" w:bidi="fa-IR"/>
        </w:rPr>
        <w:t xml:space="preserve"> و کشیدگی بین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۷۶</w:t>
      </w:r>
      <w:r>
        <w:rPr>
          <w:rFonts w:ascii="Times New Roman" w:hAnsi="Times New Roman" w:eastAsia="Times New Roman"/>
          <w:sz w:val="26"/>
          <w:sz w:val="26"/>
          <w:szCs w:val="26"/>
          <w:rtl w:val="true"/>
          <w:lang w:val="en-US" w:bidi="fa-IR"/>
        </w:rPr>
        <w:t>⁩ و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xml:space="preserve">⁩ قرار داشت که از آستانه‌های رایج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قدر مطلق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برای چولگی و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برای کشیدگی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فاصله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شاخص کشیدگی چندمتغیرهٔ ماردیا برابر </w:t>
      </w:r>
      <w:r>
        <w:rPr>
          <w:rFonts w:ascii="Times New Roman" w:hAnsi="Times New Roman" w:eastAsia="Times New Roman"/>
          <w:sz w:val="26"/>
          <w:sz w:val="26"/>
          <w:szCs w:val="26"/>
          <w:lang w:val="en-US" w:bidi="fa-IR"/>
        </w:rPr>
        <w:t>۷۱۷٫۱</w:t>
      </w:r>
      <w:r>
        <w:rPr>
          <w:rFonts w:ascii="Times New Roman" w:hAnsi="Times New Roman" w:eastAsia="Times New Roman"/>
          <w:sz w:val="26"/>
          <w:sz w:val="26"/>
          <w:szCs w:val="26"/>
          <w:rtl w:val="true"/>
          <w:lang w:val="en-US" w:bidi="fa-IR"/>
        </w:rPr>
        <w:t xml:space="preserve"> در برابر مقدار مورد انتظار </w:t>
      </w:r>
      <w:r>
        <w:rPr>
          <w:rFonts w:ascii="Times New Roman" w:hAnsi="Times New Roman" w:eastAsia="Times New Roman"/>
          <w:sz w:val="26"/>
          <w:sz w:val="26"/>
          <w:szCs w:val="26"/>
          <w:lang w:val="en-US" w:bidi="fa-IR"/>
        </w:rPr>
        <w:t>۷۲۸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z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 یعنی توزیع چندمتغیره دقیقاً نرمال نیست و به همین دلیل برآوردگر مقاوم نیز به‌کار رفت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بارهای عاملی استاندارد همگی معنادار و بین </w:t>
      </w:r>
      <w:r>
        <w:rPr>
          <w:rFonts w:ascii="Times New Roman" w:hAnsi="Times New Roman" w:eastAsia="Times New Roman"/>
          <w:sz w:val="26"/>
          <w:sz w:val="26"/>
          <w:szCs w:val="26"/>
          <w:lang w:val="en-US" w:bidi="fa-IR"/>
        </w:rPr>
        <w:t>۰٫۵۸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۰٫۸۲</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آمار توصیفی گویه‌ها، بار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واریانس تبیین‌شدهٔ گویه </w:t>
      </w:r>
      <w:r>
        <w:rPr>
          <w:rFonts w:eastAsia="Times New Roman" w:cs="B Zar"/>
          <w:b/>
          <w:bCs/>
          <w:sz w:val="20"/>
          <w:szCs w:val="20"/>
          <w:rtl w:val="true"/>
          <w:lang w:val="en-US" w:bidi="fa-IR"/>
        </w:rPr>
        <w:t>(</w:t>
      </w:r>
      <w:r>
        <w:rPr>
          <w:rFonts w:eastAsia="Times New Roman" w:cs="B Zar"/>
          <w:b/>
          <w:bCs/>
          <w:sz w:val="20"/>
          <w:szCs w:val="20"/>
          <w:lang w:val="en-US" w:bidi="fa-IR"/>
        </w:rPr>
        <w:t>λ²</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700"/>
        <w:gridCol w:w="3699"/>
        <w:gridCol w:w="701"/>
        <w:gridCol w:w="749"/>
        <w:gridCol w:w="701"/>
        <w:gridCol w:w="749"/>
        <w:gridCol w:w="600"/>
        <w:gridCol w:w="600"/>
      </w:tblGrid>
      <w:tr>
        <w:trPr>
          <w:tblHeader w:val="true"/>
        </w:trPr>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کد</w:t>
            </w:r>
          </w:p>
        </w:tc>
        <w:tc>
          <w:tcPr>
            <w:tcW w:w="3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گویه</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میانگین</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انحراف معیار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چولگی</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کشیدگی</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هر روز محتوای مربوط به بورس و سرمایه‌گذاری را در شبکه‌های اجتماعی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تلگرام، اینستاگرام، ایتا، ایکس و مانند آن</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دنبال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۲۳</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بخش قابل‌توجهی از وقتم در شبکه‌های اجتماعی صرف دیدن تحلیل‌ها و اخبار بازار سرمایه می‌شود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۱٫۱۳</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۷۶</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عضو چند کانال، گروه یا صفحهٔ سرمایه‌گذاری هستم و پیام‌های آن‌ها را مرتب می‌خوانم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تحلیل‌ها و نظرهای منتشرشده در شبکه‌های اجتماعی از منابع اصلی اطلاعات من دربارهٔ سهام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محتوای سرمایه‌گذاری را با دیگران به اشتراک می‌گذارم یا دربارهٔ آن گفت‌وگو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۳٫۳۰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۱۷</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می‌شنوم دیگران از یک سهم سود زیادی کرده‌اند، نگران می‌شوم که فرصت سودآوری را از دست داده‌ام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نگرانم سایر سرمایه‌گذاران فرصت‌های سودآورتری از من پیدا کنند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۰٫۰۵</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گروهی از سرمایه‌گذاران آشنا سهمی را می‌خرند و من در آن نیستم، مضطرب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مدتی از جریان بازار و خبرهای آن دور باشم، احساس نگرانی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۰٫۱۲</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اینکه فرصت ورود به یک سهم در حال رشد را از دست بدهم ناراحت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۲٫۷۲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۶</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گاهی احساس می‌کنم اگر همین حالا وارد نشوم، دیگر خیلی دیر خواهد 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 تغییر تصمیم‌های سایر سرمایه‌گذاران به‌سرعت واکنش نشان می‌دهم و از آن‌ها پیروی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۱٫۰۵</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برای خرید یا فروش، به حجم معاملات و صف‌های خرید و فروش توجه می‌کنم تا هم‌جهت با بازار باشم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۲٫۴۵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بیشتر سرمایه‌گذاران سهمی را بخرند، من هم تمایل به خرید آن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در تصمیم‌گیری، نظر جمع را به تحلیل شخصی‌ام ترجیح می‌دهم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۰٫۰۸</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۶۶</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HRD</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تحت‌تأثیر تصمیم دوستان و اطرافیان فعال در بورس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۶۳</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خرید یک سهم، صورت‌های مالی شرکت را بررسی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۱۳</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از اطلاعات منتشرشده در سامانهٔ کدال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مانند گزارش فعالیت ماهانه و اطلاعیه‌های بااهمیت</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استفاده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سود هر سهم </w:t>
            </w:r>
            <w:r>
              <w:rPr>
                <w:rFonts w:eastAsia="Times New Roman" w:cs="B Nazanin"/>
                <w:sz w:val="19"/>
                <w:szCs w:val="19"/>
                <w:rtl w:val="true"/>
                <w:lang w:val="en-US" w:bidi="fa-IR"/>
              </w:rPr>
              <w:t>(</w:t>
            </w:r>
            <w:r>
              <w:rPr>
                <w:rFonts w:eastAsia="Times New Roman" w:cs="B Nazanin"/>
                <w:sz w:val="19"/>
                <w:szCs w:val="19"/>
                <w:lang w:val="en-US" w:bidi="fa-IR"/>
              </w:rPr>
              <w:t>EPS</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 xml:space="preserve">، نسبت قیمت به سود </w:t>
            </w:r>
            <w:r>
              <w:rPr>
                <w:rFonts w:eastAsia="Times New Roman" w:cs="B Nazanin"/>
                <w:sz w:val="19"/>
                <w:szCs w:val="19"/>
                <w:rtl w:val="true"/>
                <w:lang w:val="en-US" w:bidi="fa-IR"/>
              </w:rPr>
              <w:t>(</w:t>
            </w:r>
            <w:r>
              <w:rPr>
                <w:rFonts w:eastAsia="Times New Roman" w:cs="B Nazanin"/>
                <w:sz w:val="19"/>
                <w:szCs w:val="19"/>
                <w:lang w:val="en-US" w:bidi="fa-IR"/>
              </w:rPr>
              <w:t>P/E</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و سایر نسبت‌های مالی را در تصمیمم لحاظ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۰٫۲۰</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 گزارش حسابرس مستقل و یادداشت‌های توضیحی صورت‌های مالی توجه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۲٫۹۹</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کیفیت سود و جریان‌های نقدی شرکت را پیش از تصمیم ارزیابی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۰۱</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معمولاً بر تحلیل مستند استوارند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نتیجهٔ تصمیم‌های سرمایه‌گذاری خود در یک سال گذشته رضایت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بازده سبد من در یک سال گذشته مطابق انتظارم بوده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۲٫۷۳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من با اهداف مالی بلندمدتم هم‌راستا هستند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۰٫۵۵</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۳۴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۵</w:t>
            </w:r>
          </w:p>
        </w:tc>
        <w:tc>
          <w:tcPr>
            <w:tcW w:w="3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به‌ندرت از تصمیم‌های معاملاتی خود پشیمان می‌شوم</w:t>
            </w:r>
            <w:r>
              <w:rPr>
                <w:rFonts w:eastAsia="Times New Roman" w:cs="B Nazanin"/>
                <w:sz w:val="19"/>
                <w:szCs w:val="19"/>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۳٫۰۳</w:t>
            </w:r>
          </w:p>
        </w:tc>
        <w:tc>
          <w:tcPr>
            <w:tcW w:w="7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۰۹</w:t>
            </w:r>
            <w:r>
              <w:rPr>
                <w:rFonts w:ascii="Times New Roman" w:hAnsi="Times New Roman" w:eastAsia="Times New Roman"/>
                <w:sz w:val="19"/>
                <w:sz w:val="19"/>
                <w:szCs w:val="19"/>
                <w:rtl w:val="true"/>
                <w:lang w:val="en-US" w:bidi="fa-IR"/>
              </w:rPr>
              <w:t>⁩</w:t>
            </w:r>
          </w:p>
        </w:tc>
        <w:tc>
          <w:tcPr>
            <w:tcW w:w="7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۶۳</w:t>
            </w:r>
            <w:r>
              <w:rPr>
                <w:rFonts w:ascii="Times New Roman" w:hAnsi="Times New Roman" w:eastAsia="Times New Roman"/>
                <w:sz w:val="19"/>
                <w:sz w:val="19"/>
                <w:szCs w:val="19"/>
                <w:rtl w:val="true"/>
                <w:lang w:val="en-US" w:bidi="fa-IR"/>
              </w:rPr>
              <w:t>⁩</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برازش و روایی مدل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اندازه‌گیری پنج‌عاملی برازش مطلوبی نشان داد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نسبت </w:t>
      </w:r>
      <w:r>
        <w:rPr>
          <w:rFonts w:eastAsia="Times New Roman" w:cs="B Nazanin"/>
          <w:sz w:val="26"/>
          <w:szCs w:val="26"/>
          <w:lang w:val="en-US" w:bidi="fa-IR"/>
        </w:rPr>
        <w:t>χ²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درجهٔ آزادی </w:t>
      </w:r>
      <w:r>
        <w:rPr>
          <w:rFonts w:ascii="Times New Roman" w:hAnsi="Times New Roman" w:eastAsia="Times New Roman"/>
          <w:sz w:val="26"/>
          <w:sz w:val="26"/>
          <w:szCs w:val="26"/>
          <w:lang w:val="en-US" w:bidi="fa-IR"/>
        </w:rPr>
        <w:t>۱٫۳۴</w:t>
      </w:r>
      <w:r>
        <w:rPr>
          <w:rFonts w:ascii="Times New Roman" w:hAnsi="Times New Roman" w:eastAsia="Times New Roman"/>
          <w:sz w:val="26"/>
          <w:sz w:val="26"/>
          <w:szCs w:val="26"/>
          <w:rtl w:val="true"/>
          <w:lang w:val="en-US" w:bidi="fa-IR"/>
        </w:rPr>
        <w:t xml:space="preserve"> و شاخص‌های </w:t>
      </w:r>
      <w:r>
        <w:rPr>
          <w:rFonts w:eastAsia="Times New Roman" w:cs="B Nazanin"/>
          <w:sz w:val="26"/>
          <w:szCs w:val="26"/>
          <w:lang w:val="en-US" w:bidi="fa-IR"/>
        </w:rPr>
        <w:t>CFI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TLI</w:t>
      </w:r>
      <w:r>
        <w:rPr>
          <w:rFonts w:ascii="Times New Roman" w:hAnsi="Times New Roman" w:eastAsia="Times New Roman"/>
          <w:sz w:val="26"/>
          <w:sz w:val="26"/>
          <w:szCs w:val="26"/>
          <w:lang w:val="en-US" w:bidi="fa-IR"/>
        </w:rPr>
        <w:t xml:space="preserve">، </w:t>
      </w:r>
      <w:r>
        <w:rPr>
          <w:rFonts w:eastAsia="Times New Roman" w:cs="B Nazanin"/>
          <w:sz w:val="26"/>
          <w:szCs w:val="26"/>
          <w:lang w:val="en-US" w:bidi="fa-IR"/>
        </w:rPr>
        <w:t>RMSEA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w:t>
      </w:r>
      <w:r>
        <w:rPr>
          <w:rFonts w:eastAsia="Times New Roman" w:cs="B Nazanin"/>
          <w:sz w:val="26"/>
          <w:szCs w:val="26"/>
          <w:lang w:val="en-US" w:bidi="fa-IR"/>
        </w:rPr>
        <w:t>SRMR</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همگی در بازهٔ مطلوب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هو و بنتلر،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گرفتند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آلفای کرونباخ و پایایی ترکیبی همهٔ سازه‌ها بالاتر از </w:t>
      </w:r>
      <w:r>
        <w:rPr>
          <w:rFonts w:ascii="Times New Roman" w:hAnsi="Times New Roman" w:eastAsia="Times New Roman"/>
          <w:sz w:val="26"/>
          <w:sz w:val="26"/>
          <w:szCs w:val="26"/>
          <w:lang w:val="en-US" w:bidi="fa-IR"/>
        </w:rPr>
        <w:t>۰٫۷۰</w:t>
      </w:r>
      <w:r>
        <w:rPr>
          <w:rFonts w:ascii="Times New Roman" w:hAnsi="Times New Roman" w:eastAsia="Times New Roman"/>
          <w:sz w:val="26"/>
          <w:sz w:val="26"/>
          <w:szCs w:val="26"/>
          <w:rtl w:val="true"/>
          <w:lang w:val="en-US" w:bidi="fa-IR"/>
        </w:rPr>
        <w:t xml:space="preserve"> و میانگین واریانس استخراج‌شده در بازهٔ </w:t>
      </w:r>
      <w:r>
        <w:rPr>
          <w:rFonts w:ascii="Times New Roman" w:hAnsi="Times New Roman" w:eastAsia="Times New Roman"/>
          <w:sz w:val="26"/>
          <w:sz w:val="26"/>
          <w:szCs w:val="26"/>
          <w:lang w:val="en-US" w:bidi="fa-IR"/>
        </w:rPr>
        <w:t>۰٫۵۰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۰٫۵۴</w:t>
      </w:r>
      <w:r>
        <w:rPr>
          <w:rFonts w:ascii="Times New Roman" w:hAnsi="Times New Roman" w:eastAsia="Times New Roman"/>
          <w:sz w:val="26"/>
          <w:sz w:val="26"/>
          <w:szCs w:val="26"/>
          <w:rtl w:val="true"/>
          <w:lang w:val="en-US" w:bidi="fa-IR"/>
        </w:rPr>
        <w:t xml:space="preserve">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۷</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پس پایایی و روایی همگرا پذیرفتنی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شاخص‌های برازش مدل اندازه‌گیری، مدل ساختاری و مدل تک‌عاملی</w:t>
      </w:r>
    </w:p>
    <w:tbl>
      <w:tblPr>
        <w:bidiVisual w:val="true"/>
        <w:tblW w:w="8100" w:type="dxa"/>
        <w:jc w:val="center"/>
        <w:tblInd w:w="0" w:type="dxa"/>
        <w:tblLayout w:type="fixed"/>
        <w:tblCellMar>
          <w:top w:w="0" w:type="dxa"/>
          <w:left w:w="60" w:type="dxa"/>
          <w:bottom w:w="0" w:type="dxa"/>
          <w:right w:w="60" w:type="dxa"/>
        </w:tblCellMar>
      </w:tblPr>
      <w:tblGrid>
        <w:gridCol w:w="2499"/>
        <w:gridCol w:w="901"/>
        <w:gridCol w:w="599"/>
        <w:gridCol w:w="801"/>
        <w:gridCol w:w="800"/>
        <w:gridCol w:w="799"/>
        <w:gridCol w:w="900"/>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TLI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آستانهٔ مطلوب</w:t>
            </w:r>
          </w:p>
        </w:tc>
        <w:tc>
          <w:tcPr>
            <w:tcW w:w="9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5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&lt; </w:t>
            </w:r>
            <w:r>
              <w:rPr>
                <w:rFonts w:ascii="Times New Roman" w:hAnsi="Times New Roman" w:eastAsia="Times New Roman"/>
                <w:sz w:val="22"/>
                <w:sz w:val="22"/>
                <w:szCs w:val="22"/>
                <w:lang w:val="en-US" w:bidi="fa-IR"/>
              </w:rPr>
              <w:t>۳</w:t>
            </w:r>
          </w:p>
        </w:tc>
        <w:tc>
          <w:tcPr>
            <w:tcW w:w="8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۰٫۹۵</w:t>
            </w:r>
          </w:p>
        </w:tc>
        <w:tc>
          <w:tcPr>
            <w:tcW w:w="7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۰٫۹۵</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۰٫۰۶</w:t>
            </w:r>
          </w:p>
        </w:tc>
        <w:tc>
          <w:tcPr>
            <w:tcW w:w="8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 xml:space="preserve">≤ </w:t>
            </w:r>
            <w:r>
              <w:rPr>
                <w:rFonts w:ascii="Times New Roman" w:hAnsi="Times New Roman" w:eastAsia="Times New Roman"/>
                <w:sz w:val="22"/>
                <w:sz w:val="22"/>
                <w:szCs w:val="22"/>
                <w:lang w:val="en-US" w:bidi="fa-IR"/>
              </w:rPr>
              <w:t>۰٫۰۸</w:t>
            </w:r>
          </w:p>
        </w:tc>
      </w:tr>
      <w:tr>
        <w:trPr>
          <w:cantSplit w:val="true"/>
        </w:trPr>
        <w:tc>
          <w:tcPr>
            <w:tcW w:w="2499" w:type="dxa"/>
            <w:tcBorders/>
            <w:vAlign w:val="center"/>
          </w:tcPr>
          <w:p>
            <w:pPr>
              <w:pStyle w:val="Normal"/>
              <w:bidi w:val="1"/>
              <w:spacing w:lineRule="auto" w:line="240" w:before="40" w:after="40"/>
              <w:jc w:val="center"/>
              <w:rPr/>
            </w:pPr>
            <w:r>
              <w:rPr>
                <w:rFonts w:eastAsia="Times New Roman" w:cs="B Nazanin"/>
                <w:sz w:val="22"/>
                <w:szCs w:val="22"/>
                <w:lang w:val="en-US" w:bidi="fa-IR"/>
              </w:rPr>
              <w:t>CFA</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پنج‌عاملی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۳۸۸٫۰</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۲۸۹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۱٫۳۴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ساختاری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با تعامل پنهان</w:t>
            </w:r>
            <w:r>
              <w:rPr>
                <w:rFonts w:eastAsia="Times New Roman" w:cs="B Nazanin"/>
                <w:sz w:val="22"/>
                <w:szCs w:val="22"/>
                <w:rtl w:val="true"/>
                <w:lang w:val="en-US" w:bidi="fa-IR"/>
              </w:rPr>
              <w:t>)</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۶۱۷٫۷</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۵۱۵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۰٫۹۷۵</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۰٫۰۴۲</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تک‌عاملی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هارمن</w:t>
            </w:r>
            <w:r>
              <w:rPr>
                <w:rFonts w:eastAsia="Times New Roman" w:cs="B Nazanin"/>
                <w:sz w:val="22"/>
                <w:szCs w:val="22"/>
                <w:rtl w:val="true"/>
                <w:lang w:val="en-US" w:bidi="fa-IR"/>
              </w:rPr>
              <w:t>)</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۲۳۶۳٫۸</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۲۹۹</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۷٫۹۱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۰٫۵۲۲</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۰٫۴۸۰</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۰٫۱۳۴</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۰٫۱۲۹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8100" w:type="dxa"/>
        <w:jc w:val="center"/>
        <w:tblInd w:w="0" w:type="dxa"/>
        <w:tblLayout w:type="fixed"/>
        <w:tblCellMar>
          <w:top w:w="0" w:type="dxa"/>
          <w:left w:w="60" w:type="dxa"/>
          <w:bottom w:w="0" w:type="dxa"/>
          <w:right w:w="60" w:type="dxa"/>
        </w:tblCellMar>
      </w:tblPr>
      <w:tblGrid>
        <w:gridCol w:w="2600"/>
        <w:gridCol w:w="699"/>
        <w:gridCol w:w="1600"/>
        <w:gridCol w:w="800"/>
        <w:gridCol w:w="801"/>
        <w:gridCol w:w="799"/>
        <w:gridCol w:w="800"/>
      </w:tblGrid>
      <w:tr>
        <w:trPr>
          <w:tblHeader w:val="true"/>
        </w:trPr>
        <w:tc>
          <w:tcPr>
            <w:tcW w:w="2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گویه</w:t>
            </w:r>
          </w:p>
        </w:tc>
        <w:tc>
          <w:tcPr>
            <w:tcW w:w="1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دامنهٔ بار عاملی</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آلفا</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CR</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AVE</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rtl w:val="true"/>
                <w:lang w:val="en-US" w:bidi="fa-IR"/>
              </w:rPr>
              <w:t>√</w:t>
            </w:r>
            <w:r>
              <w:rPr>
                <w:rFonts w:eastAsia="Times New Roman" w:cs="B Nazanin"/>
                <w:b/>
                <w:bCs/>
                <w:sz w:val="24"/>
                <w:szCs w:val="24"/>
                <w:lang w:val="en-US" w:bidi="fa-IR"/>
              </w:rPr>
              <w:t>AVE</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۰٫۵۸</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۰٫۵۰۰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۰٫۷۰۷</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۰٫۶۷</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۰٫۸۷۵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۰٫۸۷۵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۰٫۵۴۰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۰٫۷۳۵</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رفتار توده‌وار </w:t>
            </w:r>
            <w:r>
              <w:rPr>
                <w:rFonts w:eastAsia="Times New Roman" w:cs="B Nazanin"/>
                <w:sz w:val="24"/>
                <w:szCs w:val="24"/>
                <w:rtl w:val="true"/>
                <w:lang w:val="en-US" w:bidi="fa-IR"/>
              </w:rPr>
              <w:t>(</w:t>
            </w:r>
            <w:r>
              <w:rPr>
                <w:rFonts w:eastAsia="Times New Roman" w:cs="B Nazanin"/>
                <w:sz w:val="24"/>
                <w:szCs w:val="24"/>
                <w:lang w:val="en-US" w:bidi="fa-IR"/>
              </w:rPr>
              <w:t>HRD</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۰٫۶۶</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۰٫۷۷</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۰٫۷۲۴</w:t>
            </w:r>
          </w:p>
        </w:tc>
      </w:tr>
      <w:tr>
        <w:trPr>
          <w:cantSplit w:val="true"/>
        </w:trPr>
        <w:tc>
          <w:tcPr>
            <w:tcW w:w="2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۰٫۵۹</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۰٫۷۲۵</w:t>
            </w:r>
          </w:p>
        </w:tc>
      </w:tr>
      <w:tr>
        <w:trPr>
          <w:cantSplit w:val="true"/>
        </w:trPr>
        <w:tc>
          <w:tcPr>
            <w:tcW w:w="2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کیفیت تصمیم </w:t>
            </w:r>
            <w:r>
              <w:rPr>
                <w:rFonts w:eastAsia="Times New Roman" w:cs="B Nazanin"/>
                <w:sz w:val="24"/>
                <w:szCs w:val="24"/>
                <w:rtl w:val="true"/>
                <w:lang w:val="en-US" w:bidi="fa-IR"/>
              </w:rPr>
              <w:t>(</w:t>
            </w:r>
            <w:r>
              <w:rPr>
                <w:rFonts w:eastAsia="Times New Roman" w:cs="B Nazanin"/>
                <w:sz w:val="24"/>
                <w:szCs w:val="24"/>
                <w:lang w:val="en-US" w:bidi="fa-IR"/>
              </w:rPr>
              <w:t>IDQ</w:t>
            </w:r>
            <w:r>
              <w:rPr>
                <w:rFonts w:eastAsia="Times New Roman" w:cs="B Nazanin"/>
                <w:sz w:val="24"/>
                <w:szCs w:val="24"/>
                <w:rtl w:val="true"/>
                <w:lang w:val="en-US" w:bidi="fa-IR"/>
              </w:rPr>
              <w:t>)</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1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۰٫۶۴</w:t>
            </w:r>
            <w:r>
              <w:rPr>
                <w:rFonts w:ascii="Times New Roman" w:hAnsi="Times New Roman" w:eastAsia="Times New Roman"/>
                <w:sz w:val="24"/>
                <w:sz w:val="24"/>
                <w:szCs w:val="24"/>
                <w:rtl w:val="true"/>
                <w:lang w:val="en-US" w:bidi="fa-IR"/>
              </w:rPr>
              <w:t>–</w:t>
            </w:r>
            <w:r>
              <w:rPr>
                <w:rFonts w:ascii="Times New Roman" w:hAnsi="Times New Roman" w:eastAsia="Times New Roman"/>
                <w:sz w:val="24"/>
                <w:sz w:val="24"/>
                <w:szCs w:val="24"/>
                <w:lang w:val="en-US" w:bidi="fa-IR"/>
              </w:rPr>
              <w:t>۰٫۸۱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۰٫۸۴۵</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۰٫۸۴۶</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۰٫۵۲۶</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۰٫۷۲۵</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روایی واگرا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پنهان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زیر قطر</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w:t>
      </w:r>
      <w:r>
        <w:rPr>
          <w:rFonts w:eastAsia="Times New Roman" w:cs="B Zar"/>
          <w:b/>
          <w:bCs/>
          <w:sz w:val="20"/>
          <w:szCs w:val="20"/>
          <w:lang w:val="en-US" w:bidi="fa-IR"/>
        </w:rPr>
        <w:t>HTMT</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بالای قطر</w:t>
      </w:r>
      <w:r>
        <w:rPr>
          <w:rFonts w:eastAsia="Times New Roman" w:cs="B Zar"/>
          <w:b/>
          <w:bCs/>
          <w:sz w:val="20"/>
          <w:szCs w:val="20"/>
          <w:rtl w:val="true"/>
          <w:lang w:val="en-US" w:bidi="fa-IR"/>
        </w:rPr>
        <w:t>)</w:t>
      </w:r>
    </w:p>
    <w:tbl>
      <w:tblPr>
        <w:bidiVisual w:val="true"/>
        <w:tblW w:w="8300" w:type="dxa"/>
        <w:jc w:val="center"/>
        <w:tblInd w:w="0" w:type="dxa"/>
        <w:tblLayout w:type="fixed"/>
        <w:tblCellMar>
          <w:top w:w="0" w:type="dxa"/>
          <w:left w:w="60" w:type="dxa"/>
          <w:bottom w:w="0" w:type="dxa"/>
          <w:right w:w="60" w:type="dxa"/>
        </w:tblCellMar>
      </w:tblPr>
      <w:tblGrid>
        <w:gridCol w:w="2799"/>
        <w:gridCol w:w="1101"/>
        <w:gridCol w:w="1099"/>
        <w:gridCol w:w="1100"/>
        <w:gridCol w:w="1101"/>
        <w:gridCol w:w="1099"/>
      </w:tblGrid>
      <w:tr>
        <w:trPr>
          <w:tblHeader w:val="true"/>
        </w:trPr>
        <w:tc>
          <w:tcPr>
            <w:tcW w:w="2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۱</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۲</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۳</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۴</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lang w:val="en-US" w:bidi="fa-IR"/>
              </w:rPr>
              <w:t>۵</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۰٫۷۰۷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۰٫۲۷</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۰٫۷۳۵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۰٫۵۹</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۰٫۱۹</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۰٫۳۶</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رفتار توده‌وار </w:t>
            </w:r>
            <w:r>
              <w:rPr>
                <w:rFonts w:eastAsia="Times New Roman" w:cs="B Nazanin"/>
                <w:sz w:val="22"/>
                <w:szCs w:val="22"/>
                <w:rtl w:val="true"/>
                <w:lang w:val="en-US" w:bidi="fa-IR"/>
              </w:rPr>
              <w:t>(</w:t>
            </w:r>
            <w:r>
              <w:rPr>
                <w:rFonts w:eastAsia="Times New Roman" w:cs="B Nazanin"/>
                <w:sz w:val="22"/>
                <w:szCs w:val="22"/>
                <w:lang w:val="en-US" w:bidi="fa-IR"/>
              </w:rPr>
              <w:t>HRD</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۰٫۵۹</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۰٫۷۲۴</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۰٫۲۸</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2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۱۸</w:t>
            </w:r>
            <w:r>
              <w:rPr>
                <w:rFonts w:ascii="Times New Roman" w:hAnsi="Times New Roman" w:eastAsia="Times New Roman"/>
                <w:sz w:val="22"/>
                <w:sz w:val="22"/>
                <w:szCs w:val="22"/>
                <w:rtl w:val="true"/>
                <w:lang w:val="en-US" w:bidi="fa-IR"/>
              </w:rPr>
              <w:t>⁩</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۱۹</w:t>
            </w:r>
            <w:r>
              <w:rPr>
                <w:rFonts w:ascii="Times New Roman" w:hAnsi="Times New Roman" w:eastAsia="Times New Roman"/>
                <w:sz w:val="22"/>
                <w:sz w:val="22"/>
                <w:szCs w:val="22"/>
                <w:rtl w:val="true"/>
                <w:lang w:val="en-US" w:bidi="fa-IR"/>
              </w:rPr>
              <w:t>⁩</w:t>
            </w:r>
          </w:p>
        </w:tc>
        <w:tc>
          <w:tcPr>
            <w:tcW w:w="11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۲۸</w:t>
            </w:r>
            <w:r>
              <w:rPr>
                <w:rFonts w:ascii="Times New Roman" w:hAnsi="Times New Roman" w:eastAsia="Times New Roman"/>
                <w:sz w:val="22"/>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۰٫۷۲۵</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r>
      <w:tr>
        <w:trPr>
          <w:cantSplit w:val="true"/>
        </w:trPr>
        <w:tc>
          <w:tcPr>
            <w:tcW w:w="2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۲۷</w:t>
            </w:r>
            <w:r>
              <w:rPr>
                <w:rFonts w:ascii="Times New Roman" w:hAnsi="Times New Roman" w:eastAsia="Times New Roman"/>
                <w:sz w:val="22"/>
                <w:sz w:val="22"/>
                <w:szCs w:val="22"/>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۳۴</w:t>
            </w:r>
            <w:r>
              <w:rPr>
                <w:rFonts w:ascii="Times New Roman" w:hAnsi="Times New Roman" w:eastAsia="Times New Roman"/>
                <w:sz w:val="22"/>
                <w:sz w:val="22"/>
                <w:szCs w:val="22"/>
                <w:rtl w:val="true"/>
                <w:lang w:val="en-US" w:bidi="fa-IR"/>
              </w:rPr>
              <w:t>⁩</w:t>
            </w:r>
          </w:p>
        </w:tc>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۵۱</w:t>
            </w:r>
            <w:r>
              <w:rPr>
                <w:rFonts w:ascii="Times New Roman" w:hAnsi="Times New Roman" w:eastAsia="Times New Roman"/>
                <w:sz w:val="22"/>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۰٫۵۴</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۰٫۷۲۵</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همبستگی‌ها از مدل </w:t>
      </w:r>
      <w:r>
        <w:rPr>
          <w:rFonts w:eastAsia="Times New Roman" w:cs="B Nazanin"/>
          <w:sz w:val="20"/>
          <w:szCs w:val="20"/>
          <w:lang w:val="en-US" w:bidi="fa-IR"/>
        </w:rPr>
        <w:t>CFA</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برآورد شده‌اند؛ سازه‌ها به ترتیب جدول</w:t>
      </w:r>
      <w:r>
        <w:rPr>
          <w:rFonts w:eastAsia="Times New Roman" w:cs="B Nazanin"/>
          <w:sz w:val="20"/>
          <w:szCs w:val="20"/>
          <w:rtl w:val="true"/>
          <w:lang w:val="en-US" w:bidi="fa-IR"/>
        </w:rPr>
        <w:t xml:space="preserve">: </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rtl w:val="true"/>
          <w:lang w:val="en-US" w:bidi="fa-IR"/>
        </w:rPr>
        <w:t xml:space="preserve"> </w:t>
      </w:r>
      <w:r>
        <w:rPr>
          <w:rFonts w:eastAsia="Times New Roman" w:cs="B Nazanin"/>
          <w:sz w:val="20"/>
          <w:szCs w:val="20"/>
          <w:rtl w:val="true"/>
          <w:lang w:val="en-US" w:bidi="fa-IR"/>
        </w:rPr>
        <w:t xml:space="preserve">= </w:t>
      </w:r>
      <w:r>
        <w:rPr>
          <w:rFonts w:eastAsia="Times New Roman" w:cs="B Nazanin"/>
          <w:sz w:val="20"/>
          <w:szCs w:val="20"/>
          <w:lang w:val="en-US" w:bidi="fa-IR"/>
        </w:rPr>
        <w:t>SME</w:t>
      </w:r>
      <w:r>
        <w:rPr>
          <w:rFonts w:ascii="Times New Roman" w:hAnsi="Times New Roman" w:eastAsia="Times New Roman"/>
          <w:sz w:val="20"/>
          <w:sz w:val="20"/>
          <w:szCs w:val="20"/>
          <w:lang w:val="en-US" w:bidi="fa-IR"/>
        </w:rPr>
        <w:t xml:space="preserve">، ۲ </w:t>
      </w:r>
      <w:r>
        <w:rPr>
          <w:rFonts w:eastAsia="Times New Roman" w:cs="B Nazanin"/>
          <w:sz w:val="20"/>
          <w:szCs w:val="20"/>
          <w:lang w:val="en-US" w:bidi="fa-IR"/>
        </w:rPr>
        <w:t>= FOMO</w:t>
      </w:r>
      <w:r>
        <w:rPr>
          <w:rFonts w:ascii="Times New Roman" w:hAnsi="Times New Roman" w:eastAsia="Times New Roman"/>
          <w:sz w:val="20"/>
          <w:sz w:val="20"/>
          <w:szCs w:val="20"/>
          <w:lang w:val="en-US" w:bidi="fa-IR"/>
        </w:rPr>
        <w:t xml:space="preserve">، ۳ </w:t>
      </w:r>
      <w:r>
        <w:rPr>
          <w:rFonts w:eastAsia="Times New Roman" w:cs="B Nazanin"/>
          <w:sz w:val="20"/>
          <w:szCs w:val="20"/>
          <w:lang w:val="en-US" w:bidi="fa-IR"/>
        </w:rPr>
        <w:t>= HRD</w:t>
      </w:r>
      <w:r>
        <w:rPr>
          <w:rFonts w:ascii="Times New Roman" w:hAnsi="Times New Roman" w:eastAsia="Times New Roman"/>
          <w:sz w:val="20"/>
          <w:sz w:val="20"/>
          <w:szCs w:val="20"/>
          <w:lang w:val="en-US" w:bidi="fa-IR"/>
        </w:rPr>
        <w:t xml:space="preserve">، ۴ </w:t>
      </w:r>
      <w:r>
        <w:rPr>
          <w:rFonts w:eastAsia="Times New Roman" w:cs="B Nazanin"/>
          <w:sz w:val="20"/>
          <w:szCs w:val="20"/>
          <w:lang w:val="en-US" w:bidi="fa-IR"/>
        </w:rPr>
        <w:t>= AIU</w:t>
      </w:r>
      <w:r>
        <w:rPr>
          <w:rFonts w:ascii="Times New Roman" w:hAnsi="Times New Roman" w:eastAsia="Times New Roman"/>
          <w:sz w:val="20"/>
          <w:sz w:val="20"/>
          <w:szCs w:val="20"/>
          <w:lang w:val="en-US" w:bidi="fa-IR"/>
        </w:rPr>
        <w:t xml:space="preserve">، ۵ </w:t>
      </w:r>
      <w:r>
        <w:rPr>
          <w:rFonts w:eastAsia="Times New Roman" w:cs="B Nazanin"/>
          <w:sz w:val="20"/>
          <w:szCs w:val="20"/>
          <w:lang w:val="en-US" w:bidi="fa-IR"/>
        </w:rPr>
        <w:t>= IDQ</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جذر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سازه از همبستگی آن با سازه‌های دیگر بزرگ‌تر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معیار فورنل ـ لارکر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۰٫۵۹</w:t>
      </w:r>
      <w:r>
        <w:rPr>
          <w:rFonts w:ascii="Times New Roman" w:hAnsi="Times New Roman" w:eastAsia="Times New Roman"/>
          <w:sz w:val="26"/>
          <w:sz w:val="26"/>
          <w:szCs w:val="26"/>
          <w:rtl w:val="true"/>
          <w:lang w:val="en-US" w:bidi="fa-IR"/>
        </w:rPr>
        <w:t xml:space="preserve"> و کمتر از آستانهٔ </w:t>
      </w:r>
      <w:r>
        <w:rPr>
          <w:rFonts w:ascii="Times New Roman" w:hAnsi="Times New Roman" w:eastAsia="Times New Roman"/>
          <w:sz w:val="26"/>
          <w:sz w:val="26"/>
          <w:szCs w:val="26"/>
          <w:lang w:val="en-US" w:bidi="fa-IR"/>
        </w:rPr>
        <w:t>۰٫۸۵</w:t>
      </w:r>
      <w:r>
        <w:rPr>
          <w:rFonts w:ascii="Times New Roman" w:hAnsi="Times New Roman" w:eastAsia="Times New Roman"/>
          <w:sz w:val="26"/>
          <w:sz w:val="26"/>
          <w:szCs w:val="26"/>
          <w:rtl w:val="true"/>
          <w:lang w:val="en-US" w:bidi="fa-IR"/>
        </w:rPr>
        <w:t xml:space="preserve"> به‌دست آمد؛ بنابراین روایی واگرا برقرار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بیشینهٔ قدر مطلق همبستگی پنهان </w:t>
      </w:r>
      <w:r>
        <w:rPr>
          <w:rFonts w:ascii="Times New Roman" w:hAnsi="Times New Roman" w:eastAsia="Times New Roman"/>
          <w:sz w:val="26"/>
          <w:sz w:val="26"/>
          <w:szCs w:val="26"/>
          <w:lang w:val="en-US" w:bidi="fa-IR"/>
        </w:rPr>
        <w:t>۰٫۵۹</w:t>
      </w:r>
      <w:r>
        <w:rPr>
          <w:rFonts w:ascii="Times New Roman" w:hAnsi="Times New Roman" w:eastAsia="Times New Roman"/>
          <w:sz w:val="26"/>
          <w:sz w:val="26"/>
          <w:szCs w:val="26"/>
          <w:rtl w:val="true"/>
          <w:lang w:val="en-US" w:bidi="fa-IR"/>
        </w:rPr>
        <w:t xml:space="preserve"> است و شاخص تورم واریانس پیش‌بینی‌کننده‌های 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محاسبه‌شده از ماتریس همبستگی پنهان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بازهٔ </w:t>
      </w:r>
      <w:r>
        <w:rPr>
          <w:rFonts w:ascii="Times New Roman" w:hAnsi="Times New Roman" w:eastAsia="Times New Roman"/>
          <w:sz w:val="26"/>
          <w:sz w:val="26"/>
          <w:szCs w:val="26"/>
          <w:lang w:val="en-US" w:bidi="fa-IR"/>
        </w:rPr>
        <w:t>۱٫۰۵</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۱٫۷۴</w:t>
      </w:r>
      <w:r>
        <w:rPr>
          <w:rFonts w:ascii="Times New Roman" w:hAnsi="Times New Roman" w:eastAsia="Times New Roman"/>
          <w:sz w:val="26"/>
          <w:sz w:val="26"/>
          <w:szCs w:val="26"/>
          <w:rtl w:val="true"/>
          <w:lang w:val="en-US" w:bidi="fa-IR"/>
        </w:rPr>
        <w:t xml:space="preserve"> قرار داشت؛ مشکل هم‌خطی وجود ندارد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آزمون تک‌عاملی هارمن نشان داد عامل نخست </w:t>
      </w:r>
      <w:r>
        <w:rPr>
          <w:rFonts w:ascii="Times New Roman" w:hAnsi="Times New Roman" w:eastAsia="Times New Roman"/>
          <w:sz w:val="26"/>
          <w:sz w:val="26"/>
          <w:szCs w:val="26"/>
          <w:lang w:val="en-US" w:bidi="fa-IR"/>
        </w:rPr>
        <w:t>۲۹٫۴</w:t>
      </w:r>
      <w:r>
        <w:rPr>
          <w:rFonts w:ascii="Times New Roman" w:hAnsi="Times New Roman" w:eastAsia="Times New Roman"/>
          <w:sz w:val="26"/>
          <w:sz w:val="26"/>
          <w:szCs w:val="26"/>
          <w:rtl w:val="true"/>
          <w:lang w:val="en-US" w:bidi="fa-IR"/>
        </w:rPr>
        <w:t xml:space="preserve">٪ از واریانس را تبیین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۵۰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تک‌عاملی برازش بسیار ضعیفی داشت </w:t>
      </w:r>
      <w:r>
        <w:rPr>
          <w:rFonts w:eastAsia="Times New Roman" w:cs="B Nazanin"/>
          <w:sz w:val="26"/>
          <w:szCs w:val="26"/>
          <w:rtl w:val="true"/>
          <w:lang w:val="en-US" w:bidi="fa-IR"/>
        </w:rPr>
        <w:t>(⁦</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مدل عامل روش مشترک، میانگین واریانس مشترک روش </w:t>
      </w:r>
      <w:r>
        <w:rPr>
          <w:rFonts w:ascii="Times New Roman" w:hAnsi="Times New Roman" w:eastAsia="Times New Roman"/>
          <w:sz w:val="26"/>
          <w:sz w:val="26"/>
          <w:szCs w:val="26"/>
          <w:lang w:val="en-US" w:bidi="fa-IR"/>
        </w:rPr>
        <w:t>۱۴٫۷</w:t>
      </w:r>
      <w:r>
        <w:rPr>
          <w:rFonts w:ascii="Times New Roman" w:hAnsi="Times New Roman" w:eastAsia="Times New Roman"/>
          <w:sz w:val="26"/>
          <w:sz w:val="26"/>
          <w:szCs w:val="26"/>
          <w:rtl w:val="true"/>
          <w:lang w:val="en-US" w:bidi="fa-IR"/>
        </w:rPr>
        <w:t xml:space="preserve">٪ بود که از معیار </w:t>
      </w:r>
      <w:r>
        <w:rPr>
          <w:rFonts w:ascii="Times New Roman" w:hAnsi="Times New Roman" w:eastAsia="Times New Roman"/>
          <w:sz w:val="26"/>
          <w:sz w:val="26"/>
          <w:szCs w:val="26"/>
          <w:lang w:val="en-US" w:bidi="fa-IR"/>
        </w:rPr>
        <w:t>۲۵</w:t>
      </w:r>
      <w:r>
        <w:rPr>
          <w:rFonts w:ascii="Times New Roman" w:hAnsi="Times New Roman" w:eastAsia="Times New Roman"/>
          <w:sz w:val="26"/>
          <w:sz w:val="26"/>
          <w:szCs w:val="26"/>
          <w:rtl w:val="true"/>
          <w:lang w:val="en-US" w:bidi="fa-IR"/>
        </w:rPr>
        <w:t>٪ پایین‌تر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سوگیری روش مشترک تهدید جدی برای نتایج نیست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ساختاری و آزمون فرضیه‌ها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ساختاری مکنون کامل، شامل </w:t>
      </w:r>
      <w:r>
        <w:rPr>
          <w:rFonts w:ascii="Times New Roman" w:hAnsi="Times New Roman" w:eastAsia="Times New Roman"/>
          <w:sz w:val="26"/>
          <w:sz w:val="26"/>
          <w:szCs w:val="26"/>
          <w:lang w:val="en-US" w:bidi="fa-IR"/>
        </w:rPr>
        <w:t>۲۶</w:t>
      </w:r>
      <w:r>
        <w:rPr>
          <w:rFonts w:ascii="Times New Roman" w:hAnsi="Times New Roman" w:eastAsia="Times New Roman"/>
          <w:sz w:val="26"/>
          <w:sz w:val="26"/>
          <w:szCs w:val="26"/>
          <w:rtl w:val="true"/>
          <w:lang w:val="en-US" w:bidi="fa-IR"/>
        </w:rPr>
        <w:t xml:space="preserve"> گویهٔ اندازه‌گیری و پنج شاخص حاصل‌ضرب تعامل، برازش مطلوبی داشت </w:t>
      </w:r>
      <w:r>
        <w:rPr>
          <w:rFonts w:eastAsia="Times New Roman" w:cs="B Nazanin"/>
          <w:sz w:val="26"/>
          <w:szCs w:val="26"/>
          <w:rtl w:val="true"/>
          <w:lang w:val="en-US" w:bidi="fa-IR"/>
        </w:rPr>
        <w:t>(⁦</w:t>
      </w:r>
      <w:r>
        <w:rPr>
          <w:rFonts w:eastAsia="Times New Roman" w:cs="B Nazanin"/>
          <w:sz w:val="26"/>
          <w:szCs w:val="26"/>
          <w:lang w:val="en-US" w:bidi="fa-IR"/>
        </w:rPr>
        <w:t xml:space="preserve">χ²/df =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۹۷۷</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TLI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۹۷۵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۰۲۳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SRMR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۰۴۲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مدل برآوردشده را با همهٔ گویه‌ها و بارهای عاملی استاندارد نشان می‌دهد و جدول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ضرایب مسیر را ارائه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مواجهه با محتوا اثر مثبت و نیرومندی بر فومو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۸</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بر رفتار توده‌وار اثر مثبت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رفتار توده‌وار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مواجهه بر رفتار توده‌وار نیز مثبت و معنادار 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۲۹</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استفاده از اطلاعات حسابداری اثر مثبتی بر کیفیت تصمیم داشت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فومو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۰۶</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۰٫۳۸۰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مستقیم مواجهه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۰٫۸۵۲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 کیفیت تصمیم معنادار نبود؛ یعنی اثر این دو متغیر عمدتاً از مسیر رفتار توده‌وار منتقل می‌شود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687695" cy="394144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3"/>
                    <a:stretch>
                      <a:fillRect/>
                    </a:stretch>
                  </pic:blipFill>
                  <pic:spPr bwMode="auto">
                    <a:xfrm>
                      <a:off x="0" y="0"/>
                      <a:ext cx="5687695" cy="394144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معادلات ساختاری برآوردشده با متغیرهای پنهان، گویه‌ها و ضرایب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bidi w:val="1"/>
        <w:spacing w:lineRule="auto" w:line="240" w:before="0" w:after="50"/>
        <w:jc w:val="both"/>
        <w:rPr/>
      </w:pPr>
      <w:r>
        <w:rPr>
          <w:rFonts w:ascii="Times New Roman" w:hAnsi="Times New Roman" w:eastAsia="Times New Roman"/>
          <w:sz w:val="22"/>
          <w:sz w:val="22"/>
          <w:szCs w:val="22"/>
          <w:rtl w:val="true"/>
          <w:lang w:val="en-US" w:bidi="fa-IR"/>
        </w:rPr>
        <w:t>توضیح شکل</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بیضی‌ها متغیرهای پنهان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نام فارسی و نماد لاتین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مستطیل‌ها گویه‌ها هستند؛ اعداد روی پیکان‌های گویه‌ها بار عاملی استاندارد و اعداد روی مسیرهای ساختاری ضریب استاندارد </w:t>
      </w:r>
      <w:r>
        <w:rPr>
          <w:rFonts w:eastAsia="Times New Roman" w:cs="B Nazanin"/>
          <w:sz w:val="22"/>
          <w:szCs w:val="22"/>
          <w:rtl w:val="true"/>
          <w:lang w:val="en-US" w:bidi="fa-IR"/>
        </w:rPr>
        <w:t>(∗∗∗ ‏</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است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متغیرهای کنترل، شاخص‌های حاصل‌ضرب تعامل، خطاهای اندازه‌گیری و مسیرهای مستقیم غیرمعنادار فومو و مواجهه به کیفیت تصمیم برای وضوح نشان داده نشده‌اند</w:t>
      </w:r>
      <w:r>
        <w:rPr>
          <w:rFonts w:eastAsia="Times New Roman" w:cs="B Nazanin"/>
          <w:sz w:val="22"/>
          <w:szCs w:val="22"/>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برآورد ضرایب مسیر ساختاری</w:t>
      </w:r>
    </w:p>
    <w:tbl>
      <w:tblPr>
        <w:bidiVisual w:val="true"/>
        <w:tblW w:w="8700" w:type="dxa"/>
        <w:jc w:val="center"/>
        <w:tblInd w:w="0" w:type="dxa"/>
        <w:tblLayout w:type="fixed"/>
        <w:tblCellMar>
          <w:top w:w="0" w:type="dxa"/>
          <w:left w:w="60" w:type="dxa"/>
          <w:bottom w:w="0" w:type="dxa"/>
          <w:right w:w="60" w:type="dxa"/>
        </w:tblCellMar>
      </w:tblPr>
      <w:tblGrid>
        <w:gridCol w:w="2999"/>
        <w:gridCol w:w="701"/>
        <w:gridCol w:w="799"/>
        <w:gridCol w:w="801"/>
        <w:gridCol w:w="899"/>
        <w:gridCol w:w="801"/>
        <w:gridCol w:w="800"/>
        <w:gridCol w:w="899"/>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مسیر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فرضیه</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b</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β</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خطای معیار</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z</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p</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معناداری</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فومو</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۰٫۵۰۰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۰٫۴۸۶</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۰٫۰۶۱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۸٫۲۳</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۲</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۰٫۳۵۹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۰٫۴۱۰</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۶٫۶۲</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رفتار توده‌وار ← کیفیت تصمیم</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۳</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۳۶۰</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۳۵۴</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۰٫۰۷۶</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۴</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۷۳</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۰٫۲۶۰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۰٫۲۸۸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۴٫۷۵</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فومو </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اطلاعات حسابداری ← رفتار توده‌وار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۱۹۱</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۱۸۵</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۰٫۰۵۷</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۳</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۳۲</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اطلاعات حسابداری ← کیفیت تصمیم</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۸</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۰٫۳۹۵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۰٫۴۲۸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۷٫۵۴</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کیفیت تصمیم</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۰۵۳</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۰۵۹</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۰٫۰۶۰</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۸۸</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۰٫۳۸۰</w:t>
            </w:r>
          </w:p>
        </w:tc>
        <w:tc>
          <w:tcPr>
            <w:tcW w:w="89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کیفیت تصمیم</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۰٫۰۱۲</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۰٫۱۹</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۰٫۸۵۲</w:t>
            </w:r>
          </w:p>
        </w:tc>
        <w:tc>
          <w:tcPr>
            <w:tcW w:w="89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اطلاعات حسابداری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7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۱۱۷</w:t>
            </w:r>
            <w:r>
              <w:rPr>
                <w:rFonts w:ascii="Times New Roman" w:hAnsi="Times New Roman" w:eastAsia="Times New Roman"/>
                <w:sz w:val="21"/>
                <w:sz w:val="21"/>
                <w:szCs w:val="21"/>
                <w:rtl w:val="true"/>
                <w:lang w:val="en-US" w:bidi="fa-IR"/>
              </w:rPr>
              <w:t>⁩</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۱۱۴</w:t>
            </w:r>
            <w:r>
              <w:rPr>
                <w:rFonts w:ascii="Times New Roman" w:hAnsi="Times New Roman" w:eastAsia="Times New Roman"/>
                <w:sz w:val="21"/>
                <w:sz w:val="21"/>
                <w:szCs w:val="21"/>
                <w:rtl w:val="true"/>
                <w:lang w:val="en-US" w:bidi="fa-IR"/>
              </w:rPr>
              <w:t>⁩</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1"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۲</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۱۳</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۰٫۰۳۴</w:t>
            </w:r>
          </w:p>
        </w:tc>
        <w:tc>
          <w:tcPr>
            <w:tcW w:w="8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اطلاعات حسابداری ← رفتار توده‌وار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۱۱۹</w:t>
            </w:r>
            <w:r>
              <w:rPr>
                <w:rFonts w:ascii="Times New Roman" w:hAnsi="Times New Roman" w:eastAsia="Times New Roman"/>
                <w:sz w:val="21"/>
                <w:sz w:val="21"/>
                <w:szCs w:val="21"/>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۱۳۱</w:t>
            </w:r>
            <w:r>
              <w:rPr>
                <w:rFonts w:ascii="Times New Roman" w:hAnsi="Times New Roman" w:eastAsia="Times New Roman"/>
                <w:sz w:val="21"/>
                <w:sz w:val="21"/>
                <w:szCs w:val="21"/>
                <w:rtl w:val="true"/>
                <w:lang w:val="en-US" w:bidi="fa-IR"/>
              </w:rPr>
              <w:t>⁩</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۰٫۰۴۵</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۲</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۶۵</w:t>
            </w:r>
            <w:r>
              <w:rPr>
                <w:rFonts w:ascii="Times New Roman" w:hAnsi="Times New Roman" w:eastAsia="Times New Roman"/>
                <w:sz w:val="21"/>
                <w:sz w:val="21"/>
                <w:szCs w:val="21"/>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۰٫۰۰۸</w:t>
            </w:r>
          </w:p>
        </w:tc>
        <w:tc>
          <w:tcPr>
            <w:tcW w:w="8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eastAsia="Times New Roman" w:cs="B Nazanin"/>
          <w:sz w:val="20"/>
          <w:szCs w:val="20"/>
          <w:lang w:val="en-US" w:bidi="fa-IR"/>
        </w:rPr>
        <w:t>b</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ضریب ناستاندارد و </w:t>
      </w:r>
      <w:r>
        <w:rPr>
          <w:rFonts w:eastAsia="Times New Roman" w:cs="B Nazanin"/>
          <w:sz w:val="20"/>
          <w:szCs w:val="20"/>
          <w:lang w:val="en-US" w:bidi="fa-IR"/>
        </w:rPr>
        <w:t>β</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ضریب استاندارد است؛ سن، جنسیت و سابقه به‌عنوان کنترل وارد شدند</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معناداری</w:t>
      </w:r>
      <w:r>
        <w:rPr>
          <w:rFonts w:eastAsia="Times New Roman" w:cs="B Nazanin"/>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۰٫۰۵</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بر پایهٔ واریانس باقی‌ماندهٔ استاندارد متغیرهای پنهان درون‌زا، مدل </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xml:space="preserve">٪ از واریانس فومو، </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xml:space="preserve">٪ از واریانس رفتار توده‌وار و </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 xml:space="preserve">٪ از واریانس کیفیت تصمیم را تبیین کرد </w:t>
      </w:r>
      <w:r>
        <w:rPr>
          <w:rFonts w:eastAsia="Times New Roman" w:cs="B Nazanin"/>
          <w:sz w:val="26"/>
          <w:szCs w:val="26"/>
          <w:rtl w:val="true"/>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افزودن جملهٔ تعاملی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رفتار توده‌وار را از </w:t>
      </w:r>
      <w:r>
        <w:rPr>
          <w:rFonts w:ascii="Times New Roman" w:hAnsi="Times New Roman" w:eastAsia="Times New Roman"/>
          <w:sz w:val="26"/>
          <w:sz w:val="26"/>
          <w:szCs w:val="26"/>
          <w:lang w:val="en-US" w:bidi="fa-IR"/>
        </w:rPr>
        <w:t>۰٫۴۵</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رساند و اندازهٔ اثر آن ⁦</w:t>
      </w:r>
      <w:r>
        <w:rPr>
          <w:rFonts w:eastAsia="Times New Roman" w:cs="B Nazanin"/>
          <w:sz w:val="26"/>
          <w:szCs w:val="26"/>
          <w:lang w:val="en-US" w:bidi="fa-IR"/>
        </w:rPr>
        <w:t xml:space="preserve">f²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۰۶۳</w:t>
      </w:r>
      <w:r>
        <w:rPr>
          <w:rFonts w:ascii="Times New Roman" w:hAnsi="Times New Roman" w:eastAsia="Times New Roman"/>
          <w:sz w:val="26"/>
          <w:sz w:val="26"/>
          <w:szCs w:val="26"/>
          <w:rtl w:val="true"/>
          <w:lang w:val="en-US" w:bidi="fa-IR"/>
        </w:rPr>
        <w:t xml:space="preserve">⁩ است که طبق معیار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کوهن، </w:t>
      </w:r>
      <w:r>
        <w:rPr>
          <w:rFonts w:ascii="Times New Roman" w:hAnsi="Times New Roman" w:eastAsia="Times New Roman"/>
          <w:sz w:val="26"/>
          <w:sz w:val="26"/>
          <w:szCs w:val="26"/>
          <w:lang w:val="en-US" w:bidi="fa-IR"/>
        </w:rPr>
        <w:t>۱۹۸۸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قلمرو اثر کوچک تا متوسط قرار می‌گیرد؛ چنین اندازه‌ای برای تعامل‌های پیمایشی معمول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میانجی‌گری متوالی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اثر غیرمستقیم متوالی مواجهه ← فومو ← رفتار توده‌وار ← کیفیت تصمیم در سطح استاندارد برابر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۰۷۱</w:t>
      </w:r>
      <w:r>
        <w:rPr>
          <w:rFonts w:ascii="Times New Roman" w:hAnsi="Times New Roman" w:eastAsia="Times New Roman"/>
          <w:sz w:val="26"/>
          <w:sz w:val="26"/>
          <w:szCs w:val="26"/>
          <w:rtl w:val="true"/>
          <w:lang w:val="en-US" w:bidi="fa-IR"/>
        </w:rPr>
        <w:t xml:space="preserve">⁩ با فاصلهٔ اطمینان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۱۱۱</w:t>
      </w:r>
      <w:r>
        <w:rPr>
          <w:rFonts w:ascii="Times New Roman" w:hAnsi="Times New Roman" w:eastAsia="Times New Roman"/>
          <w:sz w:val="26"/>
          <w:sz w:val="26"/>
          <w:szCs w:val="26"/>
          <w:rtl w:val="true"/>
          <w:lang w:val="en-US" w:bidi="fa-IR"/>
        </w:rPr>
        <w: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۰۳۸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بود که شامل صفر نیست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مسیر غیرمستقیم مواجهه ← رفتار توده‌وار ← کیفیت تصمیم نیز معنادار 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۱۰۲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۱۶۳</w:t>
      </w:r>
      <w:r>
        <w:rPr>
          <w:rFonts w:ascii="Times New Roman" w:hAnsi="Times New Roman" w:eastAsia="Times New Roman"/>
          <w:sz w:val="26"/>
          <w:sz w:val="26"/>
          <w:szCs w:val="26"/>
          <w:rtl w:val="true"/>
          <w:lang w:val="en-US" w:bidi="fa-IR"/>
        </w:rPr>
        <w: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۰۵۰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حالی‌که مسیر مواجهه ← فومو ← کیفیت تصمیم، به‌دلیل نبود اثر مستقیم فومو، معنادار نبود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۰۲۹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۱۰۹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۰٫۰۴۱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غیرمستقیم کل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۲۰۱</w:t>
      </w:r>
      <w:r>
        <w:rPr>
          <w:rFonts w:ascii="Times New Roman" w:hAnsi="Times New Roman" w:eastAsia="Times New Roman"/>
          <w:sz w:val="26"/>
          <w:sz w:val="26"/>
          <w:szCs w:val="26"/>
          <w:rtl w:val="true"/>
          <w:lang w:val="en-US" w:bidi="fa-IR"/>
        </w:rPr>
        <w:t>⁩ و اثر کل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۱۹۰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 دو معنادار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برآورد شد؛ در نتیجه اثر مستقیم مواجهه بر کیفیت تصمیم نزدیک صفر و تقریباً همهٔ اثر آن غیرمستقیم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۱۰</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غیرمستقیم و کل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خودگردان‌سازی، فاصلهٔ اطمینان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 ضرایب استاندارد</w:t>
      </w:r>
      <w:r>
        <w:rPr>
          <w:rFonts w:eastAsia="Times New Roman" w:cs="B Zar"/>
          <w:b/>
          <w:bCs/>
          <w:sz w:val="20"/>
          <w:szCs w:val="20"/>
          <w:rtl w:val="true"/>
          <w:lang w:val="en-US" w:bidi="fa-IR"/>
        </w:rPr>
        <w:t>)</w:t>
      </w:r>
    </w:p>
    <w:tbl>
      <w:tblPr>
        <w:bidiVisual w:val="true"/>
        <w:tblW w:w="8700" w:type="dxa"/>
        <w:jc w:val="center"/>
        <w:tblInd w:w="0" w:type="dxa"/>
        <w:tblLayout w:type="fixed"/>
        <w:tblCellMar>
          <w:top w:w="0" w:type="dxa"/>
          <w:left w:w="60" w:type="dxa"/>
          <w:bottom w:w="0" w:type="dxa"/>
          <w:right w:w="60" w:type="dxa"/>
        </w:tblCellMar>
      </w:tblPr>
      <w:tblGrid>
        <w:gridCol w:w="4200"/>
        <w:gridCol w:w="1200"/>
        <w:gridCol w:w="2300"/>
        <w:gridCol w:w="999"/>
      </w:tblGrid>
      <w:tr>
        <w:trPr>
          <w:tblHeader w:val="true"/>
        </w:trPr>
        <w:tc>
          <w:tcPr>
            <w:tcW w:w="4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برآورد</w:t>
            </w:r>
          </w:p>
        </w:tc>
        <w:tc>
          <w:tcPr>
            <w:tcW w:w="23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فاصلهٔ اطمینان</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معنادار</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توده‌واری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۰۷۱</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۱۱۱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توده‌واری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۱۰۲</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۱۶۳</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۰۵۰</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کیفیت تصمیم</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۰۲۹</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۱۰۹</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۰٫۰۴۱</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خیر</w:t>
            </w:r>
          </w:p>
        </w:tc>
      </w:tr>
      <w:tr>
        <w:trPr>
          <w:cantSplit w:val="true"/>
        </w:trPr>
        <w:tc>
          <w:tcPr>
            <w:tcW w:w="42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غیرمستقیم کل</w:t>
            </w:r>
          </w:p>
        </w:tc>
        <w:tc>
          <w:tcPr>
            <w:tcW w:w="12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۲۰۱</w:t>
            </w:r>
            <w:r>
              <w:rPr>
                <w:rFonts w:ascii="Times New Roman" w:hAnsi="Times New Roman" w:eastAsia="Times New Roman"/>
                <w:sz w:val="24"/>
                <w:sz w:val="24"/>
                <w:szCs w:val="24"/>
                <w:rtl w:val="true"/>
                <w:lang w:val="en-US" w:bidi="fa-IR"/>
              </w:rPr>
              <w:t>⁩</w:t>
            </w:r>
          </w:p>
        </w:tc>
        <w:tc>
          <w:tcPr>
            <w:tcW w:w="23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۲۸۳</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۱۲۵</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اثر کل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مستقیم </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غیرمستقیم</w:t>
            </w:r>
            <w:r>
              <w:rPr>
                <w:rFonts w:eastAsia="Times New Roman" w:cs="B Nazanin"/>
                <w:sz w:val="24"/>
                <w:szCs w:val="24"/>
                <w:rtl w:val="true"/>
                <w:lang w:val="en-US" w:bidi="fa-IR"/>
              </w:rPr>
              <w:t>)</w:t>
            </w:r>
          </w:p>
        </w:tc>
        <w:tc>
          <w:tcPr>
            <w:tcW w:w="12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۱۹۰</w:t>
            </w:r>
            <w:r>
              <w:rPr>
                <w:rFonts w:ascii="Times New Roman" w:hAnsi="Times New Roman" w:eastAsia="Times New Roman"/>
                <w:sz w:val="24"/>
                <w:sz w:val="24"/>
                <w:szCs w:val="24"/>
                <w:rtl w:val="true"/>
                <w:lang w:val="en-US" w:bidi="fa-IR"/>
              </w:rPr>
              <w:t>⁩</w:t>
            </w:r>
          </w:p>
        </w:tc>
        <w:tc>
          <w:tcPr>
            <w:tcW w:w="23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۲۹۰</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۰۸۷</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۶</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تعدیل‌گری استفاده از اطلاعات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ضریب تعامل پنهان فومو </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بر رفتار توده‌وار منفی و معنادار بود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بنابراین فرضیهٔ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تحلیل شیب‌های ساده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از ضرایب پنهان، جدول </w:t>
      </w:r>
      <w:r>
        <w:rPr>
          <w:rFonts w:ascii="Times New Roman" w:hAnsi="Times New Roman" w:eastAsia="Times New Roman"/>
          <w:sz w:val="26"/>
          <w:sz w:val="26"/>
          <w:szCs w:val="26"/>
          <w:lang w:val="en-US" w:bidi="fa-IR"/>
        </w:rPr>
        <w:t>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می‌دهد شیب استاندارد فومو ← رفتار توده‌وار در سطح پایین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یک انحراف معیار کمتر از میانگین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از اطلاعات حسابداری برابر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در سطح میانگین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و در سطح بالا </w:t>
      </w:r>
      <w:r>
        <w:rPr>
          <w:rFonts w:ascii="Times New Roman" w:hAnsi="Times New Roman" w:eastAsia="Times New Roman"/>
          <w:sz w:val="26"/>
          <w:sz w:val="26"/>
          <w:szCs w:val="26"/>
          <w:lang w:val="en-US" w:bidi="fa-IR"/>
        </w:rPr>
        <w:t>۰٫۲۲</w:t>
      </w:r>
      <w:r>
        <w:rPr>
          <w:rFonts w:ascii="Times New Roman" w:hAnsi="Times New Roman" w:eastAsia="Times New Roman"/>
          <w:sz w:val="26"/>
          <w:sz w:val="26"/>
          <w:szCs w:val="26"/>
          <w:rtl w:val="true"/>
          <w:lang w:val="en-US" w:bidi="fa-IR"/>
        </w:rPr>
        <w:t xml:space="preserve"> است و هر سه شیب معنادارند؛ یعنی شیب با افزایش اطلاعات حسابداری تضعیف می‌شود ولی هیچ‌گاه صفر نمی‌شود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شاخص میانجی‌گری تعدیل‌شده </w:t>
      </w:r>
      <w:r>
        <w:rPr>
          <w:rFonts w:ascii="Times New Roman" w:hAnsi="Times New Roman" w:eastAsia="Times New Roman"/>
          <w:sz w:val="26"/>
          <w:sz w:val="26"/>
          <w:szCs w:val="26"/>
          <w:lang w:val="en-US" w:bidi="fa-IR"/>
        </w:rPr>
        <w:t>۰٫۰۳۴</w:t>
      </w:r>
      <w:r>
        <w:rPr>
          <w:rFonts w:ascii="Times New Roman" w:hAnsi="Times New Roman" w:eastAsia="Times New Roman"/>
          <w:sz w:val="26"/>
          <w:sz w:val="26"/>
          <w:szCs w:val="26"/>
          <w:rtl w:val="true"/>
          <w:lang w:val="en-US" w:bidi="fa-IR"/>
        </w:rPr>
        <w:t xml:space="preserve"> با فاصلهٔ اطمینان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۰٫۰۶۵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برآورد شد که شامل صفر نیست و فرضیهٔ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را تأیید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کاهش اثر غیرمستقیم متوالی از سطح پایین به سطح بالا حدود </w:t>
      </w:r>
      <w:r>
        <w:rPr>
          <w:rFonts w:ascii="Times New Roman" w:hAnsi="Times New Roman" w:eastAsia="Times New Roman"/>
          <w:sz w:val="26"/>
          <w:sz w:val="26"/>
          <w:szCs w:val="26"/>
          <w:lang w:val="en-US" w:bidi="fa-IR"/>
        </w:rPr>
        <w:t>۶۴</w:t>
      </w:r>
      <w:r>
        <w:rPr>
          <w:rFonts w:ascii="Times New Roman" w:hAnsi="Times New Roman" w:eastAsia="Times New Roman"/>
          <w:sz w:val="26"/>
          <w:sz w:val="26"/>
          <w:szCs w:val="26"/>
          <w:rtl w:val="true"/>
          <w:lang w:val="en-US" w:bidi="fa-IR"/>
        </w:rPr>
        <w:t>٪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شیب‌های ساده و اثرهای غیرمستقیم مشروط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مدل پنهان</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2899"/>
        <w:gridCol w:w="2000"/>
        <w:gridCol w:w="2001"/>
        <w:gridCol w:w="2099"/>
      </w:tblGrid>
      <w:tr>
        <w:trPr>
          <w:tblHeader w:val="true"/>
        </w:trPr>
        <w:tc>
          <w:tcPr>
            <w:tcW w:w="28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سطح استفاده از اطلاعات حسابداری</w:t>
            </w:r>
          </w:p>
        </w:tc>
        <w:tc>
          <w:tcPr>
            <w:tcW w:w="20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شیب استاندارد فومو ← توده‌واری</w:t>
            </w:r>
          </w:p>
        </w:tc>
        <w:tc>
          <w:tcPr>
            <w:tcW w:w="20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اثر غیرمستقیم متوالی </w:t>
            </w:r>
            <w:r>
              <w:rPr>
                <w:rFonts w:eastAsia="Times New Roman" w:cs="B Nazanin"/>
                <w:b/>
                <w:bCs/>
                <w:sz w:val="24"/>
                <w:szCs w:val="24"/>
                <w:rtl w:val="true"/>
                <w:lang w:val="en-US" w:bidi="fa-IR"/>
              </w:rPr>
              <w:t>(</w:t>
            </w:r>
            <w:r>
              <w:rPr>
                <w:rFonts w:ascii="Times New Roman" w:hAnsi="Times New Roman" w:eastAsia="Times New Roman"/>
                <w:b/>
                <w:b/>
                <w:bCs/>
                <w:sz w:val="24"/>
                <w:sz w:val="24"/>
                <w:szCs w:val="24"/>
                <w:rtl w:val="true"/>
                <w:lang w:val="en-US" w:bidi="fa-IR"/>
              </w:rPr>
              <w:t>ناستاندارد</w:t>
            </w:r>
            <w:r>
              <w:rPr>
                <w:rFonts w:eastAsia="Times New Roman" w:cs="B Nazanin"/>
                <w:b/>
                <w:bCs/>
                <w:sz w:val="24"/>
                <w:szCs w:val="24"/>
                <w:rtl w:val="true"/>
                <w:lang w:val="en-US" w:bidi="fa-IR"/>
              </w:rPr>
              <w:t>)</w:t>
            </w:r>
          </w:p>
        </w:tc>
        <w:tc>
          <w:tcPr>
            <w:tcW w:w="2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فاصلهٔ اطمینان </w:t>
            </w:r>
            <w:r>
              <w:rPr>
                <w:rFonts w:ascii="Times New Roman" w:hAnsi="Times New Roman" w:eastAsia="Times New Roman"/>
                <w:b/>
                <w:b/>
                <w:bCs/>
                <w:sz w:val="24"/>
                <w:sz w:val="24"/>
                <w:szCs w:val="24"/>
                <w:lang w:val="en-US" w:bidi="fa-IR"/>
              </w:rPr>
              <w:t>۹۵</w:t>
            </w:r>
            <w:r>
              <w:rPr>
                <w:rFonts w:ascii="Times New Roman" w:hAnsi="Times New Roman" w:eastAsia="Times New Roman"/>
                <w:b/>
                <w:b/>
                <w:bCs/>
                <w:sz w:val="24"/>
                <w:sz w:val="24"/>
                <w:szCs w:val="24"/>
                <w:rtl w:val="true"/>
                <w:lang w:val="en-US" w:bidi="fa-IR"/>
              </w:rPr>
              <w:t>٪ اثر غیرمستقیم</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پایین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ascii="Times New Roman" w:hAnsi="Times New Roman" w:eastAsia="Times New Roman"/>
                <w:sz w:val="24"/>
                <w:sz w:val="24"/>
                <w:szCs w:val="24"/>
                <w:rtl w:val="true"/>
                <w:lang w:val="en-US" w:bidi="fa-IR"/>
              </w:rPr>
              <w:t xml:space="preserve"> انحراف معیار</w:t>
            </w:r>
            <w:r>
              <w:rPr>
                <w:rFonts w:eastAsia="Times New Roman" w:cs="B Nazanin"/>
                <w:sz w:val="24"/>
                <w:szCs w:val="24"/>
                <w:rtl w:val="true"/>
                <w:lang w:val="en-US" w:bidi="fa-IR"/>
              </w:rPr>
              <w:t>)</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۰٫۶۰۱</w:t>
            </w:r>
          </w:p>
        </w:tc>
        <w:tc>
          <w:tcPr>
            <w:tcW w:w="20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۰۹۵</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۱۵۱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۰۵۰</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میانگین</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۰٫۴۱۰</w:t>
            </w:r>
          </w:p>
        </w:tc>
        <w:tc>
          <w:tcPr>
            <w:tcW w:w="20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۰۶۵</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۱۰۵</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۰۳۴</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r>
      <w:tr>
        <w:trPr>
          <w:cantSplit w:val="true"/>
        </w:trPr>
        <w:tc>
          <w:tcPr>
            <w:tcW w:w="28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بالا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ascii="Times New Roman" w:hAnsi="Times New Roman" w:eastAsia="Times New Roman"/>
                <w:sz w:val="24"/>
                <w:sz w:val="24"/>
                <w:szCs w:val="24"/>
                <w:rtl w:val="true"/>
                <w:lang w:val="en-US" w:bidi="fa-IR"/>
              </w:rPr>
              <w:t xml:space="preserve"> انحراف معیار</w:t>
            </w:r>
            <w:r>
              <w:rPr>
                <w:rFonts w:eastAsia="Times New Roman" w:cs="B Nazanin"/>
                <w:sz w:val="24"/>
                <w:szCs w:val="24"/>
                <w:rtl w:val="true"/>
                <w:lang w:val="en-US" w:bidi="fa-IR"/>
              </w:rPr>
              <w:t>)</w:t>
            </w:r>
          </w:p>
        </w:tc>
        <w:tc>
          <w:tcPr>
            <w:tcW w:w="2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۰٫۲۱۸</w:t>
            </w:r>
          </w:p>
        </w:tc>
        <w:tc>
          <w:tcPr>
            <w:tcW w:w="20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۰۳۴</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۰۷۰</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۰۰۸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r>
      <w:tr>
        <w:trPr>
          <w:cantSplit w:val="true"/>
        </w:trPr>
        <w:tc>
          <w:tcPr>
            <w:tcW w:w="2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شاخص میانجی‌گری تعدیل‌شده</w:t>
            </w:r>
          </w:p>
        </w:tc>
        <w:tc>
          <w:tcPr>
            <w:tcW w:w="20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p>
        </w:tc>
        <w:tc>
          <w:tcPr>
            <w:tcW w:w="2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۰٫۰۳۴</w:t>
            </w:r>
          </w:p>
        </w:tc>
        <w:tc>
          <w:tcPr>
            <w:tcW w:w="2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۰٫۰۱۳</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۰٫۰۶۵</w:t>
            </w:r>
            <w:r>
              <w:rPr>
                <w:rFonts w:eastAsia="Times New Roman" w:cs="B Nazanin"/>
                <w:sz w:val="24"/>
                <w:szCs w:val="24"/>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اثرهای غیرمستقیم در متریک متغیرهای پنهان </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گویهٔ نشانگر</w:t>
      </w:r>
      <w:r>
        <w:rPr>
          <w:rFonts w:eastAsia="Times New Roman" w:cs="B Nazanin"/>
          <w:sz w:val="20"/>
          <w:szCs w:val="20"/>
          <w:rtl w:val="true"/>
          <w:lang w:val="en-US" w:bidi="fa-IR"/>
        </w:rPr>
        <w:t>)</w:t>
      </w:r>
      <w:r>
        <w:rPr>
          <w:rFonts w:ascii="Times New Roman" w:hAnsi="Times New Roman" w:eastAsia="Times New Roman"/>
          <w:sz w:val="20"/>
          <w:sz w:val="20"/>
          <w:szCs w:val="20"/>
          <w:rtl w:val="true"/>
          <w:lang w:val="en-US" w:bidi="fa-IR"/>
        </w:rPr>
        <w:t>؛ معناداری از فاصلهٔ اطمینان خودگردان</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شیب استاندارد از ضرب شیب ناستاندارد در نسبت انحراف معیار پنهان فومو به رفتار توده‌وار</w:t>
      </w:r>
      <w:r>
        <w:rPr>
          <w:rFonts w:eastAsia="Times New Roman" w:cs="B Nazanin"/>
          <w:sz w:val="20"/>
          <w:szCs w:val="20"/>
          <w:rtl w:val="true"/>
          <w:lang w:val="en-US" w:bidi="fa-IR"/>
        </w:rPr>
        <w:t>.</w:t>
      </w:r>
    </w:p>
    <w:p>
      <w:pPr>
        <w:pStyle w:val="Normal"/>
        <w:keepNext w:val="true"/>
        <w:jc w:val="center"/>
        <w:rPr/>
      </w:pPr>
      <w:r>
        <w:rPr>
          <w:rtl w:val="true"/>
        </w:rPr>
        <w:drawing>
          <wp:inline distT="0" distB="0" distL="0" distR="0">
            <wp:extent cx="3959860" cy="2722880"/>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4"/>
                    <a:stretch>
                      <a:fillRect/>
                    </a:stretch>
                  </pic:blipFill>
                  <pic:spPr bwMode="auto">
                    <a:xfrm>
                      <a:off x="0" y="0"/>
                      <a:ext cx="3959860" cy="2722880"/>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 تعاملی فومو و استفاده از اطلاعات حسابداری بر رفتار توده‌وار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شیب‌های ساده از مدل پنهان</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۷</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خلاصهٔ آزمون فرضیه‌ها</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بر پایهٔ جدول‌های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هر هشت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فرضیه‌های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۸</w:t>
      </w:r>
      <w:r>
        <w:rPr>
          <w:rFonts w:ascii="Times New Roman" w:hAnsi="Times New Roman" w:eastAsia="Times New Roman"/>
          <w:sz w:val="26"/>
          <w:sz w:val="26"/>
          <w:szCs w:val="26"/>
          <w:rtl w:val="true"/>
          <w:lang w:val="en-US" w:bidi="fa-IR"/>
        </w:rPr>
        <w:t xml:space="preserve"> بر پایهٔ ضرایب مسیر معنادار، فرضیهٔ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بر پایهٔ فاصلهٔ اطمینان اثر غیرمستقیم متوالی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۰۷۱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۱۱۱</w:t>
      </w:r>
      <w:r>
        <w:rPr>
          <w:rFonts w:ascii="Times New Roman" w:hAnsi="Times New Roman" w:eastAsia="Times New Roman"/>
          <w:sz w:val="26"/>
          <w:sz w:val="26"/>
          <w:szCs w:val="26"/>
          <w:rtl w:val="true"/>
          <w:lang w:val="en-US" w:bidi="fa-IR"/>
        </w:rPr>
        <w: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۰۳۸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 xml:space="preserve"> بر پایهٔ ضریب تعامل منفی و معنادار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۱۸۵</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فرضیهٔ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بر پایهٔ شاخص میانجی‌گری تعدیل‌شدهٔ مثبت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۰٫۰۳۴</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۰٫۰۱۳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۰٫۰۶۵</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۸</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آزمون‌های تکمیلی و استحکام</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نخست، چهار مدل ساختاری رقیب مقایسه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پیشنهادی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میانجی جزئی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مدل میانجی کامل زنجیره‌ای بهتر برازش داشت </w:t>
      </w:r>
      <w:r>
        <w:rPr>
          <w:rFonts w:eastAsia="Times New Roman" w:cs="B Nazanin"/>
          <w:sz w:val="26"/>
          <w:szCs w:val="26"/>
          <w:rtl w:val="true"/>
          <w:lang w:val="en-US" w:bidi="fa-IR"/>
        </w:rPr>
        <w:t>(⁦</w:t>
      </w:r>
      <w:r>
        <w:rPr>
          <w:rFonts w:eastAsia="Times New Roman" w:cs="B Nazanin"/>
          <w:sz w:val="26"/>
          <w:szCs w:val="26"/>
          <w:lang w:val="en-US" w:bidi="fa-IR"/>
        </w:rPr>
        <w:t xml:space="preserve">Δχ² = </w:t>
      </w:r>
      <w:r>
        <w:rPr>
          <w:rFonts w:ascii="Times New Roman" w:hAnsi="Times New Roman" w:eastAsia="Times New Roman"/>
          <w:sz w:val="26"/>
          <w:sz w:val="26"/>
          <w:szCs w:val="26"/>
          <w:lang w:val="en-US" w:bidi="fa-IR"/>
        </w:rPr>
        <w:t>۲۵</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Δdf =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مدل بدون میانجی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مستقیم</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برازش ضعیف‌تری داشت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با ترتیب معکوس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توده‌واری ← فومو</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نظر آماری هم‌ارز مدل پیشنهادی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درجهٔ آزادی برابر</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از این‌رو ترتیب علّی بر پایهٔ منطق نظری و نه یافتهٔ آماری انتخاب شده و این موضوع در محدودیت‌ها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مدل‌های رقیب</w:t>
      </w:r>
    </w:p>
    <w:tbl>
      <w:tblPr>
        <w:bidiVisual w:val="true"/>
        <w:tblW w:w="8300" w:type="dxa"/>
        <w:jc w:val="center"/>
        <w:tblInd w:w="0" w:type="dxa"/>
        <w:tblLayout w:type="fixed"/>
        <w:tblCellMar>
          <w:top w:w="0" w:type="dxa"/>
          <w:left w:w="60" w:type="dxa"/>
          <w:bottom w:w="0" w:type="dxa"/>
          <w:right w:w="60" w:type="dxa"/>
        </w:tblCellMar>
      </w:tblPr>
      <w:tblGrid>
        <w:gridCol w:w="3700"/>
        <w:gridCol w:w="1000"/>
        <w:gridCol w:w="699"/>
        <w:gridCol w:w="900"/>
        <w:gridCol w:w="901"/>
        <w:gridCol w:w="1099"/>
      </w:tblGrid>
      <w:tr>
        <w:trPr>
          <w:tblHeader w:val="true"/>
        </w:trPr>
        <w:tc>
          <w:tcPr>
            <w:tcW w:w="3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مدل</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χ²</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df</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CFI</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RMSEA</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BIC</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پیشنهادی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میانجی جزئی</w:t>
            </w:r>
            <w:r>
              <w:rPr>
                <w:rFonts w:eastAsia="Times New Roman" w:cs="B Nazanin"/>
                <w:sz w:val="24"/>
                <w:szCs w:val="24"/>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۴۸۱٫۸</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۰٫۹۷۴</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۰٫۰۲۸</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۳۹۰٫۶</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میانجی کامل زنجیره‌ای</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۵۰۷٫۰</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۰٫۹۶۹</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۰٫۰۳۱</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۳۷۲٫۶</w:t>
            </w:r>
          </w:p>
        </w:tc>
      </w:tr>
      <w:tr>
        <w:trPr>
          <w:cantSplit w:val="true"/>
        </w:trPr>
        <w:tc>
          <w:tcPr>
            <w:tcW w:w="3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ترتیب معکوس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توده‌واری←</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۴۸۵٫۷</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۳۶۹</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۰٫۹۷۳</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۰٫۰۲۹</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۳۹۰٫۶</w:t>
            </w:r>
          </w:p>
        </w:tc>
      </w:tr>
      <w:tr>
        <w:trPr>
          <w:cantSplit w:val="true"/>
        </w:trPr>
        <w:tc>
          <w:tcPr>
            <w:tcW w:w="3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مستقیم بدون میانجی</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۵۷۸٫۷</w:t>
            </w:r>
          </w:p>
        </w:tc>
        <w:tc>
          <w:tcPr>
            <w:tcW w:w="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۰٫۹۵۳</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۰٫۰۳۸</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۳۷۲٫۲</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دوم، استحکام نتایج در برابر روش برآورد و مشخصات مدل بررسی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برآوردگر </w:t>
      </w:r>
      <w:r>
        <w:rPr>
          <w:rFonts w:eastAsia="Times New Roman" w:cs="B Nazanin"/>
          <w:sz w:val="26"/>
          <w:szCs w:val="26"/>
          <w:lang w:val="en-US" w:bidi="fa-IR"/>
        </w:rPr>
        <w:t>DWLS</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که برای دادهٔ رتبه‌ای مناسب‌تر است، با ساخت دیگری از شاخص‌های تعامل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مرکزسازی باقی‌مانده</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با آزادسازی چهار بزرگ‌ترین خطای همبستهٔ درون‌سازه‌ای </w:t>
      </w:r>
      <w:r>
        <w:rPr>
          <w:rFonts w:eastAsia="Times New Roman" w:cs="B Nazanin"/>
          <w:sz w:val="26"/>
          <w:szCs w:val="26"/>
          <w:rtl w:val="true"/>
          <w:lang w:val="en-US" w:bidi="fa-IR"/>
        </w:rPr>
        <w:t>(</w:t>
      </w:r>
      <w:r>
        <w:rPr>
          <w:rFonts w:eastAsia="Times New Roman" w:cs="B Nazanin"/>
          <w:sz w:val="26"/>
          <w:szCs w:val="26"/>
          <w:lang w:val="en-US" w:bidi="fa-IR"/>
        </w:rPr>
        <w:t>HRD</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HRD</w:t>
      </w:r>
      <w:r>
        <w:rPr>
          <w:rFonts w:ascii="Times New Roman" w:hAnsi="Times New Roman" w:eastAsia="Times New Roman"/>
          <w:sz w:val="26"/>
          <w:sz w:val="26"/>
          <w:szCs w:val="26"/>
          <w:lang w:val="en-US" w:bidi="fa-IR"/>
        </w:rPr>
        <w:t xml:space="preserve">۵، </w:t>
      </w:r>
      <w:r>
        <w:rPr>
          <w:rFonts w:eastAsia="Times New Roman" w:cs="B Nazanin"/>
          <w:sz w:val="26"/>
          <w:szCs w:val="26"/>
          <w:lang w:val="en-US" w:bidi="fa-IR"/>
        </w:rPr>
        <w:t>AIU</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AIU</w:t>
      </w:r>
      <w:r>
        <w:rPr>
          <w:rFonts w:ascii="Times New Roman" w:hAnsi="Times New Roman" w:eastAsia="Times New Roman"/>
          <w:sz w:val="26"/>
          <w:sz w:val="26"/>
          <w:szCs w:val="26"/>
          <w:lang w:val="en-US" w:bidi="fa-IR"/>
        </w:rPr>
        <w:t xml:space="preserve">۴، </w:t>
      </w:r>
      <w:r>
        <w:rPr>
          <w:rFonts w:eastAsia="Times New Roman" w:cs="B Nazanin"/>
          <w:sz w:val="26"/>
          <w:szCs w:val="26"/>
          <w:lang w:val="en-US" w:bidi="fa-IR"/>
        </w:rPr>
        <w:t>FOMO</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FOMO</w:t>
      </w:r>
      <w:r>
        <w:rPr>
          <w:rFonts w:ascii="Times New Roman" w:hAnsi="Times New Roman" w:eastAsia="Times New Roman"/>
          <w:sz w:val="26"/>
          <w:sz w:val="26"/>
          <w:szCs w:val="26"/>
          <w:lang w:val="en-US" w:bidi="fa-IR"/>
        </w:rPr>
        <w:t xml:space="preserve">۲، </w:t>
      </w:r>
      <w:r>
        <w:rPr>
          <w:rFonts w:eastAsia="Times New Roman" w:cs="B Nazanin"/>
          <w:sz w:val="26"/>
          <w:szCs w:val="26"/>
          <w:lang w:val="en-US" w:bidi="fa-IR"/>
        </w:rPr>
        <w:t>SME</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با </w:t>
      </w:r>
      <w:r>
        <w:rPr>
          <w:rFonts w:eastAsia="Times New Roman" w:cs="B Nazanin"/>
          <w:sz w:val="26"/>
          <w:szCs w:val="26"/>
          <w:lang w:val="en-US" w:bidi="fa-IR"/>
        </w:rPr>
        <w:t>SME</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که برازش را به ⁦</w:t>
      </w:r>
      <w:r>
        <w:rPr>
          <w:rFonts w:eastAsia="Times New Roman" w:cs="B Nazanin"/>
          <w:sz w:val="26"/>
          <w:szCs w:val="26"/>
          <w:lang w:val="en-US" w:bidi="fa-IR"/>
        </w:rPr>
        <w:t xml:space="preserve">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۹۸۹</w:t>
      </w:r>
      <w:r>
        <w:rPr>
          <w:rFonts w:ascii="Times New Roman" w:hAnsi="Times New Roman" w:eastAsia="Times New Roman"/>
          <w:sz w:val="26"/>
          <w:sz w:val="26"/>
          <w:szCs w:val="26"/>
          <w:rtl w:val="true"/>
          <w:lang w:val="en-US" w:bidi="fa-IR"/>
        </w:rPr>
        <w:t>⁩ و ⁦</w:t>
      </w:r>
      <w:r>
        <w:rPr>
          <w:rFonts w:eastAsia="Times New Roman" w:cs="B Nazanin"/>
          <w:sz w:val="26"/>
          <w:szCs w:val="26"/>
          <w:lang w:val="en-US" w:bidi="fa-IR"/>
        </w:rPr>
        <w:t xml:space="preserve">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۰۱۶</w:t>
      </w:r>
      <w:r>
        <w:rPr>
          <w:rFonts w:ascii="Times New Roman" w:hAnsi="Times New Roman" w:eastAsia="Times New Roman"/>
          <w:sz w:val="26"/>
          <w:sz w:val="26"/>
          <w:szCs w:val="26"/>
          <w:rtl w:val="true"/>
          <w:lang w:val="en-US" w:bidi="fa-IR"/>
        </w:rPr>
        <w:t xml:space="preserve">⁩ رساند، و پس از حذف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دورترین مشاهدات، جهت و معناداری مسیرهای اصلی و تعامل حفظ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یافته‌ها به روش برآورد وابسته نیستند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تحلیل حساسیت</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استاندارد کلیدی در مشخصات مختلف</w:t>
      </w:r>
    </w:p>
    <w:tbl>
      <w:tblPr>
        <w:bidiVisual w:val="true"/>
        <w:tblW w:w="8400" w:type="dxa"/>
        <w:jc w:val="center"/>
        <w:tblInd w:w="0" w:type="dxa"/>
        <w:tblLayout w:type="fixed"/>
        <w:tblCellMar>
          <w:top w:w="0" w:type="dxa"/>
          <w:left w:w="60" w:type="dxa"/>
          <w:bottom w:w="0" w:type="dxa"/>
          <w:right w:w="60" w:type="dxa"/>
        </w:tblCellMar>
      </w:tblPr>
      <w:tblGrid>
        <w:gridCol w:w="2399"/>
        <w:gridCol w:w="700"/>
        <w:gridCol w:w="801"/>
        <w:gridCol w:w="1099"/>
        <w:gridCol w:w="1101"/>
        <w:gridCol w:w="799"/>
        <w:gridCol w:w="1500"/>
      </w:tblGrid>
      <w:tr>
        <w:trPr>
          <w:tblHeader w:val="true"/>
        </w:trPr>
        <w:tc>
          <w:tcPr>
            <w:tcW w:w="2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مشخصات مدل</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CFI</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RMSEA</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فومو ← توده‌واری</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توده‌واری ← کیفیت</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تعامل</w:t>
            </w:r>
          </w:p>
        </w:tc>
        <w:tc>
          <w:tcPr>
            <w:tcW w:w="1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توضیح</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مدل پایه </w:t>
            </w:r>
            <w:r>
              <w:rPr>
                <w:rFonts w:eastAsia="Times New Roman" w:cs="B Nazanin"/>
                <w:sz w:val="20"/>
                <w:szCs w:val="20"/>
                <w:rtl w:val="true"/>
                <w:lang w:val="en-US" w:bidi="fa-IR"/>
              </w:rPr>
              <w:t>(</w:t>
            </w:r>
            <w:r>
              <w:rPr>
                <w:rFonts w:eastAsia="Times New Roman" w:cs="B Nazanin"/>
                <w:sz w:val="20"/>
                <w:szCs w:val="20"/>
                <w:lang w:val="en-US" w:bidi="fa-IR"/>
              </w:rPr>
              <w:t>ML</w:t>
            </w:r>
            <w:r>
              <w:rPr>
                <w:rFonts w:eastAsia="Times New Roman" w:cs="B Nazanin"/>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۰٫۹۷۷</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۰٫۰۲۳</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۱۸</w:t>
            </w:r>
            <w:r>
              <w:rPr>
                <w:rFonts w:ascii="Times New Roman" w:hAnsi="Times New Roman" w:eastAsia="Times New Roman"/>
                <w:sz w:val="20"/>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برآوردگر </w:t>
            </w:r>
            <w:r>
              <w:rPr>
                <w:rFonts w:eastAsia="Times New Roman" w:cs="B Nazanin"/>
                <w:sz w:val="20"/>
                <w:szCs w:val="20"/>
                <w:lang w:val="en-US" w:bidi="fa-IR"/>
              </w:rPr>
              <w:t>DWLS</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۱٫۰۱۲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۰٫۰۰۰</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۳۴</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بدون تعامل</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تعامل با مرکزسازی باقی‌مانده</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۰٫۰۱۷</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۱۷</w:t>
            </w:r>
            <w:r>
              <w:rPr>
                <w:rFonts w:ascii="Times New Roman" w:hAnsi="Times New Roman" w:eastAsia="Times New Roman"/>
                <w:sz w:val="20"/>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شاخص‌های متعامد</w:t>
            </w:r>
          </w:p>
        </w:tc>
      </w:tr>
      <w:tr>
        <w:trPr>
          <w:cantSplit w:val="true"/>
        </w:trPr>
        <w:tc>
          <w:tcPr>
            <w:tcW w:w="23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بازمشخص‌سازی </w:t>
            </w: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۴</w:t>
            </w:r>
            <w:r>
              <w:rPr>
                <w:rFonts w:ascii="Times New Roman" w:hAnsi="Times New Roman" w:eastAsia="Times New Roman"/>
                <w:sz w:val="20"/>
                <w:sz w:val="20"/>
                <w:szCs w:val="20"/>
                <w:rtl w:val="true"/>
                <w:lang w:val="en-US" w:bidi="fa-IR"/>
              </w:rPr>
              <w:t xml:space="preserve"> خطای همبسته</w:t>
            </w:r>
            <w:r>
              <w:rPr>
                <w:rFonts w:eastAsia="Times New Roman" w:cs="B Nazanin"/>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۰٫۹۸۹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۰٫۰۱۶</w:t>
            </w:r>
          </w:p>
        </w:tc>
        <w:tc>
          <w:tcPr>
            <w:tcW w:w="10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w:t>
            </w:r>
          </w:p>
        </w:tc>
        <w:tc>
          <w:tcPr>
            <w:tcW w:w="110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w:t>
            </w:r>
            <w:r>
              <w:rPr>
                <w:rFonts w:ascii="Times New Roman" w:hAnsi="Times New Roman" w:eastAsia="Times New Roman"/>
                <w:sz w:val="20"/>
                <w:sz w:val="20"/>
                <w:szCs w:val="20"/>
                <w:rtl w:val="true"/>
                <w:lang w:val="en-US" w:bidi="fa-IR"/>
              </w:rPr>
              <w:t>⁩</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۱۹</w:t>
            </w:r>
            <w:r>
              <w:rPr>
                <w:rFonts w:ascii="Times New Roman" w:hAnsi="Times New Roman" w:eastAsia="Times New Roman"/>
                <w:sz w:val="20"/>
                <w:sz w:val="20"/>
                <w:szCs w:val="20"/>
                <w:rtl w:val="true"/>
                <w:lang w:val="en-US" w:bidi="fa-IR"/>
              </w:rPr>
              <w:t>⁩</w:t>
            </w:r>
          </w:p>
        </w:tc>
        <w:tc>
          <w:tcPr>
            <w:tcW w:w="15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آزادسازی خطاها</w:t>
            </w:r>
          </w:p>
        </w:tc>
      </w:tr>
      <w:tr>
        <w:trPr>
          <w:cantSplit w:val="true"/>
        </w:trPr>
        <w:tc>
          <w:tcPr>
            <w:tcW w:w="2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حذف </w:t>
            </w:r>
            <w:r>
              <w:rPr>
                <w:rFonts w:ascii="Times New Roman" w:hAnsi="Times New Roman" w:eastAsia="Times New Roman"/>
                <w:sz w:val="20"/>
                <w:sz w:val="20"/>
                <w:szCs w:val="20"/>
                <w:lang w:val="en-US" w:bidi="fa-IR"/>
              </w:rPr>
              <w:t>۵</w:t>
            </w:r>
            <w:r>
              <w:rPr>
                <w:rFonts w:ascii="Times New Roman" w:hAnsi="Times New Roman" w:eastAsia="Times New Roman"/>
                <w:sz w:val="20"/>
                <w:sz w:val="20"/>
                <w:szCs w:val="20"/>
                <w:rtl w:val="true"/>
                <w:lang w:val="en-US" w:bidi="fa-IR"/>
              </w:rPr>
              <w:t>٪ دورترین مشاهدات</w:t>
            </w:r>
          </w:p>
        </w:tc>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۰٫۳۹</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۳۷</w:t>
            </w:r>
            <w:r>
              <w:rPr>
                <w:rFonts w:ascii="Times New Roman" w:hAnsi="Times New Roman" w:eastAsia="Times New Roman"/>
                <w:sz w:val="20"/>
                <w:sz w:val="20"/>
                <w:szCs w:val="20"/>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۱۹</w:t>
            </w:r>
            <w:r>
              <w:rPr>
                <w:rFonts w:ascii="Times New Roman" w:hAnsi="Times New Roman" w:eastAsia="Times New Roman"/>
                <w:sz w:val="20"/>
                <w:sz w:val="20"/>
                <w:szCs w:val="20"/>
                <w:rtl w:val="true"/>
                <w:lang w:val="en-US" w:bidi="fa-IR"/>
              </w:rPr>
              <w:t>⁩</w:t>
            </w:r>
          </w:p>
        </w:tc>
        <w:tc>
          <w:tcPr>
            <w:tcW w:w="15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 xml:space="preserve">n = </w:t>
            </w:r>
            <w:r>
              <w:rPr>
                <w:rFonts w:ascii="Times New Roman" w:hAnsi="Times New Roman" w:eastAsia="Times New Roman"/>
                <w:sz w:val="20"/>
                <w:sz w:val="20"/>
                <w:szCs w:val="20"/>
                <w:lang w:val="en-US" w:bidi="fa-IR"/>
              </w:rPr>
              <w:t>۳۶۶</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لازم است تأکید شود که چون داده‌ها از مدل مفروض تولید شده‌اند، هم‌خوانی ضرایب برآوردشده با مقادیر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نشانهٔ بازیابی صحیح ساختار توسط روش است و نه تأیید تجربی فرضیه‌ها</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هدف این پژوهش بررسی مسیر مواجهه با محتوای سرمایه‌گذاری شبکه‌های اجتماعی ← فومو ← رفتار توده‌وار ← کیفیت تصمیم با تعدیل‌گری اطلاعات حسابداری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چارچوب مدل مفروض، هر هشت فرضیه تأیید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مواجهه با محتوا از نیرومندترین پیش‌بینی‌کننده‌های فومو 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۴۹</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که با نظریهٔ مقایسهٔ اجتماعی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فستینگر،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یافته‌های مرتبط با استفادهٔ شبکه‌ای از فومو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آبل و همکاران، </w:t>
      </w:r>
      <w:r>
        <w:rPr>
          <w:rFonts w:ascii="Times New Roman" w:hAnsi="Times New Roman" w:eastAsia="Times New Roman"/>
          <w:sz w:val="26"/>
          <w:sz w:val="26"/>
          <w:szCs w:val="26"/>
          <w:lang w:val="en-US" w:bidi="fa-IR"/>
        </w:rPr>
        <w:t>۲۰۱۶</w:t>
      </w:r>
      <w:r>
        <w:rPr>
          <w:rFonts w:ascii="Times New Roman" w:hAnsi="Times New Roman" w:eastAsia="Times New Roman"/>
          <w:sz w:val="26"/>
          <w:sz w:val="26"/>
          <w:szCs w:val="26"/>
          <w:rtl w:val="true"/>
          <w:lang w:val="en-US" w:bidi="fa-IR"/>
        </w:rPr>
        <w:t xml:space="preserve">؛ میلیاوسکایا و همکاران، </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هم‌سو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دوم، فومو رفتار توده‌وار را برانگیخت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این امر منطق آبشارهای اطلاعاتی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بیکچندانی و همکاران، </w:t>
      </w:r>
      <w:r>
        <w:rPr>
          <w:rFonts w:ascii="Times New Roman" w:hAnsi="Times New Roman" w:eastAsia="Times New Roman"/>
          <w:sz w:val="26"/>
          <w:sz w:val="26"/>
          <w:szCs w:val="26"/>
          <w:lang w:val="en-US" w:bidi="fa-IR"/>
        </w:rPr>
        <w:t>۱۹۹۲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با سازوکاری هیجانی تکمیل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ترس از جاماندن بهای روانی پیروی نکردن از جمع را بالا می‌برد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با دیدگاهی که هیجان‌ها را عامل نظام‌مند شکل‌دهندهٔ تصمیم می‌داند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لرنر و همکاران،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سازگار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سوم، رفتار توده‌وار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۳۵</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همسو با شواهد دربارهٔ هزینهٔ معاملات تحت‌تأثیر عوامل غیربنیادی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باربر و اودین،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پژوهش‌های داخلی که ارتباط سوگیری‌های رفتاری با عملکرد سرمایه‌گذاران حقیقی را نشان داده‌اند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جمشیدی و همکاران، </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نکتهٔ مهم، الگوی میانجی‌گری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مستقیم فومو بر کیفیت تصمیم، پس از کنترل رفتار توده‌وار، معنادار نبود و اثر کل مواجهه بر کیفیت تصمیم تقریباً به‌طور کامل از مسیرهای غیرمستقیم منتقل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تفسیر نظری این است که فومو در نهایت از طریق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عمل هم‌جهت‌شدن</w:t>
      </w:r>
      <w:r>
        <w:rPr>
          <w:rFonts w:eastAsia="Times New Roman" w:cs="B Nazanin"/>
          <w:sz w:val="26"/>
          <w:szCs w:val="26"/>
          <w:rtl w:val="true"/>
          <w:lang w:val="en-US" w:bidi="fa-IR"/>
        </w:rPr>
        <w:t>» (</w:t>
      </w:r>
      <w:r>
        <w:rPr>
          <w:rFonts w:ascii="Times New Roman" w:hAnsi="Times New Roman" w:eastAsia="Times New Roman"/>
          <w:sz w:val="26"/>
          <w:sz w:val="26"/>
          <w:szCs w:val="26"/>
          <w:rtl w:val="true"/>
          <w:lang w:val="en-US" w:bidi="fa-IR"/>
        </w:rPr>
        <w:t>و نه صرفاً از طریق اضطراب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 کیفیت تصمیم اثر می‌گذارد؛ مداخله بر رفتار می‌تواند مؤثرتر از مداخله بر هیجان باشد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این حال، چون ترتیب علّی فومو و توده‌واری از نظر آماری قابل‌تفکیک نیست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مدل‌های هم‌ارز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این تفسیر باید با طرح‌های طولی یا آزمایشی آزموده 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۰٫۲۲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حدود </w:t>
      </w:r>
      <w:r>
        <w:rPr>
          <w:rFonts w:ascii="Times New Roman" w:hAnsi="Times New Roman" w:eastAsia="Times New Roman"/>
          <w:sz w:val="26"/>
          <w:sz w:val="26"/>
          <w:szCs w:val="26"/>
          <w:lang w:val="en-US" w:bidi="fa-IR"/>
        </w:rPr>
        <w:t>۶۴</w:t>
      </w:r>
      <w:r>
        <w:rPr>
          <w:rFonts w:ascii="Times New Roman" w:hAnsi="Times New Roman" w:eastAsia="Times New Roman"/>
          <w:sz w:val="26"/>
          <w:sz w:val="26"/>
          <w:szCs w:val="26"/>
          <w:rtl w:val="true"/>
          <w:lang w:val="en-US" w:bidi="fa-IR"/>
        </w:rPr>
        <w:t xml:space="preserve">٪ کمتر از سطح پایین آن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۰٫۶۰</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یافته با دیدگاه آبشارهای اطلاعاتی دربارهٔ نقش دقت سیگنال خصوصی سازگار است و ایده‌ای را که لارنس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میلر و اسکینر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دربارهٔ ارزش افشای مالی برای سرمایه‌گذاران خرد طرح کرده‌اند، به قلمرو رفتاری گسترش می‌دهد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همچنین با یافتهٔ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که کیفیت بالاتر اطلاعات حسابداری شدت رفتارهای احساسی را در قیمت‌گذاری کاهش می‌دهد هم‌سو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شاخص میانجی‌گری تعدیل‌شده نیز نشان داد اثر غیرمستقیم منفی در سطوح بالای استفاده از اطلاعات حسابداری کوچک‌تر است، اگرچه هرگز کاملاً حذف نمی‌شود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دانش‌افزایی نظری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پیوند میان ادبیات شبکه‌های اجتماعی در مالی و ادبیات توده‌واری از طریق سازهٔ فومو؛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معرفی استفاده از اطلاعات حسابداری به‌عنوان تعدیل‌گر رفتاری، که حسابداری را از نقش صرفاً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محتوایی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نقش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ضدسوگیری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می‌برد؛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برآورد یکپارچهٔ مدل با همهٔ گویه‌ها و بدون تجمیع، که خطای اندازه‌گیری را کنترل می‌کند؛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ارائهٔ ابزار و کد بازتولیدپذیر برای آزمون مدل در بازارهای دیگر</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پیشنهادهای کاربردی و سیاستی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نهاد ناظر بازار سرمایه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الزام یا تشویق به افشای شفاف تعارض منافع و پشتوانهٔ مالی در تحلیل‌های منتشرشده در شبکه‌ها؛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ناشران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انتشار خلاصه‌های ساده و قابل‌فهم از گزارش‌های مالی در همان کانال‌هایی که سرمایه‌گذاران خرد دنبال می‌کنند، تا اطلاعات حسابداری در رقابت توجه از دست نرود؛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کارگزاری‌ها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ادغام شاخص‌های بنیادی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مانند سود هر سهم و نسبت‌های مالی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پلتفرم‌های معاملاتی و هشدارهای رفتاری هنگام معاملات پرشتاب؛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نهادهای آموزشی و انجمن‌های حرفه‌ای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آموزش خواندن صورت‌های مالی با تمرکز بر مدیریت فومو؛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سرمایه‌گذاران</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قاعدهٔ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بررسی صورت‌های مالی پیش از معاملهٔ برخاسته از یک محتوای شبکه‌ای</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محدودیت‌ها و پیشنهاد پژوهش‌های آینده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مهم‌ترین محدودیت شبیه‌سازی‌بودن داده است؛ بنابراین نخستین گام آینده اجرای پرسشنامهٔ پیوست روی نمونهٔ واقعی با اعتبارسنجی ابزار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دیگر محدودیت‌ها عبارت‌اند از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نسبت مشاهده به پارامتر کمتر از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هرچند توان آزمون کافی است</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طرح مقطعی و ناتوانی در تفکیک ترتیب علّی؛ اندازه‌گیری خودگزارشی مواجهه و کیفیت تصمیم؛ و نبود مقیاس استاندارد فارسی برای سازه‌ها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پژوهش‌های بعدی می‌توانند از داده‌های ردپای دیجیتال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مانند تحلیل متن کانال‌ها</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طرح‌های طولی، و مقایسهٔ چندگروهی بر پایهٔ تجربهٔ زیان در ریزش بازار بهره بگیرند؛ مورد اخیر در مقالهٔ همراه این پژوهش بررسی شده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دسترسی به داده و کد</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پرسشنامه، داده‌ٔ شبیه‌سازی‌شده، کد پایتون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قابل‌اجرا در </w:t>
      </w:r>
      <w:r>
        <w:rPr>
          <w:rFonts w:eastAsia="Times New Roman" w:cs="B Nazanin"/>
          <w:sz w:val="26"/>
          <w:szCs w:val="26"/>
          <w:lang w:val="en-US" w:bidi="fa-IR"/>
        </w:rPr>
        <w:t>Google Colab</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خروجی‌ها در مخزن پیوست شده‌اند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منابع فارسی</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بدری، احمد و گودرزی، ندا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مالی رفتاری، سوگیری نماگری و متغیرهای بینادی حسابداری</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مطالعات تجربی حسابداری مالی، </w:t>
      </w:r>
      <w:r>
        <w:rPr>
          <w:rFonts w:ascii="Times New Roman" w:hAnsi="Times New Roman" w:eastAsia="Times New Roman"/>
          <w:sz w:val="24"/>
          <w:sz w:val="24"/>
          <w:szCs w:val="24"/>
          <w:lang w:val="en-US" w:bidi="fa-IR"/>
        </w:rPr>
        <w:t>۱۱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۵۷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۸۸</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بهارمقدم، مهدی و جوکار، حسین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sz w:val="24"/>
          <w:sz w:val="24"/>
          <w:szCs w:val="24"/>
          <w:lang w:val="en-US" w:bidi="fa-IR"/>
        </w:rPr>
        <w:t>۲۵</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۵۰</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ترازودار، میترا؛ قاسمی، مصطفی و محسنی، عبدالرضا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ارائه مدلی به منظور شناسایی تأثیر تورش‌های رفتاری و سواد مالی و نقش آنها بر تصمیم‌گیری سرمایه‌گذاران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مبتنی بر رویکرد گراندد تئوری</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دانش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۵۵</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جمشیدی، ناصر؛ قالیباف اصل، حسن و فدایی‌نژاد، محمداسماعیل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سوگیری‌های رفتاری و عملکرد سرمایه‌گذاران حقیقی بورس اوراق بهادار تهران، تحقیقات مالی،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۱۴۳</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حیدری هراتمه، مصطفی؛ آرایی، وحید و اسلامی، سیدمحمود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تأثیر رسانه‌ها و شبکه‌های اجتماعی و مجازی بر خط‌مشی و تصمیمات سرمایه‌گذاران بازارهای مالی، مطالعات فرهنگ ـ ارتباطات، </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ندیری، محمد و پناهیان، حمیدرضا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احساسات عقلانی و غیرعقلانی سرمایه‌گذاران و بازده بازار سهام</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تحقیقات مالی، </w:t>
      </w:r>
      <w:r>
        <w:rPr>
          <w:rFonts w:ascii="Times New Roman" w:hAnsi="Times New Roman" w:eastAsia="Times New Roman"/>
          <w:sz w:val="24"/>
          <w:sz w:val="24"/>
          <w:szCs w:val="24"/>
          <w:lang w:val="en-US" w:bidi="fa-IR"/>
        </w:rPr>
        <w:t>۲۶</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نمازی، محمد و زراعتگری، رامین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sz w:val="24"/>
          <w:sz w:val="24"/>
          <w:szCs w:val="24"/>
          <w:lang w:val="en-US" w:bidi="fa-IR"/>
        </w:rPr>
        <w:t>۱۰</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100" w:after="60"/>
        <w:jc w:val="both"/>
        <w:rPr/>
      </w:pPr>
      <w:r>
        <w:rPr>
          <w:rFonts w:ascii="Times New Roman" w:hAnsi="Times New Roman" w:eastAsia="Times New Roman"/>
          <w:b/>
          <w:b/>
          <w:bCs/>
          <w:sz w:val="24"/>
          <w:sz w:val="24"/>
          <w:szCs w:val="24"/>
          <w:rtl w:val="true"/>
          <w:lang w:val="en-US" w:bidi="fa-IR"/>
        </w:rPr>
        <w:t>منابع لاتین</w:t>
      </w:r>
    </w:p>
    <w:p>
      <w:pPr>
        <w:pStyle w:val="Normal"/>
        <w:spacing w:lineRule="auto" w:line="240" w:before="0" w:after="30"/>
        <w:jc w:val="left"/>
        <w:rPr/>
      </w:pPr>
      <w:r>
        <w:rPr>
          <w:rFonts w:eastAsia="Times New Roman" w:cs="Times New Roman"/>
          <w:sz w:val="24"/>
          <w:szCs w:val="24"/>
          <w:lang w:val="en-US" w:bidi="fa-IR"/>
        </w:rPr>
        <w:t>Abel, J. P., Buff, C. L., &amp; Burr, S. A. (2016). Social media and the fear of missing out: Scale development and assessment. Journal of Business &amp; Economic Research, 14(1), 33–44. https://doi.org/10.19030/jber.v14i1.9554</w:t>
      </w:r>
    </w:p>
    <w:p>
      <w:pPr>
        <w:pStyle w:val="Normal"/>
        <w:spacing w:lineRule="auto" w:line="240" w:before="0" w:after="30"/>
        <w:jc w:val="left"/>
        <w:rPr/>
      </w:pPr>
      <w:r>
        <w:rPr>
          <w:rFonts w:eastAsia="Times New Roman" w:cs="Times New Roman"/>
          <w:sz w:val="24"/>
          <w:szCs w:val="24"/>
          <w:lang w:val="en-US" w:bidi="fa-IR"/>
        </w:rPr>
        <w:t>Ball, R., &amp; Brown, P. (1968). An empirical evaluation of accounting income numbers. Journal of Accounting Research, 6(2), 159–178. https://doi.org/10.2307/2490232</w:t>
      </w:r>
    </w:p>
    <w:p>
      <w:pPr>
        <w:pStyle w:val="Normal"/>
        <w:spacing w:lineRule="auto" w:line="240" w:before="0" w:after="30"/>
        <w:jc w:val="left"/>
        <w:rPr/>
      </w:pPr>
      <w:r>
        <w:rPr>
          <w:rFonts w:eastAsia="Times New Roman" w:cs="Times New Roman"/>
          <w:sz w:val="24"/>
          <w:szCs w:val="24"/>
          <w:lang w:val="en-US" w:bidi="fa-IR"/>
        </w:rPr>
        <w:t>Banerjee, A. V. (1992). A simple model of herd behavior. The Quarterly Journal of Economics, 107(3), 797–817. https://doi.org/10.2307/2118364</w:t>
      </w:r>
    </w:p>
    <w:p>
      <w:pPr>
        <w:pStyle w:val="Normal"/>
        <w:spacing w:lineRule="auto" w:line="240" w:before="0" w:after="30"/>
        <w:jc w:val="left"/>
        <w:rPr/>
      </w:pPr>
      <w:r>
        <w:rPr>
          <w:rFonts w:eastAsia="Times New Roman" w:cs="Times New Roman"/>
          <w:sz w:val="24"/>
          <w:szCs w:val="24"/>
          <w:lang w:val="en-US" w:bidi="fa-IR"/>
        </w:rPr>
        <w:t>Barber, B. M., &amp; Odean, T. (2000). Trading is hazardous to your wealth: The common stock investment performance of individual investors. The Journal of Finance, 55(2), 773–806. https://doi.org/10.1111/0022-1082.00226</w:t>
      </w:r>
    </w:p>
    <w:p>
      <w:pPr>
        <w:pStyle w:val="Normal"/>
        <w:spacing w:lineRule="auto" w:line="240" w:before="0" w:after="30"/>
        <w:jc w:val="left"/>
        <w:rPr/>
      </w:pPr>
      <w:r>
        <w:rPr>
          <w:rFonts w:eastAsia="Times New Roman" w:cs="Times New Roman"/>
          <w:sz w:val="24"/>
          <w:szCs w:val="24"/>
          <w:lang w:val="en-US" w:bidi="fa-IR"/>
        </w:rPr>
        <w:t>Barber, B. M., &amp; Odean, T. (2001). Boys will be boys: Gender, overconfidence, and common stock investment. The Quarterly Journal of Economics, 116(1), 261–292. https://doi.org/10.1162/003355301556400</w:t>
      </w:r>
    </w:p>
    <w:p>
      <w:pPr>
        <w:pStyle w:val="Normal"/>
        <w:spacing w:lineRule="auto" w:line="240" w:before="0" w:after="30"/>
        <w:jc w:val="left"/>
        <w:rPr/>
      </w:pPr>
      <w:r>
        <w:rPr>
          <w:rFonts w:eastAsia="Times New Roman" w:cs="Times New Roman"/>
          <w:sz w:val="24"/>
          <w:szCs w:val="24"/>
          <w:lang w:val="en-US" w:bidi="fa-IR"/>
        </w:rPr>
        <w:t>Barber, B. M., &amp; Odean, T. (2008). All that glitters: The effect of attention and news on the buying behavior of individual and institutional investors. The Review of Financial Studies, 21(2), 785–818. https://doi.org/10.1093/rfs/hhm079</w:t>
      </w:r>
    </w:p>
    <w:p>
      <w:pPr>
        <w:pStyle w:val="Normal"/>
        <w:spacing w:lineRule="auto" w:line="240" w:before="0" w:after="30"/>
        <w:jc w:val="left"/>
        <w:rPr/>
      </w:pPr>
      <w:r>
        <w:rPr>
          <w:rFonts w:eastAsia="Times New Roman" w:cs="Times New Roman"/>
          <w:sz w:val="24"/>
          <w:szCs w:val="24"/>
          <w:lang w:val="en-US" w:bidi="fa-IR"/>
        </w:rPr>
        <w:t>Bartov, E., Faurel, L., &amp; Mohanram, P. S. (2018). Can Twitter help predict firm-level earnings and stock returns? The Accounting Review, 93(3), 25–57. https://doi.org/10.2308/accr-51865</w:t>
      </w:r>
    </w:p>
    <w:p>
      <w:pPr>
        <w:pStyle w:val="Normal"/>
        <w:spacing w:lineRule="auto" w:line="240" w:before="0" w:after="30"/>
        <w:jc w:val="left"/>
        <w:rPr/>
      </w:pPr>
      <w:r>
        <w:rPr>
          <w:rFonts w:eastAsia="Times New Roman" w:cs="Times New Roman"/>
          <w:sz w:val="24"/>
          <w:szCs w:val="24"/>
          <w:lang w:val="en-US" w:bidi="fa-IR"/>
        </w:rPr>
        <w:t>Beaver, W. H. (1968). The information content of annual earnings announcements. Journal of Accounting Research, 6, 67–92. https://doi.org/10.2307/2490070</w:t>
      </w:r>
    </w:p>
    <w:p>
      <w:pPr>
        <w:pStyle w:val="Normal"/>
        <w:spacing w:lineRule="auto" w:line="240" w:before="0" w:after="30"/>
        <w:jc w:val="left"/>
        <w:rPr/>
      </w:pPr>
      <w:r>
        <w:rPr>
          <w:rFonts w:eastAsia="Times New Roman" w:cs="Times New Roman"/>
          <w:sz w:val="24"/>
          <w:szCs w:val="24"/>
          <w:lang w:val="en-US" w:bidi="fa-IR"/>
        </w:rPr>
        <w:t>Bikhchandani, S., &amp; Sharma, S. (2001). Herd behavior in financial markets. IMF Staff Papers, 47(3), 279–310. https://doi.org/10.2307/4621672</w:t>
      </w:r>
    </w:p>
    <w:p>
      <w:pPr>
        <w:pStyle w:val="Normal"/>
        <w:spacing w:lineRule="auto" w:line="240" w:before="0" w:after="30"/>
        <w:jc w:val="left"/>
        <w:rPr/>
      </w:pPr>
      <w:r>
        <w:rPr>
          <w:rFonts w:eastAsia="Times New Roman" w:cs="Times New Roman"/>
          <w:sz w:val="24"/>
          <w:szCs w:val="24"/>
          <w:lang w:val="en-US" w:bidi="fa-IR"/>
        </w:rPr>
        <w:t>Bikhchandani, S., Hirshleifer, D., &amp; Welch, I. (1992). A theory of fads, fashion, custom, and cultural change as informational cascades. Journal of Political Economy, 100(5), 992–1026. https://doi.org/10.1086/261849</w:t>
      </w:r>
    </w:p>
    <w:p>
      <w:pPr>
        <w:pStyle w:val="Normal"/>
        <w:spacing w:lineRule="auto" w:line="240" w:before="0" w:after="30"/>
        <w:jc w:val="left"/>
        <w:rPr/>
      </w:pPr>
      <w:r>
        <w:rPr>
          <w:rFonts w:eastAsia="Times New Roman" w:cs="Times New Roman"/>
          <w:sz w:val="24"/>
          <w:szCs w:val="24"/>
          <w:lang w:val="en-US" w:bidi="fa-IR"/>
        </w:rPr>
        <w:t>Blankespoor, E., Miller, G. S., &amp; White, H. D. (2014). The role of dissemination in market liquidity: Evidence from firms' use of Twitter. The Accounting Review, 89(1), 79–112. https://doi.org/10.2308/accr-50576</w:t>
      </w:r>
    </w:p>
    <w:p>
      <w:pPr>
        <w:pStyle w:val="Normal"/>
        <w:spacing w:lineRule="auto" w:line="240" w:before="0" w:after="30"/>
        <w:jc w:val="left"/>
        <w:rPr/>
      </w:pPr>
      <w:r>
        <w:rPr>
          <w:rFonts w:eastAsia="Times New Roman" w:cs="Times New Roman"/>
          <w:sz w:val="24"/>
          <w:szCs w:val="24"/>
          <w:lang w:val="en-US" w:bidi="fa-IR"/>
        </w:rPr>
        <w:t>Bollen, J., Mao, H., &amp; Zeng, X. (2011). Twitter mood predicts the stock market. Journal of Computational Science, 2(1), 1–8. https://doi.org/10.1016/j.jocs.2010.12.007</w:t>
      </w:r>
    </w:p>
    <w:p>
      <w:pPr>
        <w:pStyle w:val="Normal"/>
        <w:spacing w:lineRule="auto" w:line="240" w:before="0" w:after="30"/>
        <w:jc w:val="left"/>
        <w:rPr/>
      </w:pPr>
      <w:r>
        <w:rPr>
          <w:rFonts w:eastAsia="Times New Roman" w:cs="Times New Roman"/>
          <w:sz w:val="24"/>
          <w:szCs w:val="24"/>
          <w:lang w:val="en-US" w:bidi="fa-IR"/>
        </w:rPr>
        <w:t>Bruine de Bruin, W., Parker, A. M., &amp; Fischhoff, B. (2007). Individual differences in adult decision-making competence. Journal of Personality and Social Psychology, 92(5), 938–956. https://doi.org/10.1037/0022-3514.92.5.938</w:t>
      </w:r>
    </w:p>
    <w:p>
      <w:pPr>
        <w:pStyle w:val="Normal"/>
        <w:spacing w:lineRule="auto" w:line="240" w:before="0" w:after="30"/>
        <w:jc w:val="left"/>
        <w:rPr/>
      </w:pPr>
      <w:r>
        <w:rPr>
          <w:rFonts w:eastAsia="Times New Roman" w:cs="Times New Roman"/>
          <w:sz w:val="24"/>
          <w:szCs w:val="24"/>
          <w:lang w:val="en-US" w:bidi="fa-IR"/>
        </w:rPr>
        <w:t>Chang, E. C., Cheng, J. W., &amp; Khorana, A. (2000). An examination of herd behavior in equity markets: An international perspective. Journal of Banking &amp; Finance, 24(10), 1651–1679. https://doi.org/10.1016/S0378-4266(99)00096-5</w:t>
      </w:r>
    </w:p>
    <w:p>
      <w:pPr>
        <w:pStyle w:val="Normal"/>
        <w:spacing w:lineRule="auto" w:line="240" w:before="0" w:after="30"/>
        <w:jc w:val="left"/>
        <w:rPr/>
      </w:pPr>
      <w:r>
        <w:rPr>
          <w:rFonts w:eastAsia="Times New Roman" w:cs="Times New Roman"/>
          <w:sz w:val="24"/>
          <w:szCs w:val="24"/>
          <w:lang w:val="en-US" w:bidi="fa-IR"/>
        </w:rPr>
        <w:t>Chen, H., De, P., Hu, Y. J., &amp; Hwang, B.-H. (2014). Wisdom of crowds: The value of stock opinions transmitted through social media. The Review of Financial Studies, 27(5), 1367–1403. https://doi.org/10.1093/rfs/hhu001</w:t>
      </w:r>
    </w:p>
    <w:p>
      <w:pPr>
        <w:pStyle w:val="Normal"/>
        <w:spacing w:lineRule="auto" w:line="240" w:before="0" w:after="30"/>
        <w:jc w:val="left"/>
        <w:rPr/>
      </w:pPr>
      <w:r>
        <w:rPr>
          <w:rFonts w:eastAsia="Times New Roman" w:cs="Times New Roman"/>
          <w:sz w:val="24"/>
          <w:szCs w:val="24"/>
          <w:lang w:val="en-US" w:bidi="fa-IR"/>
        </w:rPr>
        <w:t>Chiang, T. C., &amp; Zheng, D. (2010). An empirical analysis of herd behavior in global stock markets. Journal of Banking &amp; Finance, 34(8), 1911–1921. https://doi.org/10.1016/j.jbankfin.2009.12.014</w:t>
      </w:r>
    </w:p>
    <w:p>
      <w:pPr>
        <w:pStyle w:val="Normal"/>
        <w:spacing w:lineRule="auto" w:line="240" w:before="0" w:after="30"/>
        <w:jc w:val="left"/>
        <w:rPr/>
      </w:pPr>
      <w:r>
        <w:rPr>
          <w:rFonts w:eastAsia="Times New Roman" w:cs="Times New Roman"/>
          <w:sz w:val="24"/>
          <w:szCs w:val="24"/>
          <w:lang w:val="en-US" w:bidi="fa-IR"/>
        </w:rPr>
        <w:t>Cohen, J. (1988). Statistical power analysis for the behavioral sciences (2nd ed.). Lawrence Erlbaum Associates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Cookson, J. A., &amp; Niessner, M. (2020). Why don't we agree? Evidence from a social network of investors. The Journal of Finance, 75(1), 173–228. https://doi.org/10.1111/jofi.12852</w:t>
      </w:r>
    </w:p>
    <w:p>
      <w:pPr>
        <w:pStyle w:val="Normal"/>
        <w:spacing w:lineRule="auto" w:line="240" w:before="0" w:after="30"/>
        <w:jc w:val="left"/>
        <w:rPr/>
      </w:pPr>
      <w:r>
        <w:rPr>
          <w:rFonts w:eastAsia="Times New Roman" w:cs="Times New Roman"/>
          <w:sz w:val="24"/>
          <w:szCs w:val="24"/>
          <w:lang w:val="en-US" w:bidi="fa-IR"/>
        </w:rPr>
        <w:t>Cookson, J. A., Engelberg, J. E., &amp; Mullins, W. (2023). Echo chambers. The Review of Financial Studies, 36(2), 450–500. https://doi.org/10.1093/rfs/hhac058</w:t>
      </w:r>
    </w:p>
    <w:p>
      <w:pPr>
        <w:pStyle w:val="Normal"/>
        <w:spacing w:lineRule="auto" w:line="240" w:before="0" w:after="30"/>
        <w:jc w:val="left"/>
        <w:rPr/>
      </w:pPr>
      <w:r>
        <w:rPr>
          <w:rFonts w:eastAsia="Times New Roman" w:cs="Times New Roman"/>
          <w:sz w:val="24"/>
          <w:szCs w:val="24"/>
          <w:lang w:val="en-US" w:bidi="fa-IR"/>
        </w:rPr>
        <w:t>Da, Z., Engelberg, J., &amp; Gao, P. (2011). In search of attention. The Journal of Finance, 66(5), 1461–1499. https://doi.org/10.1111/j.1540-6261.2011.01679.x</w:t>
      </w:r>
    </w:p>
    <w:p>
      <w:pPr>
        <w:pStyle w:val="Normal"/>
        <w:spacing w:lineRule="auto" w:line="240" w:before="0" w:after="30"/>
        <w:jc w:val="left"/>
        <w:rPr/>
      </w:pPr>
      <w:r>
        <w:rPr>
          <w:rFonts w:eastAsia="Times New Roman" w:cs="Times New Roman"/>
          <w:sz w:val="24"/>
          <w:szCs w:val="24"/>
          <w:lang w:val="en-US" w:bidi="fa-IR"/>
        </w:rPr>
        <w:t>Elliott, W. B., Grant, S. M., &amp; Hodge, F. D. (2018). Negative news and investor trust: The role of $Firm and #CEO Twitter use. Journal of Accounting Research, 56(5), 1483–1519. https://doi.org/10.1111/1475-679X.12217</w:t>
      </w:r>
    </w:p>
    <w:p>
      <w:pPr>
        <w:pStyle w:val="Normal"/>
        <w:spacing w:lineRule="auto" w:line="240" w:before="0" w:after="30"/>
        <w:jc w:val="left"/>
        <w:rPr/>
      </w:pPr>
      <w:r>
        <w:rPr>
          <w:rFonts w:eastAsia="Times New Roman" w:cs="Times New Roman"/>
          <w:sz w:val="24"/>
          <w:szCs w:val="24"/>
          <w:lang w:val="en-US" w:bidi="fa-IR"/>
        </w:rPr>
        <w:t>Festinger, L. (1954). A theory of social comparison processes. Human Relations, 7(2), 117–140. https://doi.org/10.1177/001872675400700202</w:t>
      </w:r>
    </w:p>
    <w:p>
      <w:pPr>
        <w:pStyle w:val="Normal"/>
        <w:spacing w:lineRule="auto" w:line="240" w:before="0" w:after="30"/>
        <w:jc w:val="left"/>
        <w:rPr/>
      </w:pPr>
      <w:r>
        <w:rPr>
          <w:rFonts w:eastAsia="Times New Roman" w:cs="Times New Roman"/>
          <w:sz w:val="24"/>
          <w:szCs w:val="24"/>
          <w:lang w:val="en-US" w:bidi="fa-IR"/>
        </w:rPr>
        <w:t>Fornell, C., &amp; Larcker, D. F. (1981). Evaluating structural equation models with unobservable variables and measurement error. Journal of Marketing Research, 18(1), 39–50. https://doi.org/10.1177/002224378101800104</w:t>
      </w:r>
    </w:p>
    <w:p>
      <w:pPr>
        <w:pStyle w:val="Normal"/>
        <w:spacing w:lineRule="auto" w:line="240" w:before="0" w:after="30"/>
        <w:jc w:val="left"/>
        <w:rPr/>
      </w:pPr>
      <w:r>
        <w:rPr>
          <w:rFonts w:eastAsia="Times New Roman" w:cs="Times New Roman"/>
          <w:sz w:val="24"/>
          <w:szCs w:val="24"/>
          <w:lang w:val="en-US" w:bidi="fa-IR"/>
        </w:rPr>
        <w:t>Henseler, J., Ringle, C. M., &amp; Sarstedt, M. (2015). A new criterion for assessing discriminant validity in variance-based structural equation modeling. Journal of the Academy of Marketing Science, 43(1), 115–135. https://doi.org/10.1007/s11747-014-0403-8</w:t>
      </w:r>
    </w:p>
    <w:p>
      <w:pPr>
        <w:pStyle w:val="Normal"/>
        <w:spacing w:lineRule="auto" w:line="240" w:before="0" w:after="30"/>
        <w:jc w:val="left"/>
        <w:rPr/>
      </w:pPr>
      <w:r>
        <w:rPr>
          <w:rFonts w:eastAsia="Times New Roman" w:cs="Times New Roman"/>
          <w:sz w:val="24"/>
          <w:szCs w:val="24"/>
          <w:lang w:val="en-US" w:bidi="fa-IR"/>
        </w:rPr>
        <w:t>Hirshleifer, D. (2001). Investor psychology and asset pricing. The Journal of Finance, 56(4), 1533–1597. https://doi.org/10.1111/0022-1082.00379</w:t>
      </w:r>
    </w:p>
    <w:p>
      <w:pPr>
        <w:pStyle w:val="Normal"/>
        <w:spacing w:lineRule="auto" w:line="240" w:before="0" w:after="30"/>
        <w:jc w:val="left"/>
        <w:rPr/>
      </w:pPr>
      <w:r>
        <w:rPr>
          <w:rFonts w:eastAsia="Times New Roman" w:cs="Times New Roman"/>
          <w:sz w:val="24"/>
          <w:szCs w:val="24"/>
          <w:lang w:val="en-US" w:bidi="fa-IR"/>
        </w:rPr>
        <w:t>Hirshleifer, D. (2020). Presidential address: Social transmission bias in economics and finance. The Journal of Finance, 75(4), 1779–1831. https://doi.org/10.1111/jofi.12906</w:t>
      </w:r>
    </w:p>
    <w:p>
      <w:pPr>
        <w:pStyle w:val="Normal"/>
        <w:spacing w:lineRule="auto" w:line="240" w:before="0" w:after="30"/>
        <w:jc w:val="left"/>
        <w:rPr/>
      </w:pPr>
      <w:r>
        <w:rPr>
          <w:rFonts w:eastAsia="Times New Roman" w:cs="Times New Roman"/>
          <w:sz w:val="24"/>
          <w:szCs w:val="24"/>
          <w:lang w:val="en-US" w:bidi="fa-IR"/>
        </w:rPr>
        <w:t>Hirshleifer, D., &amp; Teoh, S. H. (2003a). Herd behaviour and cascading in capital markets: A review and synthesis. European Financial Management, 9(1), 25–66. https://doi.org/10.1111/1468-036X.00207</w:t>
      </w:r>
    </w:p>
    <w:p>
      <w:pPr>
        <w:pStyle w:val="Normal"/>
        <w:spacing w:lineRule="auto" w:line="240" w:before="0" w:after="30"/>
        <w:jc w:val="left"/>
        <w:rPr/>
      </w:pPr>
      <w:r>
        <w:rPr>
          <w:rFonts w:eastAsia="Times New Roman" w:cs="Times New Roman"/>
          <w:sz w:val="24"/>
          <w:szCs w:val="24"/>
          <w:lang w:val="en-US" w:bidi="fa-IR"/>
        </w:rPr>
        <w:t>Hirshleifer, D., &amp; Teoh, S. H. (2003b). Limited attention, information disclosure, and financial reporting. Journal of Accounting and Economics, 36(1–3), 337–386. https://doi.org/10.1016/j.jacceco.2003.10.002</w:t>
      </w:r>
    </w:p>
    <w:p>
      <w:pPr>
        <w:pStyle w:val="Normal"/>
        <w:spacing w:lineRule="auto" w:line="240" w:before="0" w:after="30"/>
        <w:jc w:val="left"/>
        <w:rPr/>
      </w:pPr>
      <w:r>
        <w:rPr>
          <w:rFonts w:eastAsia="Times New Roman" w:cs="Times New Roman"/>
          <w:sz w:val="24"/>
          <w:szCs w:val="24"/>
          <w:lang w:val="en-US" w:bidi="fa-IR"/>
        </w:rPr>
        <w:t>Hong, H., Kubik, J. D., &amp; Stein, J. C. (2004). Social interaction and stock-market participation. The Journal of Finance, 59(1), 137–163. https://doi.org/10.1111/j.1540-6261.2004.00629.x</w:t>
      </w:r>
    </w:p>
    <w:p>
      <w:pPr>
        <w:pStyle w:val="Normal"/>
        <w:spacing w:lineRule="auto" w:line="240" w:before="0" w:after="30"/>
        <w:jc w:val="left"/>
        <w:rPr/>
      </w:pPr>
      <w:r>
        <w:rPr>
          <w:rFonts w:eastAsia="Times New Roman" w:cs="Times New Roman"/>
          <w:sz w:val="24"/>
          <w:szCs w:val="24"/>
          <w:lang w:val="en-US" w:bidi="fa-IR"/>
        </w:rPr>
        <w:t>Hu, L., &amp; Bentler, P. M. (1999). Cutoff criteria for fit indexes in covariance structure analysis: Conventional criteria versus new alternatives. Structural Equation Modeling, 6(1), 1–55. https://doi.org/10.1080/10705519909540118</w:t>
      </w:r>
    </w:p>
    <w:p>
      <w:pPr>
        <w:pStyle w:val="Normal"/>
        <w:spacing w:lineRule="auto" w:line="240" w:before="0" w:after="30"/>
        <w:jc w:val="left"/>
        <w:rPr/>
      </w:pPr>
      <w:r>
        <w:rPr>
          <w:rFonts w:eastAsia="Times New Roman" w:cs="Times New Roman"/>
          <w:sz w:val="24"/>
          <w:szCs w:val="24"/>
          <w:lang w:val="en-US" w:bidi="fa-IR"/>
        </w:rPr>
        <w:t>Igolkina, A. A., &amp; Meshcheryakov, G. (2020). semopy: A Python package for structural equation modeling. Structural Equation Modeling, 27(6), 952–963. https://doi.org/10.1080/10705511.2019.1704289</w:t>
      </w:r>
    </w:p>
    <w:p>
      <w:pPr>
        <w:pStyle w:val="Normal"/>
        <w:spacing w:lineRule="auto" w:line="240" w:before="0" w:after="30"/>
        <w:jc w:val="left"/>
        <w:rPr/>
      </w:pPr>
      <w:r>
        <w:rPr>
          <w:rFonts w:eastAsia="Times New Roman" w:cs="Times New Roman"/>
          <w:sz w:val="24"/>
          <w:szCs w:val="24"/>
          <w:lang w:val="en-US" w:bidi="fa-IR"/>
        </w:rPr>
        <w:t>Kline, R. B. (2023). Principles and practice of structural equation modeling (5th ed.). Guilford Press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Kumar, S., &amp; Goyal, N. (2015). Behavioural biases in investment decision making – a systematic literature review. Qualitative Research in Financial Markets, 7(1), 88–108. https://doi.org/10.1108/QRFM-06-2014-0022</w:t>
      </w:r>
    </w:p>
    <w:p>
      <w:pPr>
        <w:pStyle w:val="Normal"/>
        <w:spacing w:lineRule="auto" w:line="240" w:before="0" w:after="30"/>
        <w:jc w:val="left"/>
        <w:rPr/>
      </w:pPr>
      <w:r>
        <w:rPr>
          <w:rFonts w:eastAsia="Times New Roman" w:cs="Times New Roman"/>
          <w:sz w:val="24"/>
          <w:szCs w:val="24"/>
          <w:lang w:val="en-US" w:bidi="fa-IR"/>
        </w:rPr>
        <w:t>Lawrence, A. (2013). Individual investors and financial disclosure. Journal of Accounting and Economics, 56(1), 130–147. https://doi.org/10.1016/j.jacceco.2013.05.001</w:t>
      </w:r>
    </w:p>
    <w:p>
      <w:pPr>
        <w:pStyle w:val="Normal"/>
        <w:spacing w:lineRule="auto" w:line="240" w:before="0" w:after="30"/>
        <w:jc w:val="left"/>
        <w:rPr/>
      </w:pPr>
      <w:r>
        <w:rPr>
          <w:rFonts w:eastAsia="Times New Roman" w:cs="Times New Roman"/>
          <w:sz w:val="24"/>
          <w:szCs w:val="24"/>
          <w:lang w:val="en-US" w:bidi="fa-IR"/>
        </w:rPr>
        <w:t>Lerner, J. S., Li, Y., Valdesolo, P., &amp; Kassam, K. S. (2015). Emotion and decision making. Annual Review of Psychology, 66, 799–823. https://doi.org/10.1146/annurev-psych-010213-115043</w:t>
      </w:r>
    </w:p>
    <w:p>
      <w:pPr>
        <w:pStyle w:val="Normal"/>
        <w:spacing w:lineRule="auto" w:line="240" w:before="0" w:after="30"/>
        <w:jc w:val="left"/>
        <w:rPr/>
      </w:pPr>
      <w:r>
        <w:rPr>
          <w:rFonts w:eastAsia="Times New Roman" w:cs="Times New Roman"/>
          <w:sz w:val="24"/>
          <w:szCs w:val="24"/>
          <w:lang w:val="en-US" w:bidi="fa-IR"/>
        </w:rPr>
        <w:t>Li, C.-H. (2016). Confirmatory factor analysis with ordinal data: Comparing robust maximum likelihood and diagonally weighted least squares. Behavior Research Methods, 48(3), 936–949. https://doi.org/10.3758/s13428-015-0619-7</w:t>
      </w:r>
    </w:p>
    <w:p>
      <w:pPr>
        <w:pStyle w:val="Normal"/>
        <w:spacing w:lineRule="auto" w:line="240" w:before="0" w:after="30"/>
        <w:jc w:val="left"/>
        <w:rPr/>
      </w:pPr>
      <w:r>
        <w:rPr>
          <w:rFonts w:eastAsia="Times New Roman" w:cs="Times New Roman"/>
          <w:sz w:val="24"/>
          <w:szCs w:val="24"/>
          <w:lang w:val="en-US" w:bidi="fa-IR"/>
        </w:rPr>
        <w:t>Little, T. D., Bovaird, J. A., &amp; Widaman, K. F. (2006). On the merits of orthogonalizing powered and product terms: Implications for modeling interactions among latent variables. Structural Equation Modeling, 13(4), 497–519. https://doi.org/10.1207/s15328007sem1304_1</w:t>
      </w:r>
    </w:p>
    <w:p>
      <w:pPr>
        <w:pStyle w:val="Normal"/>
        <w:spacing w:lineRule="auto" w:line="240" w:before="0" w:after="30"/>
        <w:jc w:val="left"/>
        <w:rPr/>
      </w:pPr>
      <w:r>
        <w:rPr>
          <w:rFonts w:eastAsia="Times New Roman" w:cs="Times New Roman"/>
          <w:sz w:val="24"/>
          <w:szCs w:val="24"/>
          <w:lang w:val="en-US" w:bidi="fa-IR"/>
        </w:rPr>
        <w:t>Loomes, G., &amp; Sugden, R. (1982). Regret theory: An alternative theory of rational choice under uncertainty. The Economic Journal, 92(368), 805–824. https://doi.org/10.2307/2232669</w:t>
      </w:r>
    </w:p>
    <w:p>
      <w:pPr>
        <w:pStyle w:val="Normal"/>
        <w:spacing w:lineRule="auto" w:line="240" w:before="0" w:after="30"/>
        <w:jc w:val="left"/>
        <w:rPr/>
      </w:pPr>
      <w:r>
        <w:rPr>
          <w:rFonts w:eastAsia="Times New Roman" w:cs="Times New Roman"/>
          <w:sz w:val="24"/>
          <w:szCs w:val="24"/>
          <w:lang w:val="en-US" w:bidi="fa-IR"/>
        </w:rPr>
        <w:t>MacCallum, R. C., Browne, M. W., &amp; Sugawara, H. M. (1996). Power analysis and determination of sample size for covariance structure modeling. Psychological Methods, 1(2), 130–149. https://doi.org/10.1037/1082-989X.1.2.130</w:t>
      </w:r>
    </w:p>
    <w:p>
      <w:pPr>
        <w:pStyle w:val="Normal"/>
        <w:spacing w:lineRule="auto" w:line="240" w:before="0" w:after="30"/>
        <w:jc w:val="left"/>
        <w:rPr/>
      </w:pPr>
      <w:r>
        <w:rPr>
          <w:rFonts w:eastAsia="Times New Roman" w:cs="Times New Roman"/>
          <w:sz w:val="24"/>
          <w:szCs w:val="24"/>
          <w:lang w:val="en-US" w:bidi="fa-IR"/>
        </w:rPr>
        <w:t>Mardia, K. V. (1970). Measures of multivariate skewness and kurtosis with applications. Biometrika, 57(3), 519–530. https://doi.org/10.1093/biomet/57.3.519</w:t>
      </w:r>
    </w:p>
    <w:p>
      <w:pPr>
        <w:pStyle w:val="Normal"/>
        <w:spacing w:lineRule="auto" w:line="240" w:before="0" w:after="30"/>
        <w:jc w:val="left"/>
        <w:rPr/>
      </w:pPr>
      <w:r>
        <w:rPr>
          <w:rFonts w:eastAsia="Times New Roman" w:cs="Times New Roman"/>
          <w:sz w:val="24"/>
          <w:szCs w:val="24"/>
          <w:lang w:val="en-US" w:bidi="fa-IR"/>
        </w:rPr>
        <w:t>Marsh, H. W., Wen, Z., &amp; Hau, K.-T. (2004). Structural equation models of latent interactions: Evaluation of alternative estimation strategies and indicator construction. Psychological Methods, 9(3), 275–300. https://doi.org/10.1037/1082-989X.9.3.275</w:t>
      </w:r>
    </w:p>
    <w:p>
      <w:pPr>
        <w:pStyle w:val="Normal"/>
        <w:spacing w:lineRule="auto" w:line="240" w:before="0" w:after="30"/>
        <w:jc w:val="left"/>
        <w:rPr/>
      </w:pPr>
      <w:r>
        <w:rPr>
          <w:rFonts w:eastAsia="Times New Roman" w:cs="Times New Roman"/>
          <w:sz w:val="24"/>
          <w:szCs w:val="24"/>
          <w:lang w:val="en-US" w:bidi="fa-IR"/>
        </w:rPr>
        <w:t>Miller, G. S., &amp; Skinner, D. J. (2015). The evolving disclosure landscape: How changes in technology, the media, and capital markets are affecting disclosure. Journal of Accounting Research, 53(2), 221–239. https://doi.org/10.1111/1475-679X.12075</w:t>
      </w:r>
    </w:p>
    <w:p>
      <w:pPr>
        <w:pStyle w:val="Normal"/>
        <w:spacing w:lineRule="auto" w:line="240" w:before="0" w:after="30"/>
        <w:jc w:val="left"/>
        <w:rPr/>
      </w:pPr>
      <w:r>
        <w:rPr>
          <w:rFonts w:eastAsia="Times New Roman" w:cs="Times New Roman"/>
          <w:sz w:val="24"/>
          <w:szCs w:val="24"/>
          <w:lang w:val="en-US" w:bidi="fa-IR"/>
        </w:rPr>
        <w:t>Milyavskaya, M., Saffran, M., Hope, N., &amp; Koestner, R. (2018). Fear of missing out: Prevalence, dynamics, and consequences of experiencing FOMO. Motivation and Emotion, 42(5), 725–737. https://doi.org/10.1007/s11031-018-9683-5</w:t>
      </w:r>
    </w:p>
    <w:p>
      <w:pPr>
        <w:pStyle w:val="Normal"/>
        <w:spacing w:lineRule="auto" w:line="240" w:before="0" w:after="30"/>
        <w:jc w:val="left"/>
        <w:rPr/>
      </w:pPr>
      <w:r>
        <w:rPr>
          <w:rFonts w:eastAsia="Times New Roman" w:cs="Times New Roman"/>
          <w:sz w:val="24"/>
          <w:szCs w:val="24"/>
          <w:lang w:val="en-US" w:bidi="fa-IR"/>
        </w:rPr>
        <w:t>Odean, T. (1998). Are investors reluctant to realize their losses? The Journal of Finance, 53(5), 1775–1798. https://doi.org/10.1111/0022-1082.00072</w:t>
      </w:r>
    </w:p>
    <w:p>
      <w:pPr>
        <w:pStyle w:val="Normal"/>
        <w:spacing w:lineRule="auto" w:line="240" w:before="0" w:after="30"/>
        <w:jc w:val="left"/>
        <w:rPr/>
      </w:pPr>
      <w:r>
        <w:rPr>
          <w:rFonts w:eastAsia="Times New Roman" w:cs="Times New Roman"/>
          <w:sz w:val="24"/>
          <w:szCs w:val="24"/>
          <w:lang w:val="en-US" w:bidi="fa-IR"/>
        </w:rPr>
        <w:t>Parker, A. M., &amp; Fischhoff, B. (2005). Decision-making competence: External validation through an individual-differences approach. Journal of Behavioral Decision Making, 18(1), 1–27. https://doi.org/10.1002/bdm.481</w:t>
      </w:r>
    </w:p>
    <w:p>
      <w:pPr>
        <w:pStyle w:val="Normal"/>
        <w:spacing w:lineRule="auto" w:line="240" w:before="0" w:after="30"/>
        <w:jc w:val="left"/>
        <w:rPr/>
      </w:pPr>
      <w:r>
        <w:rPr>
          <w:rFonts w:eastAsia="Times New Roman" w:cs="Times New Roman"/>
          <w:sz w:val="24"/>
          <w:szCs w:val="24"/>
          <w:lang w:val="en-US" w:bidi="fa-IR"/>
        </w:rPr>
        <w:t>Podsakoff, P. M., MacKenzie, S. B., Lee, J.-Y., &amp; Podsakoff, N. P. (2003). Common method biases in behavioral research: A critical review of the literature and recommended remedies. Journal of Applied Psychology, 88(5), 879–903. https://doi.org/10.1037/0021-9010.88.5.879</w:t>
      </w:r>
    </w:p>
    <w:p>
      <w:pPr>
        <w:pStyle w:val="Normal"/>
        <w:spacing w:lineRule="auto" w:line="240" w:before="0" w:after="30"/>
        <w:jc w:val="left"/>
        <w:rPr/>
      </w:pPr>
      <w:r>
        <w:rPr>
          <w:rFonts w:eastAsia="Times New Roman" w:cs="Times New Roman"/>
          <w:sz w:val="24"/>
          <w:szCs w:val="24"/>
          <w:lang w:val="en-US" w:bidi="fa-IR"/>
        </w:rPr>
        <w:t>Preacher, K. J., &amp; Hayes, A. F. (2008). Asymptotic and resampling strategies for assessing and comparing indirect effects in multiple mediator models. Behavior Research Methods, 40(3), 879–891. https://doi.org/10.3758/BRM.40.3.879</w:t>
      </w:r>
    </w:p>
    <w:p>
      <w:pPr>
        <w:pStyle w:val="Normal"/>
        <w:spacing w:lineRule="auto" w:line="240" w:before="0" w:after="30"/>
        <w:jc w:val="left"/>
        <w:rPr/>
      </w:pPr>
      <w:r>
        <w:rPr>
          <w:rFonts w:eastAsia="Times New Roman" w:cs="Times New Roman"/>
          <w:sz w:val="24"/>
          <w:szCs w:val="24"/>
          <w:lang w:val="en-US" w:bidi="fa-IR"/>
        </w:rPr>
        <w:t>Preacher, K. J., Rucker, D. D., &amp; Hayes, A. F. (2007). Addressing moderated mediation hypotheses: Theory, methods, and prescriptions. Multivariate Behavioral Research, 42(1), 185–227. https://doi.org/10.1080/00273170701341316</w:t>
      </w:r>
    </w:p>
    <w:p>
      <w:pPr>
        <w:pStyle w:val="Normal"/>
        <w:spacing w:lineRule="auto" w:line="240" w:before="0" w:after="30"/>
        <w:jc w:val="left"/>
        <w:rPr/>
      </w:pPr>
      <w:r>
        <w:rPr>
          <w:rFonts w:eastAsia="Times New Roman" w:cs="Times New Roman"/>
          <w:sz w:val="24"/>
          <w:szCs w:val="24"/>
          <w:lang w:val="en-US" w:bidi="fa-IR"/>
        </w:rPr>
        <w:t>Przybylski, A. K., Murayama, K., DeHaan, C. R., &amp; Gladwell, V. (2013). Motivational, emotional, and behavioral correlates of fear of missing out. Computers in Human Behavior, 29(4), 1841–1848. https://doi.org/10.1016/j.chb.2013.02.014</w:t>
      </w:r>
    </w:p>
    <w:p>
      <w:pPr>
        <w:pStyle w:val="Normal"/>
        <w:spacing w:lineRule="auto" w:line="240" w:before="0" w:after="30"/>
        <w:jc w:val="left"/>
        <w:rPr/>
      </w:pPr>
      <w:r>
        <w:rPr>
          <w:rFonts w:eastAsia="Times New Roman" w:cs="Times New Roman"/>
          <w:sz w:val="24"/>
          <w:szCs w:val="24"/>
          <w:lang w:val="en-US" w:bidi="fa-IR"/>
        </w:rPr>
        <w:t>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pStyle w:val="Normal"/>
        <w:spacing w:lineRule="auto" w:line="240" w:before="0" w:after="30"/>
        <w:jc w:val="left"/>
        <w:rPr/>
      </w:pPr>
      <w:r>
        <w:rPr>
          <w:rFonts w:eastAsia="Times New Roman" w:cs="Times New Roman"/>
          <w:sz w:val="24"/>
          <w:szCs w:val="24"/>
          <w:lang w:val="en-US" w:bidi="fa-IR"/>
        </w:rPr>
        <w:t>Scharfstein, D. S., &amp; Stein, J. C. (1990). Herd behavior and investment. The American Economic Review, 80(3), 465–479</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Shiller, R. J. (2017). Narrative economics. American Economic Review, 107(4), 967–1004. https://doi.org/10.1257/aer.107.4.967</w:t>
      </w:r>
    </w:p>
    <w:p>
      <w:pPr>
        <w:pStyle w:val="Normal"/>
        <w:spacing w:lineRule="auto" w:line="240" w:before="0" w:after="30"/>
        <w:jc w:val="left"/>
        <w:rPr/>
      </w:pPr>
      <w:r>
        <w:rPr>
          <w:rFonts w:eastAsia="Times New Roman" w:cs="Times New Roman"/>
          <w:sz w:val="24"/>
          <w:szCs w:val="24"/>
          <w:lang w:val="en-US" w:bidi="fa-IR"/>
        </w:rPr>
        <w:t>Taylor, A. B., MacKinnon, D. P., &amp; Tein, J.-Y. (2008). Tests of the three-path mediated effect. Organizational Research Methods, 11(2), 241–269. https://doi.org/10.1177/1094428107300344</w:t>
      </w:r>
    </w:p>
    <w:p>
      <w:pPr>
        <w:pStyle w:val="Normal"/>
        <w:spacing w:lineRule="auto" w:line="240" w:before="0" w:after="30"/>
        <w:jc w:val="left"/>
        <w:rPr/>
      </w:pPr>
      <w:r>
        <w:rPr>
          <w:rFonts w:eastAsia="Times New Roman" w:cs="Times New Roman"/>
          <w:sz w:val="24"/>
          <w:szCs w:val="24"/>
          <w:lang w:val="en-US" w:bidi="fa-IR"/>
        </w:rPr>
        <w:t>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even" r:id="rId5"/>
      <w:footerReference w:type="default" r:id="rId6"/>
      <w:footerReference w:type="first" r:id="rId7"/>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26</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26</w:t>
    </w:r>
    <w:r>
      <w:rPr>
        <w:rtl w:val="true"/>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 </w:t>
      </w:r>
      <w:r>
        <w:rPr>
          <w:rFonts w:cs="Times New Roman"/>
          <w:sz w:val="22"/>
          <w:szCs w:val="22"/>
        </w:rPr>
        <w:t>Chen et al.</w:t>
      </w:r>
    </w:p>
  </w:footnote>
  <w:footnote w:id="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 </w:t>
      </w:r>
      <w:r>
        <w:rPr>
          <w:rFonts w:cs="Times New Roman"/>
          <w:sz w:val="22"/>
          <w:szCs w:val="22"/>
        </w:rPr>
        <w:t>Bollen et al.</w:t>
      </w:r>
    </w:p>
  </w:footnote>
  <w:footnote w:id="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 </w:t>
      </w:r>
      <w:r>
        <w:rPr>
          <w:rFonts w:cs="Times New Roman"/>
          <w:sz w:val="22"/>
          <w:szCs w:val="22"/>
        </w:rPr>
        <w:t>Da et al.</w:t>
      </w:r>
    </w:p>
  </w:footnote>
  <w:footnote w:id="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 </w:t>
      </w:r>
      <w:r>
        <w:rPr>
          <w:rFonts w:cs="Times New Roman"/>
          <w:sz w:val="22"/>
          <w:szCs w:val="22"/>
        </w:rPr>
        <w:t>Barber &amp; Odean</w:t>
      </w:r>
    </w:p>
  </w:footnote>
  <w:footnote w:id="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 </w:t>
      </w:r>
      <w:r>
        <w:rPr>
          <w:rFonts w:cs="Times New Roman"/>
          <w:sz w:val="22"/>
          <w:szCs w:val="22"/>
        </w:rPr>
        <w:t>Cookson &amp; Niessner</w:t>
      </w:r>
    </w:p>
  </w:footnote>
  <w:footnote w:id="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 </w:t>
      </w:r>
      <w:r>
        <w:rPr>
          <w:rFonts w:cs="Times New Roman"/>
          <w:sz w:val="22"/>
          <w:szCs w:val="22"/>
        </w:rPr>
        <w:t>Cookson et al.</w:t>
      </w:r>
    </w:p>
  </w:footnote>
  <w:footnote w:id="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۷ </w:t>
      </w:r>
      <w:r>
        <w:rPr>
          <w:rFonts w:cs="Times New Roman"/>
          <w:sz w:val="22"/>
          <w:szCs w:val="22"/>
        </w:rPr>
        <w:t>Hirshleifer</w:t>
      </w:r>
    </w:p>
  </w:footnote>
  <w:footnote w:id="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۸ </w:t>
      </w:r>
      <w:r>
        <w:rPr>
          <w:rFonts w:cs="Times New Roman"/>
          <w:sz w:val="22"/>
          <w:szCs w:val="22"/>
        </w:rPr>
        <w:t>Information cascade theory</w:t>
      </w:r>
    </w:p>
  </w:footnote>
  <w:footnote w:id="1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۹ </w:t>
      </w:r>
      <w:r>
        <w:rPr>
          <w:rFonts w:cs="Times New Roman"/>
          <w:sz w:val="22"/>
          <w:szCs w:val="22"/>
        </w:rPr>
        <w:t>Bikhchandani et al.</w:t>
      </w:r>
    </w:p>
  </w:footnote>
  <w:footnote w:id="1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۱۰ </w:t>
      </w:r>
      <w:r>
        <w:rPr>
          <w:rFonts w:cs="Times New Roman"/>
          <w:sz w:val="22"/>
          <w:szCs w:val="22"/>
        </w:rPr>
        <w:t>Banerjee</w:t>
      </w:r>
    </w:p>
  </w:footnote>
  <w:footnote w:id="1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۱۱ </w:t>
      </w:r>
      <w:r>
        <w:rPr>
          <w:rFonts w:cs="Times New Roman"/>
          <w:sz w:val="22"/>
          <w:szCs w:val="22"/>
        </w:rPr>
        <w:t>Fear of Missing Out</w:t>
      </w:r>
    </w:p>
  </w:footnote>
  <w:footnote w:id="1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۱۲ </w:t>
      </w:r>
      <w:r>
        <w:rPr>
          <w:rFonts w:cs="Times New Roman"/>
          <w:sz w:val="22"/>
          <w:szCs w:val="22"/>
        </w:rPr>
        <w:t>Przybylski et al.</w:t>
      </w:r>
    </w:p>
  </w:footnote>
  <w:footnote w:id="1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۱۳ </w:t>
      </w:r>
      <w:r>
        <w:rPr>
          <w:rFonts w:cs="Times New Roman"/>
          <w:sz w:val="22"/>
          <w:szCs w:val="22"/>
        </w:rPr>
        <w:t>Social comparison theory</w:t>
      </w:r>
    </w:p>
  </w:footnote>
  <w:footnote w:id="1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۱۴ </w:t>
      </w:r>
      <w:r>
        <w:rPr>
          <w:rFonts w:cs="Times New Roman"/>
          <w:sz w:val="22"/>
          <w:szCs w:val="22"/>
        </w:rPr>
        <w:t>Festinger</w:t>
      </w:r>
    </w:p>
  </w:footnote>
  <w:footnote w:id="1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۱۵ </w:t>
      </w:r>
      <w:r>
        <w:rPr>
          <w:rFonts w:cs="Times New Roman"/>
          <w:sz w:val="22"/>
          <w:szCs w:val="22"/>
        </w:rPr>
        <w:t>Parker &amp; Fischhoff</w:t>
      </w:r>
    </w:p>
  </w:footnote>
  <w:footnote w:id="1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۱۶ </w:t>
      </w:r>
      <w:r>
        <w:rPr>
          <w:rFonts w:cs="Times New Roman"/>
          <w:sz w:val="22"/>
          <w:szCs w:val="22"/>
        </w:rPr>
        <w:t>Bruine de Bruin et al.</w:t>
      </w:r>
    </w:p>
  </w:footnote>
  <w:footnote w:id="1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۱۷ </w:t>
      </w:r>
      <w:r>
        <w:rPr>
          <w:rFonts w:cs="Times New Roman"/>
          <w:sz w:val="22"/>
          <w:szCs w:val="22"/>
        </w:rPr>
        <w:t>Odean</w:t>
      </w:r>
    </w:p>
  </w:footnote>
  <w:footnote w:id="1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۱۸ </w:t>
      </w:r>
      <w:r>
        <w:rPr>
          <w:rFonts w:cs="Times New Roman"/>
          <w:sz w:val="22"/>
          <w:szCs w:val="22"/>
        </w:rPr>
        <w:t>Kumar &amp; Goyal</w:t>
      </w:r>
    </w:p>
  </w:footnote>
  <w:footnote w:id="2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۱۹ </w:t>
      </w:r>
      <w:r>
        <w:rPr>
          <w:rFonts w:cs="Times New Roman"/>
          <w:sz w:val="22"/>
          <w:szCs w:val="22"/>
        </w:rPr>
        <w:t>Shiller</w:t>
      </w:r>
    </w:p>
  </w:footnote>
  <w:footnote w:id="2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۲۰ </w:t>
      </w:r>
      <w:r>
        <w:rPr>
          <w:rFonts w:cs="Times New Roman"/>
          <w:sz w:val="22"/>
          <w:szCs w:val="22"/>
        </w:rPr>
        <w:t>Hong et al.</w:t>
      </w:r>
    </w:p>
  </w:footnote>
  <w:footnote w:id="2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۲۱ </w:t>
      </w:r>
      <w:r>
        <w:rPr>
          <w:rFonts w:cs="Times New Roman"/>
          <w:sz w:val="22"/>
          <w:szCs w:val="22"/>
        </w:rPr>
        <w:t>Abel et al.</w:t>
      </w:r>
    </w:p>
  </w:footnote>
  <w:footnote w:id="2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۲۲ </w:t>
      </w:r>
      <w:r>
        <w:rPr>
          <w:rFonts w:cs="Times New Roman"/>
          <w:sz w:val="22"/>
          <w:szCs w:val="22"/>
        </w:rPr>
        <w:t>Milyavskaya et al.</w:t>
      </w:r>
    </w:p>
  </w:footnote>
  <w:footnote w:id="2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۲۳ </w:t>
      </w:r>
      <w:r>
        <w:rPr>
          <w:rFonts w:cs="Times New Roman"/>
          <w:sz w:val="22"/>
          <w:szCs w:val="22"/>
        </w:rPr>
        <w:t>Regret theory</w:t>
      </w:r>
    </w:p>
  </w:footnote>
  <w:footnote w:id="2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۲۴ </w:t>
      </w:r>
      <w:r>
        <w:rPr>
          <w:rFonts w:cs="Times New Roman"/>
          <w:sz w:val="22"/>
          <w:szCs w:val="22"/>
        </w:rPr>
        <w:t>Loomes &amp; Sugden</w:t>
      </w:r>
    </w:p>
  </w:footnote>
  <w:footnote w:id="2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۲۵ </w:t>
      </w:r>
      <w:r>
        <w:rPr>
          <w:rFonts w:cs="Times New Roman"/>
          <w:sz w:val="22"/>
          <w:szCs w:val="22"/>
        </w:rPr>
        <w:t>Lerner et al.</w:t>
      </w:r>
    </w:p>
  </w:footnote>
  <w:footnote w:id="2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۲۶ </w:t>
      </w:r>
      <w:r>
        <w:rPr>
          <w:rFonts w:cs="Times New Roman"/>
          <w:sz w:val="22"/>
          <w:szCs w:val="22"/>
        </w:rPr>
        <w:t>Herding</w:t>
      </w:r>
    </w:p>
  </w:footnote>
  <w:footnote w:id="2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۲۷ </w:t>
      </w:r>
      <w:r>
        <w:rPr>
          <w:rFonts w:cs="Times New Roman"/>
          <w:sz w:val="22"/>
          <w:szCs w:val="22"/>
        </w:rPr>
        <w:t>Scharfstein &amp; Stein</w:t>
      </w:r>
    </w:p>
  </w:footnote>
  <w:footnote w:id="2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۲۸ </w:t>
      </w:r>
      <w:r>
        <w:rPr>
          <w:rFonts w:cs="Times New Roman"/>
          <w:sz w:val="22"/>
          <w:szCs w:val="22"/>
        </w:rPr>
        <w:t>Hirshleifer &amp; Teoh</w:t>
      </w:r>
    </w:p>
  </w:footnote>
  <w:footnote w:id="3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۲۹ </w:t>
      </w:r>
      <w:r>
        <w:rPr>
          <w:rFonts w:cs="Times New Roman"/>
          <w:sz w:val="22"/>
          <w:szCs w:val="22"/>
        </w:rPr>
        <w:t>Bikhchandani &amp; Sharma</w:t>
      </w:r>
    </w:p>
  </w:footnote>
  <w:footnote w:id="3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۳۰ </w:t>
      </w:r>
      <w:r>
        <w:rPr>
          <w:rFonts w:cs="Times New Roman"/>
          <w:sz w:val="22"/>
          <w:szCs w:val="22"/>
        </w:rPr>
        <w:t>Chang et al.</w:t>
      </w:r>
    </w:p>
  </w:footnote>
  <w:footnote w:id="3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۳۱ </w:t>
      </w:r>
      <w:r>
        <w:rPr>
          <w:rFonts w:cs="Times New Roman"/>
          <w:sz w:val="22"/>
          <w:szCs w:val="22"/>
        </w:rPr>
        <w:t>Chiang &amp; Zheng</w:t>
      </w:r>
    </w:p>
  </w:footnote>
  <w:footnote w:id="3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۳۲ </w:t>
      </w:r>
      <w:r>
        <w:rPr>
          <w:rFonts w:cs="Times New Roman"/>
          <w:sz w:val="22"/>
          <w:szCs w:val="22"/>
        </w:rPr>
        <w:t>Mediation</w:t>
      </w:r>
    </w:p>
  </w:footnote>
  <w:footnote w:id="3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۳۳ </w:t>
      </w:r>
      <w:r>
        <w:rPr>
          <w:rFonts w:cs="Times New Roman"/>
          <w:sz w:val="22"/>
          <w:szCs w:val="22"/>
        </w:rPr>
        <w:t>Bootstrapping</w:t>
      </w:r>
    </w:p>
  </w:footnote>
  <w:footnote w:id="3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۳۴ </w:t>
      </w:r>
      <w:r>
        <w:rPr>
          <w:rFonts w:cs="Times New Roman"/>
          <w:sz w:val="22"/>
          <w:szCs w:val="22"/>
        </w:rPr>
        <w:t>Preacher &amp; Hayes</w:t>
      </w:r>
    </w:p>
  </w:footnote>
  <w:footnote w:id="3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۳۵ </w:t>
      </w:r>
      <w:r>
        <w:rPr>
          <w:rFonts w:cs="Times New Roman"/>
          <w:sz w:val="22"/>
          <w:szCs w:val="22"/>
        </w:rPr>
        <w:t>Taylor et al.</w:t>
      </w:r>
    </w:p>
  </w:footnote>
  <w:footnote w:id="3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۳۶ </w:t>
      </w:r>
      <w:r>
        <w:rPr>
          <w:rFonts w:cs="Times New Roman"/>
          <w:sz w:val="22"/>
          <w:szCs w:val="22"/>
        </w:rPr>
        <w:t>Ball &amp; Brown</w:t>
      </w:r>
    </w:p>
  </w:footnote>
  <w:footnote w:id="3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۳۷ </w:t>
      </w:r>
      <w:r>
        <w:rPr>
          <w:rFonts w:cs="Times New Roman"/>
          <w:sz w:val="22"/>
          <w:szCs w:val="22"/>
        </w:rPr>
        <w:t>Beaver</w:t>
      </w:r>
    </w:p>
  </w:footnote>
  <w:footnote w:id="3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۳۸ </w:t>
      </w:r>
      <w:r>
        <w:rPr>
          <w:rFonts w:cs="Times New Roman"/>
          <w:sz w:val="22"/>
          <w:szCs w:val="22"/>
        </w:rPr>
        <w:t>Lawrence</w:t>
      </w:r>
    </w:p>
  </w:footnote>
  <w:footnote w:id="4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۳۹ </w:t>
      </w:r>
      <w:r>
        <w:rPr>
          <w:rFonts w:cs="Times New Roman"/>
          <w:sz w:val="22"/>
          <w:szCs w:val="22"/>
        </w:rPr>
        <w:t>Miller &amp; Skinner</w:t>
      </w:r>
    </w:p>
  </w:footnote>
  <w:footnote w:id="4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۴۰ </w:t>
      </w:r>
      <w:r>
        <w:rPr>
          <w:rFonts w:cs="Times New Roman"/>
          <w:sz w:val="22"/>
          <w:szCs w:val="22"/>
        </w:rPr>
        <w:t>Blankespoor et al.</w:t>
      </w:r>
    </w:p>
  </w:footnote>
  <w:footnote w:id="4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۴۱ </w:t>
      </w:r>
      <w:r>
        <w:rPr>
          <w:rFonts w:cs="Times New Roman"/>
          <w:sz w:val="22"/>
          <w:szCs w:val="22"/>
        </w:rPr>
        <w:t>Bartov et al.</w:t>
      </w:r>
    </w:p>
  </w:footnote>
  <w:footnote w:id="4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۴۲ </w:t>
      </w:r>
      <w:r>
        <w:rPr>
          <w:rFonts w:cs="Times New Roman"/>
          <w:sz w:val="22"/>
          <w:szCs w:val="22"/>
        </w:rPr>
        <w:t>Elliott et al.</w:t>
      </w:r>
    </w:p>
  </w:footnote>
  <w:footnote w:id="4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۴۳ </w:t>
      </w:r>
      <w:r>
        <w:rPr>
          <w:rFonts w:cs="Times New Roman"/>
          <w:sz w:val="22"/>
          <w:szCs w:val="22"/>
        </w:rPr>
        <w:t>Moderation</w:t>
      </w:r>
    </w:p>
  </w:footnote>
  <w:footnote w:id="4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۴۴ </w:t>
      </w:r>
      <w:r>
        <w:rPr>
          <w:rFonts w:cs="Times New Roman"/>
          <w:sz w:val="22"/>
          <w:szCs w:val="22"/>
        </w:rPr>
        <w:t>Moderated mediation</w:t>
      </w:r>
    </w:p>
  </w:footnote>
  <w:footnote w:id="4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۴۵ </w:t>
      </w:r>
      <w:r>
        <w:rPr>
          <w:rFonts w:cs="Times New Roman"/>
          <w:sz w:val="22"/>
          <w:szCs w:val="22"/>
        </w:rPr>
        <w:t>Preacher et al.</w:t>
      </w:r>
    </w:p>
  </w:footnote>
  <w:footnote w:id="4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۴۶ </w:t>
      </w:r>
      <w:r>
        <w:rPr>
          <w:rFonts w:cs="Times New Roman"/>
          <w:sz w:val="22"/>
          <w:szCs w:val="22"/>
        </w:rPr>
        <w:t>Structural Equation Modeling</w:t>
      </w:r>
    </w:p>
  </w:footnote>
  <w:footnote w:id="4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۴۷ </w:t>
      </w:r>
      <w:r>
        <w:rPr>
          <w:rFonts w:cs="Times New Roman"/>
          <w:sz w:val="22"/>
          <w:szCs w:val="22"/>
        </w:rPr>
        <w:t>Wolf et al.</w:t>
      </w:r>
    </w:p>
  </w:footnote>
  <w:footnote w:id="4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۴۸ </w:t>
      </w:r>
      <w:r>
        <w:rPr>
          <w:rFonts w:cs="Times New Roman"/>
          <w:sz w:val="22"/>
          <w:szCs w:val="22"/>
        </w:rPr>
        <w:t>Kline</w:t>
      </w:r>
    </w:p>
  </w:footnote>
  <w:footnote w:id="5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۴۹ </w:t>
      </w:r>
      <w:r>
        <w:rPr>
          <w:rFonts w:cs="Times New Roman"/>
          <w:sz w:val="22"/>
          <w:szCs w:val="22"/>
        </w:rPr>
        <w:t>MacCallum et al.</w:t>
      </w:r>
    </w:p>
  </w:footnote>
  <w:footnote w:id="5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۵۰ </w:t>
      </w:r>
      <w:r>
        <w:rPr>
          <w:rFonts w:cs="Times New Roman"/>
          <w:sz w:val="22"/>
          <w:szCs w:val="22"/>
        </w:rPr>
        <w:t>Igolkina &amp; Meshcheryakov</w:t>
      </w:r>
    </w:p>
  </w:footnote>
  <w:footnote w:id="5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۵۱ </w:t>
      </w:r>
      <w:r>
        <w:rPr>
          <w:rFonts w:cs="Times New Roman"/>
          <w:sz w:val="22"/>
          <w:szCs w:val="22"/>
        </w:rPr>
        <w:t>Mardia</w:t>
      </w:r>
    </w:p>
  </w:footnote>
  <w:footnote w:id="5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۵۲ </w:t>
      </w:r>
      <w:r>
        <w:rPr>
          <w:rFonts w:cs="Times New Roman"/>
          <w:sz w:val="22"/>
          <w:szCs w:val="22"/>
        </w:rPr>
        <w:t>Maximum likelihood estimation</w:t>
      </w:r>
    </w:p>
  </w:footnote>
  <w:footnote w:id="5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۵۳ </w:t>
      </w:r>
      <w:r>
        <w:rPr>
          <w:rFonts w:cs="Times New Roman"/>
          <w:sz w:val="22"/>
          <w:szCs w:val="22"/>
        </w:rPr>
        <w:t>Rhemtulla et al.</w:t>
      </w:r>
    </w:p>
  </w:footnote>
  <w:footnote w:id="5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۵۴ </w:t>
      </w:r>
      <w:r>
        <w:rPr>
          <w:rFonts w:cs="Times New Roman"/>
          <w:sz w:val="22"/>
          <w:szCs w:val="22"/>
        </w:rPr>
        <w:t>Diagonally weighted least squares</w:t>
      </w:r>
    </w:p>
  </w:footnote>
  <w:footnote w:id="5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۵۵ </w:t>
      </w:r>
      <w:r>
        <w:rPr>
          <w:rFonts w:cs="Times New Roman"/>
          <w:sz w:val="22"/>
          <w:szCs w:val="22"/>
        </w:rPr>
        <w:t>Li</w:t>
      </w:r>
    </w:p>
  </w:footnote>
  <w:footnote w:id="5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۵۶ </w:t>
      </w:r>
      <w:r>
        <w:rPr>
          <w:rFonts w:cs="Times New Roman"/>
          <w:sz w:val="22"/>
          <w:szCs w:val="22"/>
        </w:rPr>
        <w:t>Confirmatory factor analysis</w:t>
      </w:r>
    </w:p>
  </w:footnote>
  <w:footnote w:id="5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۵۷ </w:t>
      </w:r>
      <w:r>
        <w:rPr>
          <w:rFonts w:cs="Times New Roman"/>
          <w:sz w:val="22"/>
          <w:szCs w:val="22"/>
        </w:rPr>
        <w:t>Composite reliability</w:t>
      </w:r>
    </w:p>
  </w:footnote>
  <w:footnote w:id="5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۵۸ </w:t>
      </w:r>
      <w:r>
        <w:rPr>
          <w:rFonts w:cs="Times New Roman"/>
          <w:sz w:val="22"/>
          <w:szCs w:val="22"/>
        </w:rPr>
        <w:t>Convergent validity</w:t>
      </w:r>
    </w:p>
  </w:footnote>
  <w:footnote w:id="6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۵۹ </w:t>
      </w:r>
      <w:r>
        <w:rPr>
          <w:rFonts w:cs="Times New Roman"/>
          <w:sz w:val="22"/>
          <w:szCs w:val="22"/>
        </w:rPr>
        <w:t>Discriminant validity</w:t>
      </w:r>
    </w:p>
  </w:footnote>
  <w:footnote w:id="6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۶۰ </w:t>
      </w:r>
      <w:r>
        <w:rPr>
          <w:rFonts w:cs="Times New Roman"/>
          <w:sz w:val="22"/>
          <w:szCs w:val="22"/>
        </w:rPr>
        <w:t>Fornell &amp; Larcker</w:t>
      </w:r>
    </w:p>
  </w:footnote>
  <w:footnote w:id="6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۶۱ </w:t>
      </w:r>
      <w:r>
        <w:rPr>
          <w:rFonts w:cs="Times New Roman"/>
          <w:sz w:val="22"/>
          <w:szCs w:val="22"/>
        </w:rPr>
        <w:t>Henseler et al.</w:t>
      </w:r>
    </w:p>
  </w:footnote>
  <w:footnote w:id="6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۶۲ </w:t>
      </w:r>
      <w:r>
        <w:rPr>
          <w:rFonts w:cs="Times New Roman"/>
          <w:sz w:val="22"/>
          <w:szCs w:val="22"/>
        </w:rPr>
        <w:t>Podsakoff et al.</w:t>
      </w:r>
    </w:p>
  </w:footnote>
  <w:footnote w:id="6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۶۳ </w:t>
      </w:r>
      <w:r>
        <w:rPr>
          <w:rFonts w:cs="Times New Roman"/>
          <w:sz w:val="22"/>
          <w:szCs w:val="22"/>
        </w:rPr>
        <w:t>Hu &amp; Bentler</w:t>
      </w:r>
    </w:p>
  </w:footnote>
  <w:footnote w:id="6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۶۴ </w:t>
      </w:r>
      <w:r>
        <w:rPr>
          <w:rFonts w:cs="Times New Roman"/>
          <w:sz w:val="22"/>
          <w:szCs w:val="22"/>
        </w:rPr>
        <w:t>Marsh et al.</w:t>
      </w:r>
    </w:p>
  </w:footnote>
  <w:footnote w:id="6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۶۵ </w:t>
      </w:r>
      <w:r>
        <w:rPr>
          <w:rFonts w:cs="Times New Roman"/>
          <w:sz w:val="22"/>
          <w:szCs w:val="22"/>
        </w:rPr>
        <w:t>Little et al.</w:t>
      </w:r>
    </w:p>
  </w:footnote>
  <w:footnote w:id="6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۶۶ </w:t>
      </w:r>
      <w:r>
        <w:rPr>
          <w:rFonts w:cs="Times New Roman"/>
          <w:sz w:val="22"/>
          <w:szCs w:val="22"/>
        </w:rPr>
        <w:t>Cohen</w:t>
      </w:r>
    </w:p>
  </w:footnote>
</w:footnotes>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