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Zar" w:eastAsia="Times New Roman"/>
          <w:b/>
          <w:bCs/>
          <w:sz w:val="24"/>
          <w:szCs w:val="24"/>
          <w:lang w:val="en-US" w:bidi="fa-IR"/>
        </w:rPr>
        <w:t xml:space="preserve">الزام، هنجار و تقلید: پیکربندی فشارهای نهادی و دو چهرهٔ اصلاحات مالی در دستگاه‌های اجرایی</w:t>
      </w:r>
    </w:p>
    <w:p>
      <w:pPr>
        <w:bidi/>
        <w:spacing w:before="0" w:after="60" w:line="240" w:lineRule="auto"/>
        <w:jc w:val="both"/>
      </w:pPr>
      <w:r>
        <w:rPr>
          <w:rFonts w:ascii="Times New Roman" w:hAnsi="Times New Roman" w:cs="B Nazanin" w:eastAsia="Times New Roman"/>
          <w:b/>
          <w:bCs/>
          <w:sz w:val="22"/>
          <w:szCs w:val="22"/>
          <w:lang w:val="en-US" w:bidi="fa-IR"/>
        </w:rPr>
        <w:t xml:space="preserve">چکیده:</w:t>
      </w:r>
      <w:r>
        <w:rPr>
          <w:rFonts w:ascii="Times New Roman" w:hAnsi="Times New Roman" w:cs="B Nazanin" w:eastAsia="Times New Roman"/>
          <w:sz w:val="22"/>
          <w:szCs w:val="22"/>
          <w:lang w:val="en-US" w:bidi="fa-IR"/>
        </w:rPr>
        <w:t xml:space="preserve"> پژوهش‌های پیشین اثر هر فشار نهادی را جداگانه سنجیده‌اند، حال آنکه دستگاه‌ها هم‌زمان با ترکیبی از الزام، هنجار حرفه‌ای و تقلید روبه‌رو هستند. این مقاله می‌پرسد فشار الزامی در چه شرایطی به اجرای ماهوی و در چه شرایطی به انطباق نمادین بودجه‌ریزی عملیاتی و گزارشگری تعهدی می‌انجامد، آیا این دو پاسخ هم‌زمان در یک دستگاه کنار هم می‌مانند، آیا مسیرها در انواع دستگاه‌ها یکسان است و آیا دستگاه‌ها در نیمرخ‌های متمایز فشار گروه‌بندی می‌شوند. داده‌های ۴۱۲ مدیر مالی، ذی‌حساب، کارشناس بودجه و حسابدار با مدل‌سازی معادلات ساختاری کاملاً پنهان، اثر متقابل پنهان، بوت‌استرپ، ناوردایی اندازه‌گیری چندگروهی و تحلیل نیمرخ پنهان بررسی شد. فشار هنجاری اثر فشار الزامی بر اجرای ماهوی را تقویت کرد (β برابر ۰٫۲۱) و فشار تقلیدی اثر فشار الزامی بر انطباق نمادین را ((β برابر ۰٫۲۱)؛ در سطح پایین هنجار یا تقلید، الزام اثر معناداری نداشت. دو پاسخ پس از کنترل فشارها هم‌بسته ماندند (r برابر ۰٫۱۴). اثر فشار هنجاری بر اجرای ماهوی در نهادهای خدماتی و محلی قوی‌تر بود (Δz برابر ۲٫۸۹) و دو نیمرخ فشار شناسایی شد که در انطباق نمادین تفاوت چشمگیر و در اجرای ماهوی تفاوت معناداری نداشتند. نتیجه می‌شود فشارها اثر جمعی ساده ندارند: الزام تنها در ترکیب با هنجار به ماهیت و تنها در ترکیب با الگوی آماده به ظاهر می‌انجامد؛ بنابراین سیاست‌گذاری باید پیکربندی فشارها را طراحی کند، نه شدت الزام را.</w:t>
      </w:r>
    </w:p>
    <w:p>
      <w:pPr>
        <w:bidi/>
        <w:spacing w:before="0" w:after="80" w:line="240" w:lineRule="auto"/>
        <w:jc w:val="left"/>
      </w:pPr>
      <w:r>
        <w:rPr>
          <w:rFonts w:ascii="Times New Roman" w:hAnsi="Times New Roman" w:cs="B Nazanin" w:eastAsia="Times New Roman"/>
          <w:b/>
          <w:bCs/>
          <w:i/>
          <w:iCs/>
          <w:sz w:val="20"/>
          <w:szCs w:val="20"/>
          <w:lang w:val="en-US" w:bidi="fa-IR"/>
        </w:rPr>
        <w:t xml:space="preserve">واژه‌های کلیدی:</w:t>
      </w:r>
      <w:r>
        <w:rPr>
          <w:rFonts w:ascii="Times New Roman" w:hAnsi="Times New Roman" w:cs="B Nazanin" w:eastAsia="Times New Roman"/>
          <w:i/>
          <w:iCs/>
          <w:sz w:val="20"/>
          <w:szCs w:val="20"/>
          <w:lang w:val="en-US" w:bidi="fa-IR"/>
        </w:rPr>
        <w:t xml:space="preserve"> پیکربندی فشارها، فشار نهادی، اجرای ماهوی، انطباق نمادین، بودجه‌ریزی عملیاتی، گزارشگری تعهدی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مقدمه</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اصلاحات حسابداری و بودجه‌ریزی بخش عمومی معمولاً با ترکیبی از قانون، استاندارد، آموزش و الگوبرداری ترویج می‌شود (پولیت و بوکارت</w:t>
      </w:r>
      <w:r>
        <w:rPr>
          <w:rStyle w:val="FootnoteReference"/>
          <w:rFonts w:ascii="Times New Roman" w:hAnsi="Times New Roman" w:cs="B Nazanin" w:eastAsia="Times New Roman"/>
          <w:sz w:val="26"/>
          <w:szCs w:val="26"/>
          <w:vertAlign w:val="superscript"/>
          <w:lang w:val="en-US" w:bidi="fa-IR"/>
        </w:rPr>
        <w:footnoteReference w:customMarkFollows="1" w:id="1"/>
      </w:r>
      <w:r>
        <w:rPr>
          <w:rFonts w:ascii="Times New Roman" w:hAnsi="Times New Roman" w:cs="B Nazanin" w:eastAsia="Times New Roman"/>
          <w:sz w:val="26"/>
          <w:szCs w:val="26"/>
          <w:vertAlign w:val="superscript"/>
          <w:lang w:val="en-US" w:bidi="fa-IR"/>
        </w:rPr>
        <w:t>۱</w:t>
      </w:r>
      <w:r>
        <w:rPr>
          <w:rFonts w:ascii="Times New Roman" w:hAnsi="Times New Roman" w:cs="B Nazanin" w:eastAsia="Times New Roman"/>
          <w:sz w:val="26"/>
          <w:szCs w:val="26"/>
          <w:lang w:val="en-US" w:bidi="fa-IR"/>
        </w:rPr>
        <w:t xml:space="preserve">، ۲۰۱۷؛ کریستین‌س و همکاران</w:t>
      </w:r>
      <w:r>
        <w:rPr>
          <w:rStyle w:val="FootnoteReference"/>
          <w:rFonts w:ascii="Times New Roman" w:hAnsi="Times New Roman" w:cs="B Nazanin" w:eastAsia="Times New Roman"/>
          <w:sz w:val="26"/>
          <w:szCs w:val="26"/>
          <w:vertAlign w:val="superscript"/>
          <w:lang w:val="en-US" w:bidi="fa-IR"/>
        </w:rPr>
        <w:footnoteReference w:customMarkFollows="1" w:id="2"/>
      </w:r>
      <w:r>
        <w:rPr>
          <w:rFonts w:ascii="Times New Roman" w:hAnsi="Times New Roman" w:cs="B Nazanin" w:eastAsia="Times New Roman"/>
          <w:sz w:val="26"/>
          <w:szCs w:val="26"/>
          <w:vertAlign w:val="superscript"/>
          <w:lang w:val="en-US" w:bidi="fa-IR"/>
        </w:rPr>
        <w:t>۲</w:t>
      </w:r>
      <w:r>
        <w:rPr>
          <w:rFonts w:ascii="Times New Roman" w:hAnsi="Times New Roman" w:cs="B Nazanin" w:eastAsia="Times New Roman"/>
          <w:sz w:val="26"/>
          <w:szCs w:val="26"/>
          <w:lang w:val="en-US" w:bidi="fa-IR"/>
        </w:rPr>
        <w:t xml:space="preserve">، ۲۰۱۵). این ترکیب دو پیامد بالقوه دارد: دستگاه ممکن است اصلاحات را در تصمیم‌های بودجه‌ای و مدیریتی به‌کار گیرد (اجرای ماهوی) یا صرفاً گزارش‌هایی برای ارسال به فرادست تهیه کند (انطباق نمادین) (مایر و روان</w:t>
      </w:r>
      <w:r>
        <w:rPr>
          <w:rStyle w:val="FootnoteReference"/>
          <w:rFonts w:ascii="Times New Roman" w:hAnsi="Times New Roman" w:cs="B Nazanin" w:eastAsia="Times New Roman"/>
          <w:sz w:val="26"/>
          <w:szCs w:val="26"/>
          <w:vertAlign w:val="superscript"/>
          <w:lang w:val="en-US" w:bidi="fa-IR"/>
        </w:rPr>
        <w:footnoteReference w:customMarkFollows="1" w:id="3"/>
      </w:r>
      <w:r>
        <w:rPr>
          <w:rFonts w:ascii="Times New Roman" w:hAnsi="Times New Roman" w:cs="B Nazanin" w:eastAsia="Times New Roman"/>
          <w:sz w:val="26"/>
          <w:szCs w:val="26"/>
          <w:vertAlign w:val="superscript"/>
          <w:lang w:val="en-US" w:bidi="fa-IR"/>
        </w:rPr>
        <w:t>۳</w:t>
      </w:r>
      <w:r>
        <w:rPr>
          <w:rFonts w:ascii="Times New Roman" w:hAnsi="Times New Roman" w:cs="B Nazanin" w:eastAsia="Times New Roman"/>
          <w:sz w:val="26"/>
          <w:szCs w:val="26"/>
          <w:lang w:val="en-US" w:bidi="fa-IR"/>
        </w:rPr>
        <w:t xml:space="preserve">، ۱۹۷۷؛ بریگنال و مودل</w:t>
      </w:r>
      <w:r>
        <w:rPr>
          <w:rStyle w:val="FootnoteReference"/>
          <w:rFonts w:ascii="Times New Roman" w:hAnsi="Times New Roman" w:cs="B Nazanin" w:eastAsia="Times New Roman"/>
          <w:sz w:val="26"/>
          <w:szCs w:val="26"/>
          <w:vertAlign w:val="superscript"/>
          <w:lang w:val="en-US" w:bidi="fa-IR"/>
        </w:rPr>
        <w:footnoteReference w:customMarkFollows="1" w:id="4"/>
      </w:r>
      <w:r>
        <w:rPr>
          <w:rFonts w:ascii="Times New Roman" w:hAnsi="Times New Roman" w:cs="B Nazanin" w:eastAsia="Times New Roman"/>
          <w:sz w:val="26"/>
          <w:szCs w:val="26"/>
          <w:vertAlign w:val="superscript"/>
          <w:lang w:val="en-US" w:bidi="fa-IR"/>
        </w:rPr>
        <w:t>۴</w:t>
      </w:r>
      <w:r>
        <w:rPr>
          <w:rFonts w:ascii="Times New Roman" w:hAnsi="Times New Roman" w:cs="B Nazanin" w:eastAsia="Times New Roman"/>
          <w:sz w:val="26"/>
          <w:szCs w:val="26"/>
          <w:lang w:val="en-US" w:bidi="fa-IR"/>
        </w:rPr>
        <w:t xml:space="preserve">، ۲۰۰۰). پژوهش‌های ایرانی عمدتاً به شناسایی عوامل مؤثر بر اجرا پرداخته‌اند؛ برای نمونه احمدی، ناظمی و نمازی</w:t>
      </w:r>
      <w:r>
        <w:rPr>
          <w:rStyle w:val="FootnoteReference"/>
          <w:rFonts w:ascii="Times New Roman" w:hAnsi="Times New Roman" w:cs="B Nazanin" w:eastAsia="Times New Roman"/>
          <w:sz w:val="26"/>
          <w:szCs w:val="26"/>
          <w:vertAlign w:val="superscript"/>
          <w:lang w:val="en-US" w:bidi="fa-IR"/>
        </w:rPr>
        <w:footnoteReference w:customMarkFollows="1" w:id="5"/>
      </w:r>
      <w:r>
        <w:rPr>
          <w:rFonts w:ascii="Times New Roman" w:hAnsi="Times New Roman" w:cs="B Nazanin" w:eastAsia="Times New Roman"/>
          <w:sz w:val="26"/>
          <w:szCs w:val="26"/>
          <w:vertAlign w:val="superscript"/>
          <w:lang w:val="en-US" w:bidi="fa-IR"/>
        </w:rPr>
        <w:t>۵</w:t>
      </w:r>
      <w:r>
        <w:rPr>
          <w:rFonts w:ascii="Times New Roman" w:hAnsi="Times New Roman" w:cs="B Nazanin" w:eastAsia="Times New Roman"/>
          <w:sz w:val="26"/>
          <w:szCs w:val="26"/>
          <w:lang w:val="en-US" w:bidi="fa-IR"/>
        </w:rPr>
        <w:t xml:space="preserve"> (۱۴۰۲) نشان دادند میزان اجرای بودجه‌ریزی مبتنی بر عملکرد در ابعاد برنامه‌ریزی راهبردی، تحلیل هزینه و مدیریت عملکرد پایین است و نورانی و اخلاقی یزدی‌نژاد</w:t>
      </w:r>
      <w:r>
        <w:rPr>
          <w:rStyle w:val="FootnoteReference"/>
          <w:rFonts w:ascii="Times New Roman" w:hAnsi="Times New Roman" w:cs="B Nazanin" w:eastAsia="Times New Roman"/>
          <w:sz w:val="26"/>
          <w:szCs w:val="26"/>
          <w:vertAlign w:val="superscript"/>
          <w:lang w:val="en-US" w:bidi="fa-IR"/>
        </w:rPr>
        <w:footnoteReference w:customMarkFollows="1" w:id="6"/>
      </w:r>
      <w:r>
        <w:rPr>
          <w:rFonts w:ascii="Times New Roman" w:hAnsi="Times New Roman" w:cs="B Nazanin" w:eastAsia="Times New Roman"/>
          <w:sz w:val="26"/>
          <w:szCs w:val="26"/>
          <w:vertAlign w:val="superscript"/>
          <w:lang w:val="en-US" w:bidi="fa-IR"/>
        </w:rPr>
        <w:t>۶</w:t>
      </w:r>
      <w:r>
        <w:rPr>
          <w:rFonts w:ascii="Times New Roman" w:hAnsi="Times New Roman" w:cs="B Nazanin" w:eastAsia="Times New Roman"/>
          <w:sz w:val="26"/>
          <w:szCs w:val="26"/>
          <w:lang w:val="en-US" w:bidi="fa-IR"/>
        </w:rPr>
        <w:t xml:space="preserve"> (۱۴۰۲) چالش‌های حقوقی و ساختاری را مانع اجرای استانداردها دانستند.</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آنچه در این ادبیات کمتر دیده می‌شود، «پیکربندی» فشارهاست. دی‌ماجیو و پاول (دی‌ماجیو و پاول</w:t>
      </w:r>
      <w:r>
        <w:rPr>
          <w:rStyle w:val="FootnoteReference"/>
          <w:rFonts w:ascii="Times New Roman" w:hAnsi="Times New Roman" w:cs="B Nazanin" w:eastAsia="Times New Roman"/>
          <w:sz w:val="26"/>
          <w:szCs w:val="26"/>
          <w:vertAlign w:val="superscript"/>
          <w:lang w:val="en-US" w:bidi="fa-IR"/>
        </w:rPr>
        <w:footnoteReference w:customMarkFollows="1" w:id="7"/>
      </w:r>
      <w:r>
        <w:rPr>
          <w:rFonts w:ascii="Times New Roman" w:hAnsi="Times New Roman" w:cs="B Nazanin" w:eastAsia="Times New Roman"/>
          <w:sz w:val="26"/>
          <w:szCs w:val="26"/>
          <w:vertAlign w:val="superscript"/>
          <w:lang w:val="en-US" w:bidi="fa-IR"/>
        </w:rPr>
        <w:t>۷</w:t>
      </w:r>
      <w:r>
        <w:rPr>
          <w:rFonts w:ascii="Times New Roman" w:hAnsi="Times New Roman" w:cs="B Nazanin" w:eastAsia="Times New Roman"/>
          <w:sz w:val="26"/>
          <w:szCs w:val="26"/>
          <w:lang w:val="en-US" w:bidi="fa-IR"/>
        </w:rPr>
        <w:t xml:space="preserve">، ۱۹۸۳) سه سازوکار الزامی، هنجاری و تقلیدی را از هم جدا کردند، اما در عمل دستگاه‌ها هم‌زمان با هر سه روبه‌رو هستند و پرسش اصلی آن است که این فشارها یکدیگر را تقویت می‌کنند، خنثی می‌کنند یا جایگزین هم می‌شوند (میزروچی و فاین</w:t>
      </w:r>
      <w:r>
        <w:rPr>
          <w:rStyle w:val="FootnoteReference"/>
          <w:rFonts w:ascii="Times New Roman" w:hAnsi="Times New Roman" w:cs="B Nazanin" w:eastAsia="Times New Roman"/>
          <w:sz w:val="26"/>
          <w:szCs w:val="26"/>
          <w:vertAlign w:val="superscript"/>
          <w:lang w:val="en-US" w:bidi="fa-IR"/>
        </w:rPr>
        <w:footnoteReference w:customMarkFollows="1" w:id="8"/>
      </w:r>
      <w:r>
        <w:rPr>
          <w:rFonts w:ascii="Times New Roman" w:hAnsi="Times New Roman" w:cs="B Nazanin" w:eastAsia="Times New Roman"/>
          <w:sz w:val="26"/>
          <w:szCs w:val="26"/>
          <w:vertAlign w:val="superscript"/>
          <w:lang w:val="en-US" w:bidi="fa-IR"/>
        </w:rPr>
        <w:t>۸</w:t>
      </w:r>
      <w:r>
        <w:rPr>
          <w:rFonts w:ascii="Times New Roman" w:hAnsi="Times New Roman" w:cs="B Nazanin" w:eastAsia="Times New Roman"/>
          <w:sz w:val="26"/>
          <w:szCs w:val="26"/>
          <w:lang w:val="en-US" w:bidi="fa-IR"/>
        </w:rPr>
        <w:t xml:space="preserve">، ۱۹۹۹؛ گرینوود و همکاران</w:t>
      </w:r>
      <w:r>
        <w:rPr>
          <w:rStyle w:val="FootnoteReference"/>
          <w:rFonts w:ascii="Times New Roman" w:hAnsi="Times New Roman" w:cs="B Nazanin" w:eastAsia="Times New Roman"/>
          <w:sz w:val="26"/>
          <w:szCs w:val="26"/>
          <w:vertAlign w:val="superscript"/>
          <w:lang w:val="en-US" w:bidi="fa-IR"/>
        </w:rPr>
        <w:footnoteReference w:customMarkFollows="1" w:id="9"/>
      </w:r>
      <w:r>
        <w:rPr>
          <w:rFonts w:ascii="Times New Roman" w:hAnsi="Times New Roman" w:cs="B Nazanin" w:eastAsia="Times New Roman"/>
          <w:sz w:val="26"/>
          <w:szCs w:val="26"/>
          <w:vertAlign w:val="superscript"/>
          <w:lang w:val="en-US" w:bidi="fa-IR"/>
        </w:rPr>
        <w:t>۹</w:t>
      </w:r>
      <w:r>
        <w:rPr>
          <w:rFonts w:ascii="Times New Roman" w:hAnsi="Times New Roman" w:cs="B Nazanin" w:eastAsia="Times New Roman"/>
          <w:sz w:val="26"/>
          <w:szCs w:val="26"/>
          <w:lang w:val="en-US" w:bidi="fa-IR"/>
        </w:rPr>
        <w:t xml:space="preserve">، ۲۰۱۱). نخست، اگر الزام بدون هنجار حرفه‌ای باشد، دستگاه چه می‌کند؟ دوم، اگر الزام با الگوهای آمادهٔ مشاوران و دستگاه‌های همتا همراه شود، آیا به ظاهر‌سازی می‌انجامد؟ سوم، آیا اجرای ماهوی و انطباق نمادین «یا این یا آن»اند یا در یک دستگاه کنار هم می‌مانند؟ چهارم، آیا ماهیت دستگاه (اداری و حاکمیتی در برابر خدماتی و محلی) رابطه‌ها را تغییر می‌دهد؟ و پنجم، آیا دستگاه‌ها در نیمرخ‌های متمایز فشار قرار می‌گیرند؟</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هدف این مقاله پاسخ به این پرسش‌ها با تمرکز بر </w:t>
      </w:r>
      <w:r>
        <w:rPr>
          <w:rFonts w:ascii="Times New Roman" w:hAnsi="Times New Roman" w:cs="B Nazanin" w:eastAsia="Times New Roman"/>
          <w:b/>
          <w:bCs/>
          <w:sz w:val="26"/>
          <w:szCs w:val="26"/>
          <w:lang w:val="en-US" w:bidi="fa-IR"/>
        </w:rPr>
        <w:t xml:space="preserve">سه متغیر مستقل</w:t>
      </w:r>
      <w:r>
        <w:rPr>
          <w:rFonts w:ascii="Times New Roman" w:hAnsi="Times New Roman" w:cs="B Nazanin" w:eastAsia="Times New Roman"/>
          <w:sz w:val="26"/>
          <w:szCs w:val="26"/>
          <w:lang w:val="en-US" w:bidi="fa-IR"/>
        </w:rPr>
        <w:t xml:space="preserve"> (فشار الزامی، هنجاری و تقلیدی) و </w:t>
      </w:r>
      <w:r>
        <w:rPr>
          <w:rFonts w:ascii="Times New Roman" w:hAnsi="Times New Roman" w:cs="B Nazanin" w:eastAsia="Times New Roman"/>
          <w:b/>
          <w:bCs/>
          <w:sz w:val="26"/>
          <w:szCs w:val="26"/>
          <w:lang w:val="en-US" w:bidi="fa-IR"/>
        </w:rPr>
        <w:t xml:space="preserve">دو متغیر وابسته</w:t>
      </w:r>
      <w:r>
        <w:rPr>
          <w:rFonts w:ascii="Times New Roman" w:hAnsi="Times New Roman" w:cs="B Nazanin" w:eastAsia="Times New Roman"/>
          <w:sz w:val="26"/>
          <w:szCs w:val="26"/>
          <w:lang w:val="en-US" w:bidi="fa-IR"/>
        </w:rPr>
        <w:t xml:space="preserve"> (اجرای ماهوی و انطباق نمادین) است. تازگی پژوهش در گذار از اثرهای اصلی به اثرهای متقابل و نیمرخ‌هاست: به‌جای پرسش «کدام فشار مؤثرتر است؟» می‌پرسیم «چه ترکیبی از فشارها چه پاسخی می‌آفریند؟». فرضیه‌های پژوهش در پایان بخش پیشینه آمده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پیشینه پژوهش</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پیشینه نظری</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فشارهای نهادی.</w:t>
      </w:r>
      <w:r>
        <w:rPr>
          <w:rFonts w:ascii="Times New Roman" w:hAnsi="Times New Roman" w:cs="B Nazanin" w:eastAsia="Times New Roman"/>
          <w:sz w:val="26"/>
          <w:szCs w:val="26"/>
          <w:lang w:val="en-US" w:bidi="fa-IR"/>
        </w:rPr>
        <w:t xml:space="preserve"> فشار الزامی از قوانین، دستورالعمل‌ها و وابستگی به نهادهای فرادست می‌آید؛ فشار هنجاری از حرفه‌ای‌شدن، آموزش و شبکه‌های حرفه‌ای؛ و فشار تقلیدی از الگوبرداری در شرایط ابهام (دی‌ماجیو و پاول، ۱۹۸۳). اسکات (اسکات</w:t>
      </w:r>
      <w:r>
        <w:rPr>
          <w:rStyle w:val="FootnoteReference"/>
          <w:rFonts w:ascii="Times New Roman" w:hAnsi="Times New Roman" w:cs="B Nazanin" w:eastAsia="Times New Roman"/>
          <w:sz w:val="26"/>
          <w:szCs w:val="26"/>
          <w:vertAlign w:val="superscript"/>
          <w:lang w:val="en-US" w:bidi="fa-IR"/>
        </w:rPr>
        <w:footnoteReference w:customMarkFollows="1" w:id="10"/>
      </w:r>
      <w:r>
        <w:rPr>
          <w:rFonts w:ascii="Times New Roman" w:hAnsi="Times New Roman" w:cs="B Nazanin" w:eastAsia="Times New Roman"/>
          <w:sz w:val="26"/>
          <w:szCs w:val="26"/>
          <w:vertAlign w:val="superscript"/>
          <w:lang w:val="en-US" w:bidi="fa-IR"/>
        </w:rPr>
        <w:t>۱۰</w:t>
      </w:r>
      <w:r>
        <w:rPr>
          <w:rFonts w:ascii="Times New Roman" w:hAnsi="Times New Roman" w:cs="B Nazanin" w:eastAsia="Times New Roman"/>
          <w:sz w:val="26"/>
          <w:szCs w:val="26"/>
          <w:lang w:val="en-US" w:bidi="fa-IR"/>
        </w:rPr>
        <w:t xml:space="preserve">، ۲۰۱۴) این سه را به ستون‌های قاعده‌ای، هنجاری و فرهنگی‑شناختی نهادها پیوند می‌دهد. نکتهٔ مهم آن است که سازمان‌ها دریافت‌کنندهٔ منفعل نیستند: الیور (الیور</w:t>
      </w:r>
      <w:r>
        <w:rPr>
          <w:rStyle w:val="FootnoteReference"/>
          <w:rFonts w:ascii="Times New Roman" w:hAnsi="Times New Roman" w:cs="B Nazanin" w:eastAsia="Times New Roman"/>
          <w:sz w:val="26"/>
          <w:szCs w:val="26"/>
          <w:vertAlign w:val="superscript"/>
          <w:lang w:val="en-US" w:bidi="fa-IR"/>
        </w:rPr>
        <w:footnoteReference w:customMarkFollows="1" w:id="11"/>
      </w:r>
      <w:r>
        <w:rPr>
          <w:rFonts w:ascii="Times New Roman" w:hAnsi="Times New Roman" w:cs="B Nazanin" w:eastAsia="Times New Roman"/>
          <w:sz w:val="26"/>
          <w:szCs w:val="26"/>
          <w:vertAlign w:val="superscript"/>
          <w:lang w:val="en-US" w:bidi="fa-IR"/>
        </w:rPr>
        <w:t>۱۱</w:t>
      </w:r>
      <w:r>
        <w:rPr>
          <w:rFonts w:ascii="Times New Roman" w:hAnsi="Times New Roman" w:cs="B Nazanin" w:eastAsia="Times New Roman"/>
          <w:sz w:val="26"/>
          <w:szCs w:val="26"/>
          <w:lang w:val="en-US" w:bidi="fa-IR"/>
        </w:rPr>
        <w:t xml:space="preserve">، ۱۹۹۱) طیفی از پاسخ‌ها از پذیرش تا پنهان‌کاری را برمی‌شمارد و کوستووا و راث (کوستووا و راث</w:t>
      </w:r>
      <w:r>
        <w:rPr>
          <w:rStyle w:val="FootnoteReference"/>
          <w:rFonts w:ascii="Times New Roman" w:hAnsi="Times New Roman" w:cs="B Nazanin" w:eastAsia="Times New Roman"/>
          <w:sz w:val="26"/>
          <w:szCs w:val="26"/>
          <w:vertAlign w:val="superscript"/>
          <w:lang w:val="en-US" w:bidi="fa-IR"/>
        </w:rPr>
        <w:footnoteReference w:customMarkFollows="1" w:id="12"/>
      </w:r>
      <w:r>
        <w:rPr>
          <w:rFonts w:ascii="Times New Roman" w:hAnsi="Times New Roman" w:cs="B Nazanin" w:eastAsia="Times New Roman"/>
          <w:sz w:val="26"/>
          <w:szCs w:val="26"/>
          <w:vertAlign w:val="superscript"/>
          <w:lang w:val="en-US" w:bidi="fa-IR"/>
        </w:rPr>
        <w:t>۱۲</w:t>
      </w:r>
      <w:r>
        <w:rPr>
          <w:rFonts w:ascii="Times New Roman" w:hAnsi="Times New Roman" w:cs="B Nazanin" w:eastAsia="Times New Roman"/>
          <w:sz w:val="26"/>
          <w:szCs w:val="26"/>
          <w:lang w:val="en-US" w:bidi="fa-IR"/>
        </w:rPr>
        <w:t xml:space="preserve">، ۲۰۰۲) میان پذیرش تشریفاتی (کاربرد رسمی بدون فهم و تعهد) و درونی‌سازی (ارزش‌گذاری و به‌کارگیری) تمایز می‌نهند.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جدایی و پاسخ نمادین.</w:t>
      </w:r>
      <w:r>
        <w:rPr>
          <w:rFonts w:ascii="Times New Roman" w:hAnsi="Times New Roman" w:cs="B Nazanin" w:eastAsia="Times New Roman"/>
          <w:sz w:val="26"/>
          <w:szCs w:val="26"/>
          <w:lang w:val="en-US" w:bidi="fa-IR"/>
        </w:rPr>
        <w:t xml:space="preserve"> بر پایهٔ تمایز مایر و روان (مایر و روان، ۱۹۷۷)، ساختارهای رسمی ممکن است برای کسب مشروعیت از عملیات جدا شوند و برومیلی و پاول (برومیلی و پاول</w:t>
      </w:r>
      <w:r>
        <w:rPr>
          <w:rStyle w:val="FootnoteReference"/>
          <w:rFonts w:ascii="Times New Roman" w:hAnsi="Times New Roman" w:cs="B Nazanin" w:eastAsia="Times New Roman"/>
          <w:sz w:val="26"/>
          <w:szCs w:val="26"/>
          <w:vertAlign w:val="superscript"/>
          <w:lang w:val="en-US" w:bidi="fa-IR"/>
        </w:rPr>
        <w:footnoteReference w:customMarkFollows="1" w:id="13"/>
      </w:r>
      <w:r>
        <w:rPr>
          <w:rFonts w:ascii="Times New Roman" w:hAnsi="Times New Roman" w:cs="B Nazanin" w:eastAsia="Times New Roman"/>
          <w:sz w:val="26"/>
          <w:szCs w:val="26"/>
          <w:vertAlign w:val="superscript"/>
          <w:lang w:val="en-US" w:bidi="fa-IR"/>
        </w:rPr>
        <w:t>۱۳</w:t>
      </w:r>
      <w:r>
        <w:rPr>
          <w:rFonts w:ascii="Times New Roman" w:hAnsi="Times New Roman" w:cs="B Nazanin" w:eastAsia="Times New Roman"/>
          <w:sz w:val="26"/>
          <w:szCs w:val="26"/>
          <w:lang w:val="en-US" w:bidi="fa-IR"/>
        </w:rPr>
        <w:t xml:space="preserve">، ۲۰۱۲) دو نوع جدایی را بازمی‌شناسند: جدایی سیاست از عمل و جدایی وسیله از هدف. در حسابداری بخش عمومی، سنجه‌های عملکرد و گزارش‌های تعهدی چنین ظرفیتی دارند (مودل</w:t>
      </w:r>
      <w:r>
        <w:rPr>
          <w:rStyle w:val="FootnoteReference"/>
          <w:rFonts w:ascii="Times New Roman" w:hAnsi="Times New Roman" w:cs="B Nazanin" w:eastAsia="Times New Roman"/>
          <w:sz w:val="26"/>
          <w:szCs w:val="26"/>
          <w:vertAlign w:val="superscript"/>
          <w:lang w:val="en-US" w:bidi="fa-IR"/>
        </w:rPr>
        <w:footnoteReference w:customMarkFollows="1" w:id="14"/>
      </w:r>
      <w:r>
        <w:rPr>
          <w:rFonts w:ascii="Times New Roman" w:hAnsi="Times New Roman" w:cs="B Nazanin" w:eastAsia="Times New Roman"/>
          <w:sz w:val="26"/>
          <w:szCs w:val="26"/>
          <w:vertAlign w:val="superscript"/>
          <w:lang w:val="en-US" w:bidi="fa-IR"/>
        </w:rPr>
        <w:t>۱۴</w:t>
      </w:r>
      <w:r>
        <w:rPr>
          <w:rFonts w:ascii="Times New Roman" w:hAnsi="Times New Roman" w:cs="B Nazanin" w:eastAsia="Times New Roman"/>
          <w:sz w:val="26"/>
          <w:szCs w:val="26"/>
          <w:lang w:val="en-US" w:bidi="fa-IR"/>
        </w:rPr>
        <w:t xml:space="preserve">، ۲۰۰۹). در این مقاله </w:t>
      </w:r>
      <w:r>
        <w:rPr>
          <w:rFonts w:ascii="Times New Roman" w:hAnsi="Times New Roman" w:cs="B Nazanin" w:eastAsia="Times New Roman"/>
          <w:b/>
          <w:bCs/>
          <w:sz w:val="26"/>
          <w:szCs w:val="26"/>
          <w:lang w:val="en-US" w:bidi="fa-IR"/>
        </w:rPr>
        <w:t xml:space="preserve">اجرای ماهوی</w:t>
      </w:r>
      <w:r>
        <w:rPr>
          <w:rFonts w:ascii="Times New Roman" w:hAnsi="Times New Roman" w:cs="B Nazanin" w:eastAsia="Times New Roman"/>
          <w:sz w:val="26"/>
          <w:szCs w:val="26"/>
          <w:lang w:val="en-US" w:bidi="fa-IR"/>
        </w:rPr>
        <w:t xml:space="preserve"> را به‌کارگیری برنامه‌ها، بهای تمام‌شده و صورت‌های تعهدی در تدوین بودجه و تصمیم‌های مدیریتی و </w:t>
      </w:r>
      <w:r>
        <w:rPr>
          <w:rFonts w:ascii="Times New Roman" w:hAnsi="Times New Roman" w:cs="B Nazanin" w:eastAsia="Times New Roman"/>
          <w:b/>
          <w:bCs/>
          <w:sz w:val="26"/>
          <w:szCs w:val="26"/>
          <w:lang w:val="en-US" w:bidi="fa-IR"/>
        </w:rPr>
        <w:t xml:space="preserve">انطباق نمادین</w:t>
      </w:r>
      <w:r>
        <w:rPr>
          <w:rFonts w:ascii="Times New Roman" w:hAnsi="Times New Roman" w:cs="B Nazanin" w:eastAsia="Times New Roman"/>
          <w:sz w:val="26"/>
          <w:szCs w:val="26"/>
          <w:lang w:val="en-US" w:bidi="fa-IR"/>
        </w:rPr>
        <w:t xml:space="preserve"> را تهیهٔ گزارش‌ها عمدتاً برای ارسال به فرادست با شاخص‌های سهل‌الوصول و بی‌اثر بر تخصیص منابع تعریف می‌کنیم.</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پیکربندی فشارها.</w:t>
      </w:r>
      <w:r>
        <w:rPr>
          <w:rFonts w:ascii="Times New Roman" w:hAnsi="Times New Roman" w:cs="B Nazanin" w:eastAsia="Times New Roman"/>
          <w:sz w:val="26"/>
          <w:szCs w:val="26"/>
          <w:lang w:val="en-US" w:bidi="fa-IR"/>
        </w:rPr>
        <w:t xml:space="preserve"> میزروچی و فاین (میزروچی و فاین، ۱۹۹۹) نشان دادند سه سازوکار در عمل هم‌زمان و درهم‌تنیده کار می‌کنند و اثر هر یک به دیگری وابسته است؛ گرینوود و همکاران (گرینوود و همکاران، ۲۰۱۱) نیز با مفهوم «پیچیدگی نهادی» نشان دادند پاسخ سازمان به ترکیب منطق‌ها و فشارها بستگی دارد، نه به تک‌تک آن‌ها. از این دیدگاه، الزام «رفتار را قابل‌مشاهده می‌کند» اما معنای آن را تعیین نمی‌کند؛ معنا از هنجار حرفه‌ای (الگوی «کار درست») یا از تقلید (الگوی «کار رایج») می‌آید. پس: الزام + هنجار ⟵ اجرای ماهوی؛ الزام + الگوی آماده ⟵ انطباق نمادین.</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زمینهٔ ایران.</w:t>
      </w:r>
      <w:r>
        <w:rPr>
          <w:rFonts w:ascii="Times New Roman" w:hAnsi="Times New Roman" w:cs="B Nazanin" w:eastAsia="Times New Roman"/>
          <w:sz w:val="26"/>
          <w:szCs w:val="26"/>
          <w:lang w:val="en-US" w:bidi="fa-IR"/>
        </w:rPr>
        <w:t xml:space="preserve"> در ایران اجرای مبنای تعهدی و بودجه‌ریزی عملیاتی از راه قوانین و برنامه‌های توسعه، استانداردهای حسابداری بخش عمومی و ابلاغ‌های نهادهای فرادست دنبال می‌شود و نهادهای نظارتی متعددی بر اجرای آن‌ها نظارت دارند؛ این همان فشار الزامی است. هم‌زمان، آموزش دانشگاهی و حرفه‌ای، جوامع حرفه‌ای و دوره‌های ضمن‌خدمت هنجارهای حرفه‌ای را می‌سازند و بازار مشاوره و نرم‌افزارهای مالی قالب‌های آماده عرضه می‌کند که دستگاه‌ها از یکدیگر وام می‌گیرند. نورانی و اخلاقی یزدی‌نژاد (۱۴۰۲) همین چندلایگی را در چالش‌های حقوقی، آموزشی و پذیرش استانداردهای بین‌المللی بازشناسی کرده‌اند. از این رو دستگاه‌های اجرایی ایران نمونهٔ مناسبی برای بررسی پیکربندی‌اند: هر سه فشار هم‌زمان حضور دارند، اما سهم آن‌ها در انواع دستگاه‌ها متفاوت است.</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سه قاعدهٔ ترکیب.</w:t>
      </w:r>
      <w:r>
        <w:rPr>
          <w:rFonts w:ascii="Times New Roman" w:hAnsi="Times New Roman" w:cs="B Nazanin" w:eastAsia="Times New Roman"/>
          <w:sz w:val="26"/>
          <w:szCs w:val="26"/>
          <w:lang w:val="en-US" w:bidi="fa-IR"/>
        </w:rPr>
        <w:t xml:space="preserve"> از ادبیات نظری سه قاعدهٔ ترکیب فشارها قابل استخراج است. (الف) *هم‌افزایی:* فشاری که معنای ارزشی می‌دهد (هنجار) اثر فشاری که رفتار را قابل‌مشاهده می‌کند (الزام) را بر نتیجهٔ ماهوی بزرگ‌تر می‌کند. (ب) *تبدیل:* فشاری که پاسخ ارزان فراهم می‌کند (تقلید) اثر الزام را از مسیر ماهوی به مسیر نمادین منحرف می‌کند. (ج) *جانشینی:* هنگامی که یک فشار به‌قدر کافی قوی است، فشار دیگر اثر افزایشی ندارد. قاعدهٔ سوم در این پژوهش به‌صورت تفاوت میان انواع دستگاه آزموده می‌شود: در نهادهای دارای هویت حرفه‌ای قوی، هنجار می‌تواند جانشین الزام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پیشینه تجربی</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ناروئی، مؤمنی و گرد</w:t>
      </w:r>
      <w:r>
        <w:rPr>
          <w:rStyle w:val="FootnoteReference"/>
          <w:rFonts w:ascii="Times New Roman" w:hAnsi="Times New Roman" w:cs="B Nazanin" w:eastAsia="Times New Roman"/>
          <w:sz w:val="26"/>
          <w:szCs w:val="26"/>
          <w:vertAlign w:val="superscript"/>
          <w:lang w:val="en-US" w:bidi="fa-IR"/>
        </w:rPr>
        <w:footnoteReference w:customMarkFollows="1" w:id="15"/>
      </w:r>
      <w:r>
        <w:rPr>
          <w:rFonts w:ascii="Times New Roman" w:hAnsi="Times New Roman" w:cs="B Nazanin" w:eastAsia="Times New Roman"/>
          <w:sz w:val="26"/>
          <w:szCs w:val="26"/>
          <w:vertAlign w:val="superscript"/>
          <w:lang w:val="en-US" w:bidi="fa-IR"/>
        </w:rPr>
        <w:t>۱۵</w:t>
      </w:r>
      <w:r>
        <w:rPr>
          <w:rFonts w:ascii="Times New Roman" w:hAnsi="Times New Roman" w:cs="B Nazanin" w:eastAsia="Times New Roman"/>
          <w:sz w:val="26"/>
          <w:szCs w:val="26"/>
          <w:lang w:val="en-US" w:bidi="fa-IR"/>
        </w:rPr>
        <w:t xml:space="preserve"> (۱۳۹۹) با تحلیل مضمون مدل مطلوب نظام تعهدی دستگاه‌های اجرایی را شامل مضامین اعتماد نهادی، فرایندهای مدیریتی، بهره‌وری و قوانین مالی ارائه کردند. پورغفار و همکاران</w:t>
      </w:r>
      <w:r>
        <w:rPr>
          <w:rStyle w:val="FootnoteReference"/>
          <w:rFonts w:ascii="Times New Roman" w:hAnsi="Times New Roman" w:cs="B Nazanin" w:eastAsia="Times New Roman"/>
          <w:sz w:val="26"/>
          <w:szCs w:val="26"/>
          <w:vertAlign w:val="superscript"/>
          <w:lang w:val="en-US" w:bidi="fa-IR"/>
        </w:rPr>
        <w:footnoteReference w:customMarkFollows="1" w:id="16"/>
      </w:r>
      <w:r>
        <w:rPr>
          <w:rFonts w:ascii="Times New Roman" w:hAnsi="Times New Roman" w:cs="B Nazanin" w:eastAsia="Times New Roman"/>
          <w:sz w:val="26"/>
          <w:szCs w:val="26"/>
          <w:vertAlign w:val="superscript"/>
          <w:lang w:val="en-US" w:bidi="fa-IR"/>
        </w:rPr>
        <w:t>۱۶</w:t>
      </w:r>
      <w:r>
        <w:rPr>
          <w:rFonts w:ascii="Times New Roman" w:hAnsi="Times New Roman" w:cs="B Nazanin" w:eastAsia="Times New Roman"/>
          <w:sz w:val="26"/>
          <w:szCs w:val="26"/>
          <w:lang w:val="en-US" w:bidi="fa-IR"/>
        </w:rPr>
        <w:t xml:space="preserve"> (۱۴۰۱) با ۲۰ مصاحبه الگوی بودجه‌ریزی عملکرد با گزارشگری بهنگام را ترسیم و بر فناوری اطلاعات تأکید کردند. نورانی و اخلاقی یزدی‌نژاد (۱۴۰۲) با ۱۸ مصاحبه سیزده بعد مؤثر بر استانداردهای بخش عمومی را یافتند. احمدی، ناظمی و نمازی (۱۴۰۲) با ۱۵۲ پرسشنامه و معادلات ساختاری، کنشگران اقتصادی، فنی، شایستگی مدیریت و تعهد سازمانی را مؤثر یافتند. این پژوهش‌ها اثر تک‌تک عوامل را بررسی می‌کنند، اما فشارهای نهادی را به‌صورت پیکربندی نمی‌سنجند و میان اجرای ماهوی و نمادین تمایز نمی‌گذارند.</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در پژوهش‌های خارجی، پینا و همکاران (پینا، تورس و یتانو</w:t>
      </w:r>
      <w:r>
        <w:rPr>
          <w:rStyle w:val="FootnoteReference"/>
          <w:rFonts w:ascii="Times New Roman" w:hAnsi="Times New Roman" w:cs="B Nazanin" w:eastAsia="Times New Roman"/>
          <w:sz w:val="26"/>
          <w:szCs w:val="26"/>
          <w:vertAlign w:val="superscript"/>
          <w:lang w:val="en-US" w:bidi="fa-IR"/>
        </w:rPr>
        <w:footnoteReference w:customMarkFollows="1" w:id="17"/>
      </w:r>
      <w:r>
        <w:rPr>
          <w:rFonts w:ascii="Times New Roman" w:hAnsi="Times New Roman" w:cs="B Nazanin" w:eastAsia="Times New Roman"/>
          <w:sz w:val="26"/>
          <w:szCs w:val="26"/>
          <w:vertAlign w:val="superscript"/>
          <w:lang w:val="en-US" w:bidi="fa-IR"/>
        </w:rPr>
        <w:t>۱۷</w:t>
      </w:r>
      <w:r>
        <w:rPr>
          <w:rFonts w:ascii="Times New Roman" w:hAnsi="Times New Roman" w:cs="B Nazanin" w:eastAsia="Times New Roman"/>
          <w:sz w:val="26"/>
          <w:szCs w:val="26"/>
          <w:lang w:val="en-US" w:bidi="fa-IR"/>
        </w:rPr>
        <w:t xml:space="preserve">، ۲۰۰۹) و کریستین‌س و همکاران (کریستین‌س، رینرز و رول</w:t>
      </w:r>
      <w:r>
        <w:rPr>
          <w:rStyle w:val="FootnoteReference"/>
          <w:rFonts w:ascii="Times New Roman" w:hAnsi="Times New Roman" w:cs="B Nazanin" w:eastAsia="Times New Roman"/>
          <w:sz w:val="26"/>
          <w:szCs w:val="26"/>
          <w:vertAlign w:val="superscript"/>
          <w:lang w:val="en-US" w:bidi="fa-IR"/>
        </w:rPr>
        <w:footnoteReference w:customMarkFollows="1" w:id="18"/>
      </w:r>
      <w:r>
        <w:rPr>
          <w:rFonts w:ascii="Times New Roman" w:hAnsi="Times New Roman" w:cs="B Nazanin" w:eastAsia="Times New Roman"/>
          <w:sz w:val="26"/>
          <w:szCs w:val="26"/>
          <w:vertAlign w:val="superscript"/>
          <w:lang w:val="en-US" w:bidi="fa-IR"/>
        </w:rPr>
        <w:t>۱۸</w:t>
      </w:r>
      <w:r>
        <w:rPr>
          <w:rFonts w:ascii="Times New Roman" w:hAnsi="Times New Roman" w:cs="B Nazanin" w:eastAsia="Times New Roman"/>
          <w:sz w:val="26"/>
          <w:szCs w:val="26"/>
          <w:lang w:val="en-US" w:bidi="fa-IR"/>
        </w:rPr>
        <w:t xml:space="preserve">، ۲۰۱۰؛ کریستین‌س و همکاران، ۲۰۱۵) تفاوت اجرای مبنای تعهدی میان کشورها را به زمینه و ظرفیت نسبت دادند. موینیهان و پاندی (موینیهان و پاندی</w:t>
      </w:r>
      <w:r>
        <w:rPr>
          <w:rStyle w:val="FootnoteReference"/>
          <w:rFonts w:ascii="Times New Roman" w:hAnsi="Times New Roman" w:cs="B Nazanin" w:eastAsia="Times New Roman"/>
          <w:sz w:val="26"/>
          <w:szCs w:val="26"/>
          <w:vertAlign w:val="superscript"/>
          <w:lang w:val="en-US" w:bidi="fa-IR"/>
        </w:rPr>
        <w:footnoteReference w:customMarkFollows="1" w:id="19"/>
      </w:r>
      <w:r>
        <w:rPr>
          <w:rFonts w:ascii="Times New Roman" w:hAnsi="Times New Roman" w:cs="B Nazanin" w:eastAsia="Times New Roman"/>
          <w:sz w:val="26"/>
          <w:szCs w:val="26"/>
          <w:vertAlign w:val="superscript"/>
          <w:lang w:val="en-US" w:bidi="fa-IR"/>
        </w:rPr>
        <w:t>۱۹</w:t>
      </w:r>
      <w:r>
        <w:rPr>
          <w:rFonts w:ascii="Times New Roman" w:hAnsi="Times New Roman" w:cs="B Nazanin" w:eastAsia="Times New Roman"/>
          <w:sz w:val="26"/>
          <w:szCs w:val="26"/>
          <w:lang w:val="en-US" w:bidi="fa-IR"/>
        </w:rPr>
        <w:t xml:space="preserve">، ۲۰۱۰) عوامل سازمانی استفاده از اطلاعات عملکرد را بررسی کردند و مودل (مودل، ۲۰۰۹) پژوهش‌های نهادی دربارهٔ سنجش عملکرد را مرور و بر مشروعیت‌جویی تأکید کرد. در حوزهٔ نظریهٔ نهادی، کوستووا و راث (کوستووا و راث، ۲۰۰۲) نشان دادند پذیرش تشریفاتی با ترکیب فشارهای نهادی و روابط درون‌سازمانی تغییر می‌کند. اما آزمون هم‌زمان اثر متقابل فشارها، همبستگی دو پاسخ، تفاوت میان انواع دستگاه و نیمرخ‌های فشار با روش معادلات ساختاری پنهان در این مجموعه یافت نشد.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مدل مفهومی و فرضیه‌ها</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مدل مفهومی (شکل ۱) پنج متغیر پنهان دارد: سه فشار (الزامی، هنجاری، تقلیدی) و دو پاسخ (اجرای ماهوی، انطباق نمادین). اثرهای اصلی فشارها به‌عنوان مبنای مدل لحاظ می‌شوند (انتظار می‌رود الزام و هنجار اجرای ماهوی را و الزام و تقلید انطباق نمادین را افزایش دهند و هنجار انطباق نمادین را بکاهد) و فرضیه‌های پژوهش بر پیکربندی فشارها متمرکزند: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۱ (هم‌افزایی الزام و هنجار):</w:t>
      </w:r>
      <w:r>
        <w:rPr>
          <w:rFonts w:ascii="Times New Roman" w:hAnsi="Times New Roman" w:cs="B Nazanin" w:eastAsia="Times New Roman"/>
          <w:sz w:val="26"/>
          <w:szCs w:val="26"/>
          <w:lang w:val="en-US" w:bidi="fa-IR"/>
        </w:rPr>
        <w:t xml:space="preserve"> فشار هنجاری اثر فشار الزامی بر اجرای ماهوی را تقویت می‌کند. استدلال: الزام در نبود هنجار تنها رفتار را قابل‌مشاهده می‌کند، اما هنجار حرفه‌ای به الزام معنا می‌دهد و آن را به ارزش تبدیل می‌کند.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۲ (تبدیل الزام به آیین):</w:t>
      </w:r>
      <w:r>
        <w:rPr>
          <w:rFonts w:ascii="Times New Roman" w:hAnsi="Times New Roman" w:cs="B Nazanin" w:eastAsia="Times New Roman"/>
          <w:sz w:val="26"/>
          <w:szCs w:val="26"/>
          <w:lang w:val="en-US" w:bidi="fa-IR"/>
        </w:rPr>
        <w:t xml:space="preserve"> فشار تقلیدی اثر فشار الزامی بر انطباق نمادین را تقویت می‌کند. استدلال: الزام همراه با قالب‌های آماده، «کمترین هزینهٔ پاسخ» را فراهم می‌کند و ظاهر‌سازی را ممکن می‌سازد.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۳ (هم‌زیستی دو چهره):</w:t>
      </w:r>
      <w:r>
        <w:rPr>
          <w:rFonts w:ascii="Times New Roman" w:hAnsi="Times New Roman" w:cs="B Nazanin" w:eastAsia="Times New Roman"/>
          <w:sz w:val="26"/>
          <w:szCs w:val="26"/>
          <w:lang w:val="en-US" w:bidi="fa-IR"/>
        </w:rPr>
        <w:t xml:space="preserve"> پس از کنترل فشارها، اجرای ماهوی و انطباق نمادین همبستگی مثبت دارند؛ زیرا دستگاه‌های فعال‌تر هم بیشتر اجرا و هم بیشتر گزارش می‌کنند و دو چهره در یک دستگاه کنار هم می‌مانند.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۴ (نوع دستگاه):</w:t>
      </w:r>
      <w:r>
        <w:rPr>
          <w:rFonts w:ascii="Times New Roman" w:hAnsi="Times New Roman" w:cs="B Nazanin" w:eastAsia="Times New Roman"/>
          <w:sz w:val="26"/>
          <w:szCs w:val="26"/>
          <w:lang w:val="en-US" w:bidi="fa-IR"/>
        </w:rPr>
        <w:t xml:space="preserve"> اثر فشار هنجاری بر اجرای ماهوی در نهادهای خدماتی و محلی (دانشگاه‌ها، مراکز بهداشتی‌درمانی و شهرداری‌ها) که حرفه‌های متنوع‌تر و شبکه‌های حرفه‌ای قوی‌تری دارند، از نهادهای اداری و حاکمیتی (وزارتخانه‌ها و ادارات کل) قوی‌تر است.</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۵ (نیمرخ‌ها):</w:t>
      </w:r>
      <w:r>
        <w:rPr>
          <w:rFonts w:ascii="Times New Roman" w:hAnsi="Times New Roman" w:cs="B Nazanin" w:eastAsia="Times New Roman"/>
          <w:sz w:val="26"/>
          <w:szCs w:val="26"/>
          <w:lang w:val="en-US" w:bidi="fa-IR"/>
        </w:rPr>
        <w:t xml:space="preserve"> دستگاه‌ها در نیمرخ‌های نهفتهٔ متمایزی از فشارها قرار می‌گیرند که از نظر انطباق نمادین با یکدیگر تفاوت دارند.</w:t>
      </w:r>
    </w:p>
    <w:p>
      <w:pPr>
        <w:keepNext/>
        <w:jc w:val="center"/>
      </w:pPr>
      <w:r>
        <w:drawing>
          <wp:inline distT="0" distB="0" distL="0" distR="0">
            <wp:extent cx="5580000" cy="2950961"/>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580000" cy="2950961"/>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۱. مدل مفهومی پژوهش (خطوط نارنجی: اثرهای متقابل پنهان؛ خط چین خاکستری: مسیر برآوردشده بدون فرضیه؛ پیکان دوسویه: همبستگی باقی‌مانده)</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روش‌شناسی پژوهش</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پژوهش کاربردی و پیمایشی است. جامعه شامل مدیران مالی، ذی‌حسابان، کارشناسان بودجه و حسابداران دستگاه‌های اجرایی است و نمونه ۴۱۲ نفر دارد </w:t>
      </w:r>
      <w:r>
        <w:rPr>
          <w:rFonts w:ascii="Times New Roman" w:hAnsi="Times New Roman" w:cs="B Nazanin" w:eastAsia="Times New Roman"/>
          <w:sz w:val="26"/>
          <w:szCs w:val="26"/>
          <w:highlight w:val="yellow"/>
          <w:lang w:val="en-US" w:bidi="fa-IR"/>
        </w:rPr>
        <w:t xml:space="preserve">[شیوهٔ نمونه‌گیری، زمان گردآوری و نرخ بازگشت را بر پایهٔ اجرای واقعی تکمیل کنید]</w:t>
      </w:r>
      <w:r>
        <w:rPr>
          <w:rFonts w:ascii="Times New Roman" w:hAnsi="Times New Roman" w:cs="B Nazanin" w:eastAsia="Times New Roman"/>
          <w:sz w:val="26"/>
          <w:szCs w:val="26"/>
          <w:lang w:val="en-US" w:bidi="fa-IR"/>
        </w:rPr>
        <w:t xml:space="preserve">. ۳۲ درصد از وزارتخانه‌ها و سازمان‌های ملی، ۲۷ درصد از دانشگاه‌ها و مراکز بهداشتی‌درمانی، ۲۸ درصد از شهرداری‌ها و نهادهای محلی و ۱۴ درصد از ادارات کل استانی بودند. برای مقایسهٔ گروهی، نهادها به دو گروه </w:t>
      </w:r>
      <w:r>
        <w:rPr>
          <w:rFonts w:ascii="Times New Roman" w:hAnsi="Times New Roman" w:cs="B Nazanin" w:eastAsia="Times New Roman"/>
          <w:b/>
          <w:bCs/>
          <w:sz w:val="26"/>
          <w:szCs w:val="26"/>
          <w:lang w:val="en-US" w:bidi="fa-IR"/>
        </w:rPr>
        <w:t xml:space="preserve">اداری و حاکمیتی</w:t>
      </w:r>
      <w:r>
        <w:rPr>
          <w:rFonts w:ascii="Times New Roman" w:hAnsi="Times New Roman" w:cs="B Nazanin" w:eastAsia="Times New Roman"/>
          <w:sz w:val="26"/>
          <w:szCs w:val="26"/>
          <w:lang w:val="en-US" w:bidi="fa-IR"/>
        </w:rPr>
        <w:t xml:space="preserve"> (۱۸۸ نفر: وزارتخانه‌ها و ادارات کل) و </w:t>
      </w:r>
      <w:r>
        <w:rPr>
          <w:rFonts w:ascii="Times New Roman" w:hAnsi="Times New Roman" w:cs="B Nazanin" w:eastAsia="Times New Roman"/>
          <w:b/>
          <w:bCs/>
          <w:sz w:val="26"/>
          <w:szCs w:val="26"/>
          <w:lang w:val="en-US" w:bidi="fa-IR"/>
        </w:rPr>
        <w:t xml:space="preserve">خدماتی و محلی</w:t>
      </w:r>
      <w:r>
        <w:rPr>
          <w:rFonts w:ascii="Times New Roman" w:hAnsi="Times New Roman" w:cs="B Nazanin" w:eastAsia="Times New Roman"/>
          <w:sz w:val="26"/>
          <w:szCs w:val="26"/>
          <w:lang w:val="en-US" w:bidi="fa-IR"/>
        </w:rPr>
        <w:t xml:space="preserve"> (۲۲۴ نفر: دانشگاه‌ها و مراکز بهداشتی‌درمانی و شهرداری‌ها) تقسیم شدند. میانگین سابقهٔ کار ۱۳٫۳ سال و میانگین سن ۴۵٫۷ سال بود.</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ابزار، پرسشنامهٔ ۲۱ گویه‌ای لیکرت پنج‌درجه‌ای با پنج سازه است: فشار الزامی (۴ گویه)، هنجاری (۴)، تقلیدی (۴)، اجرای ماهوی (۵) و انطباق نمادین (۴). مقیاس‌های فشار از سازه‌های نهادی دی‌ماجیو و پاول (دی‌ماجیو و پاول، ۱۹۸۳) و تئو و همکاران (تئو، وی و بنباسات</w:t>
      </w:r>
      <w:r>
        <w:rPr>
          <w:rStyle w:val="FootnoteReference"/>
          <w:rFonts w:ascii="Times New Roman" w:hAnsi="Times New Roman" w:cs="B Nazanin" w:eastAsia="Times New Roman"/>
          <w:sz w:val="26"/>
          <w:szCs w:val="26"/>
          <w:vertAlign w:val="superscript"/>
          <w:lang w:val="en-US" w:bidi="fa-IR"/>
        </w:rPr>
        <w:footnoteReference w:customMarkFollows="1" w:id="20"/>
      </w:r>
      <w:r>
        <w:rPr>
          <w:rFonts w:ascii="Times New Roman" w:hAnsi="Times New Roman" w:cs="B Nazanin" w:eastAsia="Times New Roman"/>
          <w:sz w:val="26"/>
          <w:szCs w:val="26"/>
          <w:vertAlign w:val="superscript"/>
          <w:lang w:val="en-US" w:bidi="fa-IR"/>
        </w:rPr>
        <w:t>۲۰</w:t>
      </w:r>
      <w:r>
        <w:rPr>
          <w:rFonts w:ascii="Times New Roman" w:hAnsi="Times New Roman" w:cs="B Nazanin" w:eastAsia="Times New Roman"/>
          <w:sz w:val="26"/>
          <w:szCs w:val="26"/>
          <w:lang w:val="en-US" w:bidi="fa-IR"/>
        </w:rPr>
        <w:t xml:space="preserve">، ۲۰۰۳) اقتباس شده و مقیاس‌های اجرای ماهوی و انطباق نمادین محقق‌ساخته‌اند. روایی محتوایی با ضریب لاوشه (لاوشه</w:t>
      </w:r>
      <w:r>
        <w:rPr>
          <w:rStyle w:val="FootnoteReference"/>
          <w:rFonts w:ascii="Times New Roman" w:hAnsi="Times New Roman" w:cs="B Nazanin" w:eastAsia="Times New Roman"/>
          <w:sz w:val="26"/>
          <w:szCs w:val="26"/>
          <w:vertAlign w:val="superscript"/>
          <w:lang w:val="en-US" w:bidi="fa-IR"/>
        </w:rPr>
        <w:footnoteReference w:customMarkFollows="1" w:id="21"/>
      </w:r>
      <w:r>
        <w:rPr>
          <w:rFonts w:ascii="Times New Roman" w:hAnsi="Times New Roman" w:cs="B Nazanin" w:eastAsia="Times New Roman"/>
          <w:sz w:val="26"/>
          <w:szCs w:val="26"/>
          <w:vertAlign w:val="superscript"/>
          <w:lang w:val="en-US" w:bidi="fa-IR"/>
        </w:rPr>
        <w:t>۲۱</w:t>
      </w:r>
      <w:r>
        <w:rPr>
          <w:rFonts w:ascii="Times New Roman" w:hAnsi="Times New Roman" w:cs="B Nazanin" w:eastAsia="Times New Roman"/>
          <w:sz w:val="26"/>
          <w:szCs w:val="26"/>
          <w:lang w:val="en-US" w:bidi="fa-IR"/>
        </w:rPr>
        <w:t xml:space="preserve">، ۱۹۷۵) </w:t>
      </w:r>
      <w:r>
        <w:rPr>
          <w:rFonts w:ascii="Times New Roman" w:hAnsi="Times New Roman" w:cs="B Nazanin" w:eastAsia="Times New Roman"/>
          <w:sz w:val="26"/>
          <w:szCs w:val="26"/>
          <w:highlight w:val="yellow"/>
          <w:lang w:val="en-US" w:bidi="fa-IR"/>
        </w:rPr>
        <w:t xml:space="preserve">[تعداد خبرگان و ضرایب CVR/CVI را درج کنید]</w:t>
      </w:r>
      <w:r>
        <w:rPr>
          <w:rFonts w:ascii="Times New Roman" w:hAnsi="Times New Roman" w:cs="B Nazanin" w:eastAsia="Times New Roman"/>
          <w:sz w:val="26"/>
          <w:szCs w:val="26"/>
          <w:lang w:val="en-US" w:bidi="fa-IR"/>
        </w:rPr>
        <w:t xml:space="preserve"> ارزیابی شد. با ۲۱ گویه و ۷۷ پارامتر، نسبت مشاهده به پارامتر ۵٫۴ است؛ از این رو توان آزمون برازش نزدیک با شاخص RMSEA (مک‌کالوم، براون و سوگاوارا</w:t>
      </w:r>
      <w:r>
        <w:rPr>
          <w:rStyle w:val="FootnoteReference"/>
          <w:rFonts w:ascii="Times New Roman" w:hAnsi="Times New Roman" w:cs="B Nazanin" w:eastAsia="Times New Roman"/>
          <w:sz w:val="26"/>
          <w:szCs w:val="26"/>
          <w:vertAlign w:val="superscript"/>
          <w:lang w:val="en-US" w:bidi="fa-IR"/>
        </w:rPr>
        <w:footnoteReference w:customMarkFollows="1" w:id="22"/>
      </w:r>
      <w:r>
        <w:rPr>
          <w:rFonts w:ascii="Times New Roman" w:hAnsi="Times New Roman" w:cs="B Nazanin" w:eastAsia="Times New Roman"/>
          <w:sz w:val="26"/>
          <w:szCs w:val="26"/>
          <w:vertAlign w:val="superscript"/>
          <w:lang w:val="en-US" w:bidi="fa-IR"/>
        </w:rPr>
        <w:t>۲۲</w:t>
      </w:r>
      <w:r>
        <w:rPr>
          <w:rFonts w:ascii="Times New Roman" w:hAnsi="Times New Roman" w:cs="B Nazanin" w:eastAsia="Times New Roman"/>
          <w:sz w:val="26"/>
          <w:szCs w:val="26"/>
          <w:lang w:val="en-US" w:bidi="fa-IR"/>
        </w:rPr>
        <w:t xml:space="preserve">، ۱۹۹۶) نیز سنجیده شد (توان بالاتر از ۰٫۹۹).</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تحلیل با مدل‌سازی معادلات ساختاری مبتنی بر کوواریانس به روش حداکثر درست‌نمایی در بستهٔ semopy (ایگولکینا و مشچریاکوف</w:t>
      </w:r>
      <w:r>
        <w:rPr>
          <w:rStyle w:val="FootnoteReference"/>
          <w:rFonts w:ascii="Times New Roman" w:hAnsi="Times New Roman" w:cs="B Nazanin" w:eastAsia="Times New Roman"/>
          <w:sz w:val="26"/>
          <w:szCs w:val="26"/>
          <w:vertAlign w:val="superscript"/>
          <w:lang w:val="en-US" w:bidi="fa-IR"/>
        </w:rPr>
        <w:footnoteReference w:customMarkFollows="1" w:id="23"/>
      </w:r>
      <w:r>
        <w:rPr>
          <w:rFonts w:ascii="Times New Roman" w:hAnsi="Times New Roman" w:cs="B Nazanin" w:eastAsia="Times New Roman"/>
          <w:sz w:val="26"/>
          <w:szCs w:val="26"/>
          <w:vertAlign w:val="superscript"/>
          <w:lang w:val="en-US" w:bidi="fa-IR"/>
        </w:rPr>
        <w:t>۲۳</w:t>
      </w:r>
      <w:r>
        <w:rPr>
          <w:rFonts w:ascii="Times New Roman" w:hAnsi="Times New Roman" w:cs="B Nazanin" w:eastAsia="Times New Roman"/>
          <w:sz w:val="26"/>
          <w:szCs w:val="26"/>
          <w:lang w:val="en-US" w:bidi="fa-IR"/>
        </w:rPr>
        <w:t xml:space="preserve">، ۲۰۲۰) انجام شد و هیچ گویه‌ای میانگین‌گیری یا جمع نشد. دو اثر متقابل پنهان (الزامی × هنجاری بر اجرای ماهوی؛ الزامی × تقلیدی بر انطباق نمادین) با شاخص‌های حاصل‌ضرب جفت‌شده ساخته شد (مارش، ون و هائو</w:t>
      </w:r>
      <w:r>
        <w:rPr>
          <w:rStyle w:val="FootnoteReference"/>
          <w:rFonts w:ascii="Times New Roman" w:hAnsi="Times New Roman" w:cs="B Nazanin" w:eastAsia="Times New Roman"/>
          <w:sz w:val="26"/>
          <w:szCs w:val="26"/>
          <w:vertAlign w:val="superscript"/>
          <w:lang w:val="en-US" w:bidi="fa-IR"/>
        </w:rPr>
        <w:footnoteReference w:customMarkFollows="1" w:id="24"/>
      </w:r>
      <w:r>
        <w:rPr>
          <w:rFonts w:ascii="Times New Roman" w:hAnsi="Times New Roman" w:cs="B Nazanin" w:eastAsia="Times New Roman"/>
          <w:sz w:val="26"/>
          <w:szCs w:val="26"/>
          <w:vertAlign w:val="superscript"/>
          <w:lang w:val="en-US" w:bidi="fa-IR"/>
        </w:rPr>
        <w:t>۲۴</w:t>
      </w:r>
      <w:r>
        <w:rPr>
          <w:rFonts w:ascii="Times New Roman" w:hAnsi="Times New Roman" w:cs="B Nazanin" w:eastAsia="Times New Roman"/>
          <w:sz w:val="26"/>
          <w:szCs w:val="26"/>
          <w:lang w:val="en-US" w:bidi="fa-IR"/>
        </w:rPr>
        <w:t xml:space="preserve">، ۲۰۰۴) و با شاخص‌های باقی‌مانده‌مرکزشده (لیتل، بووایرد و ویدمن</w:t>
      </w:r>
      <w:r>
        <w:rPr>
          <w:rStyle w:val="FootnoteReference"/>
          <w:rFonts w:ascii="Times New Roman" w:hAnsi="Times New Roman" w:cs="B Nazanin" w:eastAsia="Times New Roman"/>
          <w:sz w:val="26"/>
          <w:szCs w:val="26"/>
          <w:vertAlign w:val="superscript"/>
          <w:lang w:val="en-US" w:bidi="fa-IR"/>
        </w:rPr>
        <w:footnoteReference w:customMarkFollows="1" w:id="25"/>
      </w:r>
      <w:r>
        <w:rPr>
          <w:rFonts w:ascii="Times New Roman" w:hAnsi="Times New Roman" w:cs="B Nazanin" w:eastAsia="Times New Roman"/>
          <w:sz w:val="26"/>
          <w:szCs w:val="26"/>
          <w:vertAlign w:val="superscript"/>
          <w:lang w:val="en-US" w:bidi="fa-IR"/>
        </w:rPr>
        <w:t>۲۵</w:t>
      </w:r>
      <w:r>
        <w:rPr>
          <w:rFonts w:ascii="Times New Roman" w:hAnsi="Times New Roman" w:cs="B Nazanin" w:eastAsia="Times New Roman"/>
          <w:sz w:val="26"/>
          <w:szCs w:val="26"/>
          <w:lang w:val="en-US" w:bidi="fa-IR"/>
        </w:rPr>
        <w:t xml:space="preserve">، ۲۰۰۶) بازبینی گردید. اثرهای شرطی (شیب ساده) در سطوح ۱− و ۰ و ۱+ انحراف معیار با ۱,۰۰۰ نمونهٔ بوت‌استرپ و فاصلهٔ اطمینان صدکی (پریچر و هیز</w:t>
      </w:r>
      <w:r>
        <w:rPr>
          <w:rStyle w:val="FootnoteReference"/>
          <w:rFonts w:ascii="Times New Roman" w:hAnsi="Times New Roman" w:cs="B Nazanin" w:eastAsia="Times New Roman"/>
          <w:sz w:val="26"/>
          <w:szCs w:val="26"/>
          <w:vertAlign w:val="superscript"/>
          <w:lang w:val="en-US" w:bidi="fa-IR"/>
        </w:rPr>
        <w:footnoteReference w:customMarkFollows="1" w:id="26"/>
      </w:r>
      <w:r>
        <w:rPr>
          <w:rFonts w:ascii="Times New Roman" w:hAnsi="Times New Roman" w:cs="B Nazanin" w:eastAsia="Times New Roman"/>
          <w:sz w:val="26"/>
          <w:szCs w:val="26"/>
          <w:vertAlign w:val="superscript"/>
          <w:lang w:val="en-US" w:bidi="fa-IR"/>
        </w:rPr>
        <w:t>۲۶</w:t>
      </w:r>
      <w:r>
        <w:rPr>
          <w:rFonts w:ascii="Times New Roman" w:hAnsi="Times New Roman" w:cs="B Nazanin" w:eastAsia="Times New Roman"/>
          <w:sz w:val="26"/>
          <w:szCs w:val="26"/>
          <w:lang w:val="en-US" w:bidi="fa-IR"/>
        </w:rPr>
        <w:t xml:space="preserve">، ۲۰۰۸) برآورد شد. ناوردایی اندازه‌گیری میان دو گروه با تحلیل عاملی تأییدی چندگروهی (پیکربندی، متریک، اسکالر) و بر پایهٔ تغییر CFI (کمتر از ۰٫۰۱) (چونگ و رنسولد</w:t>
      </w:r>
      <w:r>
        <w:rPr>
          <w:rStyle w:val="FootnoteReference"/>
          <w:rFonts w:ascii="Times New Roman" w:hAnsi="Times New Roman" w:cs="B Nazanin" w:eastAsia="Times New Roman"/>
          <w:sz w:val="26"/>
          <w:szCs w:val="26"/>
          <w:vertAlign w:val="superscript"/>
          <w:lang w:val="en-US" w:bidi="fa-IR"/>
        </w:rPr>
        <w:footnoteReference w:customMarkFollows="1" w:id="27"/>
      </w:r>
      <w:r>
        <w:rPr>
          <w:rFonts w:ascii="Times New Roman" w:hAnsi="Times New Roman" w:cs="B Nazanin" w:eastAsia="Times New Roman"/>
          <w:sz w:val="26"/>
          <w:szCs w:val="26"/>
          <w:vertAlign w:val="superscript"/>
          <w:lang w:val="en-US" w:bidi="fa-IR"/>
        </w:rPr>
        <w:t>۲۷</w:t>
      </w:r>
      <w:r>
        <w:rPr>
          <w:rFonts w:ascii="Times New Roman" w:hAnsi="Times New Roman" w:cs="B Nazanin" w:eastAsia="Times New Roman"/>
          <w:sz w:val="26"/>
          <w:szCs w:val="26"/>
          <w:lang w:val="en-US" w:bidi="fa-IR"/>
        </w:rPr>
        <w:t xml:space="preserve">، ۲۰۰۲؛ چن</w:t>
      </w:r>
      <w:r>
        <w:rPr>
          <w:rStyle w:val="FootnoteReference"/>
          <w:rFonts w:ascii="Times New Roman" w:hAnsi="Times New Roman" w:cs="B Nazanin" w:eastAsia="Times New Roman"/>
          <w:sz w:val="26"/>
          <w:szCs w:val="26"/>
          <w:vertAlign w:val="superscript"/>
          <w:lang w:val="en-US" w:bidi="fa-IR"/>
        </w:rPr>
        <w:footnoteReference w:customMarkFollows="1" w:id="28"/>
      </w:r>
      <w:r>
        <w:rPr>
          <w:rFonts w:ascii="Times New Roman" w:hAnsi="Times New Roman" w:cs="B Nazanin" w:eastAsia="Times New Roman"/>
          <w:sz w:val="26"/>
          <w:szCs w:val="26"/>
          <w:vertAlign w:val="superscript"/>
          <w:lang w:val="en-US" w:bidi="fa-IR"/>
        </w:rPr>
        <w:t>۲۸</w:t>
      </w:r>
      <w:r>
        <w:rPr>
          <w:rFonts w:ascii="Times New Roman" w:hAnsi="Times New Roman" w:cs="B Nazanin" w:eastAsia="Times New Roman"/>
          <w:sz w:val="26"/>
          <w:szCs w:val="26"/>
          <w:lang w:val="en-US" w:bidi="fa-IR"/>
        </w:rPr>
        <w:t xml:space="preserve">، ۲۰۰۷) سنجیده و سپس مسیرها با آزمون والد تفاوت ضرایب مقایسه شد. نیمرخ‌های پنهان فشار با مدل آمیختهٔ گاوسی روی نمرات عاملی رگرسیونی سه فشار (برای ۱ تا ۵ نیمرخ) و ملاک BIC و آنتروپی استخراج گردید (اسپورک و همکاران</w:t>
      </w:r>
      <w:r>
        <w:rPr>
          <w:rStyle w:val="FootnoteReference"/>
          <w:rFonts w:ascii="Times New Roman" w:hAnsi="Times New Roman" w:cs="B Nazanin" w:eastAsia="Times New Roman"/>
          <w:sz w:val="26"/>
          <w:szCs w:val="26"/>
          <w:vertAlign w:val="superscript"/>
          <w:lang w:val="en-US" w:bidi="fa-IR"/>
        </w:rPr>
        <w:footnoteReference w:customMarkFollows="1" w:id="29"/>
      </w:r>
      <w:r>
        <w:rPr>
          <w:rFonts w:ascii="Times New Roman" w:hAnsi="Times New Roman" w:cs="B Nazanin" w:eastAsia="Times New Roman"/>
          <w:sz w:val="26"/>
          <w:szCs w:val="26"/>
          <w:vertAlign w:val="superscript"/>
          <w:lang w:val="en-US" w:bidi="fa-IR"/>
        </w:rPr>
        <w:t>۲۹</w:t>
      </w:r>
      <w:r>
        <w:rPr>
          <w:rFonts w:ascii="Times New Roman" w:hAnsi="Times New Roman" w:cs="B Nazanin" w:eastAsia="Times New Roman"/>
          <w:sz w:val="26"/>
          <w:szCs w:val="26"/>
          <w:lang w:val="en-US" w:bidi="fa-IR"/>
        </w:rPr>
        <w:t xml:space="preserve">، ۲۰۲۰). برازش مدل با CFI و TLI (≥ ۰٫۹۵)، RMSEA (≤ ۰٫۰۶) و SRMR (≤ ۰٫۰۸) (هو و بنتلر</w:t>
      </w:r>
      <w:r>
        <w:rPr>
          <w:rStyle w:val="FootnoteReference"/>
          <w:rFonts w:ascii="Times New Roman" w:hAnsi="Times New Roman" w:cs="B Nazanin" w:eastAsia="Times New Roman"/>
          <w:sz w:val="26"/>
          <w:szCs w:val="26"/>
          <w:vertAlign w:val="superscript"/>
          <w:lang w:val="en-US" w:bidi="fa-IR"/>
        </w:rPr>
        <w:footnoteReference w:customMarkFollows="1" w:id="30"/>
      </w:r>
      <w:r>
        <w:rPr>
          <w:rFonts w:ascii="Times New Roman" w:hAnsi="Times New Roman" w:cs="B Nazanin" w:eastAsia="Times New Roman"/>
          <w:sz w:val="26"/>
          <w:szCs w:val="26"/>
          <w:vertAlign w:val="superscript"/>
          <w:lang w:val="en-US" w:bidi="fa-IR"/>
        </w:rPr>
        <w:t>۳۰</w:t>
      </w:r>
      <w:r>
        <w:rPr>
          <w:rFonts w:ascii="Times New Roman" w:hAnsi="Times New Roman" w:cs="B Nazanin" w:eastAsia="Times New Roman"/>
          <w:sz w:val="26"/>
          <w:szCs w:val="26"/>
          <w:lang w:val="en-US" w:bidi="fa-IR"/>
        </w:rPr>
        <w:t xml:space="preserve">، ۱۹۹۹) و روایی با CR و AVE (فورنل و لارکر</w:t>
      </w:r>
      <w:r>
        <w:rPr>
          <w:rStyle w:val="FootnoteReference"/>
          <w:rFonts w:ascii="Times New Roman" w:hAnsi="Times New Roman" w:cs="B Nazanin" w:eastAsia="Times New Roman"/>
          <w:sz w:val="26"/>
          <w:szCs w:val="26"/>
          <w:vertAlign w:val="superscript"/>
          <w:lang w:val="en-US" w:bidi="fa-IR"/>
        </w:rPr>
        <w:footnoteReference w:customMarkFollows="1" w:id="31"/>
      </w:r>
      <w:r>
        <w:rPr>
          <w:rFonts w:ascii="Times New Roman" w:hAnsi="Times New Roman" w:cs="B Nazanin" w:eastAsia="Times New Roman"/>
          <w:sz w:val="26"/>
          <w:szCs w:val="26"/>
          <w:vertAlign w:val="superscript"/>
          <w:lang w:val="en-US" w:bidi="fa-IR"/>
        </w:rPr>
        <w:t>۳۱</w:t>
      </w:r>
      <w:r>
        <w:rPr>
          <w:rFonts w:ascii="Times New Roman" w:hAnsi="Times New Roman" w:cs="B Nazanin" w:eastAsia="Times New Roman"/>
          <w:sz w:val="26"/>
          <w:szCs w:val="26"/>
          <w:lang w:val="en-US" w:bidi="fa-IR"/>
        </w:rPr>
        <w:t xml:space="preserve">، ۱۹۸۱) و HTMT (هنسلر، رینگل و سارستدت</w:t>
      </w:r>
      <w:r>
        <w:rPr>
          <w:rStyle w:val="FootnoteReference"/>
          <w:rFonts w:ascii="Times New Roman" w:hAnsi="Times New Roman" w:cs="B Nazanin" w:eastAsia="Times New Roman"/>
          <w:sz w:val="26"/>
          <w:szCs w:val="26"/>
          <w:vertAlign w:val="superscript"/>
          <w:lang w:val="en-US" w:bidi="fa-IR"/>
        </w:rPr>
        <w:footnoteReference w:customMarkFollows="1" w:id="32"/>
      </w:r>
      <w:r>
        <w:rPr>
          <w:rFonts w:ascii="Times New Roman" w:hAnsi="Times New Roman" w:cs="B Nazanin" w:eastAsia="Times New Roman"/>
          <w:sz w:val="26"/>
          <w:szCs w:val="26"/>
          <w:vertAlign w:val="superscript"/>
          <w:lang w:val="en-US" w:bidi="fa-IR"/>
        </w:rPr>
        <w:t>۳۲</w:t>
      </w:r>
      <w:r>
        <w:rPr>
          <w:rFonts w:ascii="Times New Roman" w:hAnsi="Times New Roman" w:cs="B Nazanin" w:eastAsia="Times New Roman"/>
          <w:sz w:val="26"/>
          <w:szCs w:val="26"/>
          <w:lang w:val="en-US" w:bidi="fa-IR"/>
        </w:rPr>
        <w:t xml:space="preserve">، ۲۰۱۵) سنجیده شد.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یافته‌های پژوهش</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مدل اندازه‌گیری پنج‌عاملی برازش مطلوب داشت: χ² برابر ۲۳۳٫۸ با ۱۷۹ درجهٔ آزادی؛ CFI برابر ۰٫۹۸۵، TLI برابر ۰٫۹۸۳، RMSEA برابر ۰٫۰۲۷ و SRMR برابر ۰٫۰۳۴. بارهای عاملی از ۰٫۶۰ تا ۰٫۸۴، پایایی ترکیبی از ۰٫۸۳ تا ۰٫۸۶ و AVE از ۰٫۵۴ تا ۰٫۵۷ بود (جدول ۱). بیشینهٔ HTMT برابر ۰٫۵۵ و کمتر از ۰٫۸۵ بود. نخستین عامل هارمن ۲۴٫۹ درصد واریانس را تبیین کرد و افزودن عامل مشترک پنهان تغییر چشمگیری در برازش نداد (CFI برابر ۰٫۹۹۰)، پس سوگیری روش مشترک نگران‌کننده نیست.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 پایایی و روایی همگرا</w:t>
      </w:r>
    </w:p>
    <w:tbl>
      <w:tblPr>
        <w:bidiVisual/>
        <w:tblW w:w="7500" w:type="dxa"/>
        <w:jc w:val="center"/>
        <w:tblLayout w:type="fixed"/>
        <w:tblCellMar>
          <w:left w:w="60" w:type="dxa"/>
          <w:right w:w="60" w:type="dxa"/>
        </w:tblCellMar>
      </w:tblPr>
      <w:tblGrid>
        <w:gridCol w:w="2600"/>
        <w:gridCol w:w="700"/>
        <w:gridCol w:w="900"/>
        <w:gridCol w:w="900"/>
        <w:gridCol w:w="900"/>
        <w:gridCol w:w="1500"/>
      </w:tblGrid>
      <w:tr>
        <w:trPr>
          <w:tblHeader/>
        </w:trPr>
        <w:tc>
          <w:tcPr>
            <w:tcW w:w="2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سازه</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آلفا</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CR</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AVE</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بارها</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فشار الزامی (COE)</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۰٫۵۷</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۰٫۶۵–۰٫۸۳</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فشار هنجاری (NOR)</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۰٫۸۳</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۰٫۵۶</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۰٫۶۰–۰٫۸۳</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فشار تقلیدی (MIM)</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۰٫۸۲</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۰٫۸۳</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۰٫۵۴</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۰٫۶۸–۰٫۷۹</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اجرای ماهوی (SUB)</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۰٫۸۶</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۰٫۸۶</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۰٫۵۵</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۰٫۶۶–۰٫۸۱</w:t>
            </w:r>
          </w:p>
        </w:tc>
      </w:tr>
      <w:tr>
        <w:trPr>
          <w:cantSplit/>
        </w:trPr>
        <w:tc>
          <w:tcPr>
            <w:tcW w:w="2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انطباق نمادین (SYM)</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۰٫۸۳</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۰٫۸۳</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۰٫۵۶</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۰٫۶۵–۰٫۸۴</w:t>
            </w:r>
          </w:p>
        </w:tc>
      </w:tr>
    </w:tbl>
    <w:p>
      <w:pPr>
        <w:bidi/>
        <w:spacing w:before="0" w:after="100" w:line="240" w:lineRule="auto"/>
        <w:ind w:firstLine="360"/>
        <w:jc w:val="both"/>
      </w:pP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۱‑الف. همبستگی سازه‌ها (قطر: جذر AVE) و بیشینهٔ HTMT</w:t>
      </w:r>
    </w:p>
    <w:tbl>
      <w:tblPr>
        <w:bidiVisual/>
        <w:tblW w:w="6400" w:type="dxa"/>
        <w:jc w:val="center"/>
        <w:tblLayout w:type="fixed"/>
        <w:tblCellMar>
          <w:left w:w="60" w:type="dxa"/>
          <w:right w:w="60" w:type="dxa"/>
        </w:tblCellMar>
      </w:tblPr>
      <w:tblGrid>
        <w:gridCol w:w="900"/>
        <w:gridCol w:w="1100"/>
        <w:gridCol w:w="1100"/>
        <w:gridCol w:w="1100"/>
        <w:gridCol w:w="1100"/>
        <w:gridCol w:w="1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سازه</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COE</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NOR</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MIM</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SUB</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SYM</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۰٫۵۲</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۰٫۷۵</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۰٫۵۲</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۰٫۷۴</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۰٫۰۵</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۰٫۵۴</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۰٫۰۵</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۰٫۷۴</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۰٫۵۴</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۰٫۷۵</w:t>
            </w:r>
          </w:p>
        </w:tc>
      </w:tr>
    </w:tbl>
    <w:p>
      <w:pPr>
        <w:bidi/>
        <w:spacing w:before="40" w:after="120" w:line="240" w:lineRule="auto"/>
        <w:jc w:val="both"/>
      </w:pPr>
      <w:r>
        <w:rPr>
          <w:rFonts w:ascii="Times New Roman" w:hAnsi="Times New Roman" w:cs="B Nazanin" w:eastAsia="Times New Roman"/>
          <w:sz w:val="20"/>
          <w:szCs w:val="20"/>
          <w:lang w:val="en-US" w:bidi="fa-IR"/>
        </w:rPr>
        <w:t xml:space="preserve">بیشینهٔ HTMT میان سازه‌ها برابر ۰٫۵۵ است. جذر AVE هر سازه از همبستگی آن با سازه‌های دیگر بزرگ‌تر است.</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مدل ساختاری با دو اثر متقابل برازش مطلوب داشت: χ² برابر ۴۰۵٫۱ با ۳۵۸ درجهٔ آزادی؛ CFI برابر ۰٫۹۸۹، TLI برابر ۰٫۹۸۷، RMSEA برابر ۰٫۰۱۸ و SRMR برابر ۰٫۰۳۶ (جدول ۲ و شکل ۲).</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 برآورد مسیرهای ساختاری</w:t>
      </w:r>
    </w:p>
    <w:tbl>
      <w:tblPr>
        <w:bidiVisual/>
        <w:tblW w:w="7450" w:type="dxa"/>
        <w:jc w:val="center"/>
        <w:tblLayout w:type="fixed"/>
        <w:tblCellMar>
          <w:left w:w="60" w:type="dxa"/>
          <w:right w:w="60" w:type="dxa"/>
        </w:tblCellMar>
      </w:tblPr>
      <w:tblGrid>
        <w:gridCol w:w="1100"/>
        <w:gridCol w:w="2900"/>
        <w:gridCol w:w="600"/>
        <w:gridCol w:w="600"/>
        <w:gridCol w:w="600"/>
        <w:gridCol w:w="750"/>
        <w:gridCol w:w="900"/>
      </w:tblGrid>
      <w:tr>
        <w:trPr>
          <w:tblHeader/>
        </w:trPr>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نوع</w:t>
            </w:r>
          </w:p>
        </w:tc>
        <w:tc>
          <w:tcPr>
            <w:tcW w:w="2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مسیر</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b</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SE</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β</w:t>
            </w:r>
          </w:p>
        </w:tc>
        <w:tc>
          <w:tcPr>
            <w:tcW w:w="7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p</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فرضیه</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الزامی ← اجرای ماهوی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هنجاری ← اجرای ماهوی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۰٫۰۶</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تقلیدی ← اجرای ماهوی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۰٫۰۹</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۰٫۲۵۳</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الزامی ← انطباق نمادین</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۰٫۰۶</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هنجاری ← انطباق نمادین</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۰٫۰۵</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اصلی</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تقلیدی ← انطباق نمادین</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۰٫۳۳</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متقابل</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هنجاری ← اجرای ماهوی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۰٫۰۰۴</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فرضیهٔ ۱</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اثر متقابل</w:t>
            </w:r>
          </w:p>
        </w:tc>
        <w:tc>
          <w:tcPr>
            <w:tcW w:w="2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تقلیدی ← انطباق نمادین</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۰٫۲۵</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7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&lt;۰٫۰۰۱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فرضیهٔ ۲</w:t>
            </w:r>
          </w:p>
        </w:tc>
      </w:tr>
      <w:tr>
        <w:trPr>
          <w:cantSplit/>
        </w:trPr>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همبستگی باقی‌مانده</w:t>
            </w:r>
          </w:p>
        </w:tc>
        <w:tc>
          <w:tcPr>
            <w:tcW w:w="2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اجرای ماهوی ↔ انطباق نمادین</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۰٫۰۴</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۰٫۱۴</w:t>
            </w:r>
          </w:p>
        </w:tc>
        <w:tc>
          <w:tcPr>
            <w:tcW w:w="7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۰٫۰۰۲</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فرضیهٔ ۳</w:t>
            </w:r>
          </w:p>
        </w:tc>
      </w:tr>
    </w:tbl>
    <w:p>
      <w:pPr>
        <w:bidi/>
        <w:spacing w:before="0" w:after="100" w:line="240" w:lineRule="auto"/>
        <w:ind w:firstLine="360"/>
        <w:jc w:val="both"/>
      </w:pPr>
    </w:p>
    <w:p>
      <w:pPr>
        <w:keepNext/>
        <w:jc w:val="center"/>
      </w:pPr>
      <w:r>
        <w:drawing>
          <wp:inline distT="0" distB="0" distL="0" distR="0">
            <wp:extent cx="5580000" cy="2950961"/>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580000" cy="2950961"/>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۲. مدل برآوردشده (ضرایب استاندارد؛ ∗ معنادار در سطح ۰٫۰۵، ∗∗ سطح ۰٫۰۱، ∗∗∗ سطح ۰٫۰۰۱)</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اثرهای اصلی.</w:t>
      </w:r>
      <w:r>
        <w:rPr>
          <w:rFonts w:ascii="Times New Roman" w:hAnsi="Times New Roman" w:cs="B Nazanin" w:eastAsia="Times New Roman"/>
          <w:sz w:val="26"/>
          <w:szCs w:val="26"/>
          <w:lang w:val="en-US" w:bidi="fa-IR"/>
        </w:rPr>
        <w:t xml:space="preserve"> فشار الزامی (β برابر ۰٫۲۴، p کمتر از ۰٫۰۰۱) و فشار هنجاری (β برابر ۰٫۳۵، p کمتر از ۰٫۰۰۱) اجرای ماهوی را افزایش دادند و فشار تقلیدی اثر معناداری بر آن نداشت (β برابر ۰٫۰۸، p برابر ۰٫۲۵۳). انطباق نمادین با فشار الزامی (β برابر ۰٫۲۳، p کمتر از ۰٫۰۰۱) و تقلیدی (β برابر ۰٫۳۳، p کمتر از ۰٫۰۰۱) افزایش و با فشار هنجاری (β برابر ⁦⁦−۰⁩٫۱۹⁩، p کمتر از ۰٫۰۰۱) کاهش یافت. این الگو با مبنای نظری سازگار است و زمینه را برای آزمون پیکربندی فراهم می‌کند.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۱ و ۲.</w:t>
      </w:r>
      <w:r>
        <w:rPr>
          <w:rFonts w:ascii="Times New Roman" w:hAnsi="Times New Roman" w:cs="B Nazanin" w:eastAsia="Times New Roman"/>
          <w:sz w:val="26"/>
          <w:szCs w:val="26"/>
          <w:lang w:val="en-US" w:bidi="fa-IR"/>
        </w:rPr>
        <w:t xml:space="preserve"> اثر متقابل الزامی × هنجاری بر اجرای ماهوی مثبت و معنادار بود (β برابر ۰٫۲۱، p برابر ۰٫۰۰۴) و اثر متقابل الزامی × تقلیدی بر انطباق نمادین نیز (β برابر ۰٫۲۱، p کمتر از ۰٫۰۰۱). هر دو فرضیه تأیید شد. اندازهٔ اثر متقابل‌ها کوچک تا متوسط (f² برابر ۰٫۰۴۵ و f² برابر ۰٫۰۵۵) است و افزودن آن‌ها ضریب تعیین اجرای ماهوی را به ۰٫۲۰ و انطباق نمادین را به ۰٫۴۱ رساند.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۳. اثرهای شرطی (شیب ساده) و فاصلهٔ اطمینان ۹۵ درصد بوت‌استرپ</w:t>
      </w:r>
    </w:p>
    <w:tbl>
      <w:tblPr>
        <w:bidiVisual/>
        <w:tblW w:w="7200" w:type="dxa"/>
        <w:jc w:val="center"/>
        <w:tblLayout w:type="fixed"/>
        <w:tblCellMar>
          <w:left w:w="60" w:type="dxa"/>
          <w:right w:w="60" w:type="dxa"/>
        </w:tblCellMar>
      </w:tblPr>
      <w:tblGrid>
        <w:gridCol w:w="2700"/>
        <w:gridCol w:w="1500"/>
        <w:gridCol w:w="1500"/>
        <w:gridCol w:w="1500"/>
      </w:tblGrid>
      <w:tr>
        <w:trPr>
          <w:tblHeader/>
        </w:trPr>
        <w:tc>
          <w:tcPr>
            <w:tcW w:w="2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اثر</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سطح پایین (۱− انحراف معیار)</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میانگین</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سطح بالا (۱+ انحراف معیار)</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اجرای ماهوی، در سطوح هنجاری</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 [⁦−۰٫۱۹⁩, ۰٫۱۶]⁩</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 [۰٫۰۸, ۰٫۳۵]⁩</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⁦۰٫۴۴ [۰٫۲۱, ۰٫۶۷]⁩</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هنجاری ← اجرای ماهوی، در سطوح الزامی</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 [⁦−۰٫۱۰⁩, ۰٫۳۳]⁩</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 [۰٫۲۲, ۰٫۴۷]⁩</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⁦۰٫۵۷ [۰٫۳۹, ۰٫۷۹]⁩</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انطباق نمادین، در سطوح تقلیدی</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 [⁦−۰٫۲۰⁩, ۰٫۱۸]⁩</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 [۰٫۱۰, ۰٫۳۳]⁩</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⁦۰٫۴۳ [۰٫۲۴, ۰٫۶۱]⁩</w:t>
            </w:r>
          </w:p>
        </w:tc>
      </w:tr>
      <w:tr>
        <w:trPr>
          <w:cantSplit/>
        </w:trPr>
        <w:tc>
          <w:tcPr>
            <w:tcW w:w="2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تقلیدی ← انطباق نمادین، در سطوح الزامی</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 [⁦−۰٫۱۳⁩, ۰٫۳۴]⁩</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 [۰٫۲۰, ۰٫۵۱]⁩</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⁦۰٫۵۸ [۰٫۴۰, ۰٫۸۰]⁩</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sz w:val="26"/>
          <w:szCs w:val="26"/>
          <w:lang w:val="en-US" w:bidi="fa-IR"/>
        </w:rPr>
        <w:t xml:space="preserve">شکل ۳ و جدول ۳ الگوی «شرطی‌بودن» را نشان می‌دهند. در سطح پایین فشار هنجاری، اثر فشار الزامی بر اجرای ماهوی از صفر متمایز نبود (⁦۰٫۰۱ [⁦−۰٫۱۹⁩, ۰٫۱۶]⁩) اما در سطح میانگین (⁦۰٫۲۳ [۰٫۰۸, ۰٫۳۵]⁩) و بالا (⁦۰٫۴۴ [۰٫۲۱, ۰٫۶۷]⁩) مثبت و فزاینده بود؛ یعنی </w:t>
      </w:r>
      <w:r>
        <w:rPr>
          <w:rFonts w:ascii="Times New Roman" w:hAnsi="Times New Roman" w:cs="B Nazanin" w:eastAsia="Times New Roman"/>
          <w:b/>
          <w:bCs/>
          <w:sz w:val="26"/>
          <w:szCs w:val="26"/>
          <w:lang w:val="en-US" w:bidi="fa-IR"/>
        </w:rPr>
        <w:t xml:space="preserve">الزام بدون هنجار حرفه‌ای به ماهیت نمی‌انجامد</w:t>
      </w:r>
      <w:r>
        <w:rPr>
          <w:rFonts w:ascii="Times New Roman" w:hAnsi="Times New Roman" w:cs="B Nazanin" w:eastAsia="Times New Roman"/>
          <w:sz w:val="26"/>
          <w:szCs w:val="26"/>
          <w:lang w:val="en-US" w:bidi="fa-IR"/>
        </w:rPr>
        <w:t xml:space="preserve">. به همین ترتیب، در سطح پایین فشار تقلیدی، الزام اثری بر انطباق نمادین نداشت (⁦۰٫۰۰ [⁦−۰٫۲۰⁩, ۰٫۱۸]⁩) و در سطح بالا اثر آن قوی بود (⁦۰٫۴۳ [۰٫۲۴, ۰٫۶۱]⁩)؛ یعنی </w:t>
      </w:r>
      <w:r>
        <w:rPr>
          <w:rFonts w:ascii="Times New Roman" w:hAnsi="Times New Roman" w:cs="B Nazanin" w:eastAsia="Times New Roman"/>
          <w:b/>
          <w:bCs/>
          <w:sz w:val="26"/>
          <w:szCs w:val="26"/>
          <w:lang w:val="en-US" w:bidi="fa-IR"/>
        </w:rPr>
        <w:t xml:space="preserve">الزام تنها در حضور الگوی آماده به آیین تبدیل می‌شود</w:t>
      </w:r>
      <w:r>
        <w:rPr>
          <w:rFonts w:ascii="Times New Roman" w:hAnsi="Times New Roman" w:cs="B Nazanin" w:eastAsia="Times New Roman"/>
          <w:sz w:val="26"/>
          <w:szCs w:val="26"/>
          <w:lang w:val="en-US" w:bidi="fa-IR"/>
        </w:rPr>
        <w:t xml:space="preserve">. نگاه از سوی دیگر نیز همین را می‌گوید: اثر هنجار بر اجرای ماهوی در سطح بالای الزام (⁦۰٫۵۷ [۰٫۳۹, ۰٫۷۹]⁩) بسیار بیشتر از سطح پایین است (⁦۰٫۱۱ [⁦−۰٫۱۰⁩, ۰٫۳۳]⁩).</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از نظر کاربردی، اندازهٔ شرطی‌بودن چشمگیر است: در یک انحراف معیار بالاتر از میانگین هنجار، هر واحد افزایش الزام تقریباً ۰٫۴۴ واحد اجرای ماهوی می‌افزاید، یعنی نزدیک به دو برابر اثر میانگین (۰٫۲۳) و در یک انحراف معیار پایین‌تر، اثر عملاً صفر است. همین الگو برای مسیر نمادین برقرار است: اثر الزام بر انطباق نمادین از حدود ۰٫۰۰ در سطح پایین تقلید به ۰٫۴۳ در سطح بالای آن می‌رسد. نتیجه آن است که «الزام یکسان» در دو دستگاه با پیکربندی متفاوت می‌تواند نتایج کاملاً متفاوت بیافریند.</w:t>
      </w:r>
    </w:p>
    <w:p>
      <w:pPr>
        <w:keepNext/>
        <w:jc w:val="center"/>
      </w:pPr>
      <w:r>
        <w:drawing>
          <wp:inline distT="0" distB="0" distL="0" distR="0">
            <wp:extent cx="5220000" cy="3852857"/>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220000" cy="3852857"/>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۳. اثرهای شرطی فشارها در سه سطح فشار تعدیل‌گر (نقطه: برآورد؛ خط: فاصلهٔ اطمینان ۹۵ درصد بوت‌استرپ)</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۳.</w:t>
      </w:r>
      <w:r>
        <w:rPr>
          <w:rFonts w:ascii="Times New Roman" w:hAnsi="Times New Roman" w:cs="B Nazanin" w:eastAsia="Times New Roman"/>
          <w:sz w:val="26"/>
          <w:szCs w:val="26"/>
          <w:lang w:val="en-US" w:bidi="fa-IR"/>
        </w:rPr>
        <w:t xml:space="preserve"> پس از کنترل فشارها و اثرهای متقابل، همبستگی باقی‌مانده اجرای ماهوی و انطباق نمادین مثبت و معنادار بود (r برابر ۰٫۱۴، p برابر ۰٫۰۰۲). یعنی دو چهره «یا این یا آن» نیستند، بلکه در یک دستگاه کنار هم می‌مانند؛ فرضیهٔ ۳ تأیید شد. حذف این همبستگی برازش را کاهش داد (مدل M۵ در جدول ۴).</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۴. مقایسهٔ مدل پیشنهادی با مدل‌های رقیب</w:t>
      </w:r>
    </w:p>
    <w:tbl>
      <w:tblPr>
        <w:bidiVisual/>
        <w:tblW w:w="7200" w:type="dxa"/>
        <w:jc w:val="center"/>
        <w:tblLayout w:type="fixed"/>
        <w:tblCellMar>
          <w:left w:w="60" w:type="dxa"/>
          <w:right w:w="60" w:type="dxa"/>
        </w:tblCellMar>
      </w:tblPr>
      <w:tblGrid>
        <w:gridCol w:w="600"/>
        <w:gridCol w:w="2700"/>
        <w:gridCol w:w="800"/>
        <w:gridCol w:w="600"/>
        <w:gridCol w:w="800"/>
        <w:gridCol w:w="900"/>
        <w:gridCol w:w="800"/>
      </w:tblGrid>
      <w:tr>
        <w:trPr>
          <w:tblHeader/>
        </w:trPr>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مدل</w:t>
            </w:r>
          </w:p>
        </w:tc>
        <w:tc>
          <w:tcPr>
            <w:tcW w:w="2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ساختار</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χ²</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df</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CFI</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RMSEA</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AIC</w:t>
            </w:r>
          </w:p>
        </w:tc>
      </w:tr>
      <w:tr>
        <w:trPr>
          <w:cantSplit/>
        </w:trPr>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M۱</w:t>
            </w:r>
          </w:p>
        </w:tc>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مدل پیشنهادی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۴۰۵٫۱</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۳۵۸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۰٫۹۸۹</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۱۵۲</w:t>
            </w:r>
          </w:p>
        </w:tc>
      </w:tr>
      <w:tr>
        <w:trPr>
          <w:cantSplit/>
        </w:trPr>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M۲</w:t>
            </w:r>
          </w:p>
        </w:tc>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بدون اثر متقابل</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۴۲۶٫۲</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۳۶۰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۰٫۹۸۴</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۱۴۸</w:t>
            </w:r>
          </w:p>
        </w:tc>
      </w:tr>
      <w:tr>
        <w:trPr>
          <w:cantSplit/>
        </w:trPr>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M۳</w:t>
            </w:r>
          </w:p>
        </w:tc>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فقط الزامی × هنجاری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۴۱۷٫۵</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۳۵۹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۰٫۹۸۶</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۱۵۰</w:t>
            </w:r>
          </w:p>
        </w:tc>
      </w:tr>
      <w:tr>
        <w:trPr>
          <w:cantSplit/>
        </w:trPr>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M۴</w:t>
            </w:r>
          </w:p>
        </w:tc>
        <w:tc>
          <w:tcPr>
            <w:tcW w:w="2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فقط الزامی × تقلیدی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۴۱۴٫۱</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۳۵۹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۰٫۹۸۷</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۱۵۰</w:t>
            </w:r>
          </w:p>
        </w:tc>
      </w:tr>
      <w:tr>
        <w:trPr>
          <w:cantSplit/>
        </w:trPr>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M۵</w:t>
            </w:r>
          </w:p>
        </w:tc>
        <w:tc>
          <w:tcPr>
            <w:tcW w:w="2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بدون همبستگی باقی‌مانده</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۴۱۵٫۳</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۳۵۹</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۰٫۹۸۶</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۰٫۰۲۰</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۱۵۰</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sz w:val="26"/>
          <w:szCs w:val="26"/>
          <w:lang w:val="en-US" w:bidi="fa-IR"/>
        </w:rPr>
        <w:t xml:space="preserve">مدل پیشنهادی از مدل بدون اثر متقابل (M۲؛ Δχ² برابر ۲۱٫۱ با ۲ درجهٔ آزادی، p &lt; ۰٫۰۰۱)، مدل‌های دارای تنها یکی از دو اثر متقابل (M۳ و M۴؛ Δχ² برابر ۱۲٫۴ و ۸٫۹) و مدل بدون همبستگی باقی‌مانده (M۵؛ Δχ² برابر ۱۰٫۲) برازش بهتری داشت.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۵. ناوردایی اندازه‌گیری میان نهادهای اداری و خدماتی</w:t>
      </w:r>
    </w:p>
    <w:tbl>
      <w:tblPr>
        <w:bidiVisual/>
        <w:tblW w:w="6600" w:type="dxa"/>
        <w:jc w:val="center"/>
        <w:tblLayout w:type="fixed"/>
        <w:tblCellMar>
          <w:left w:w="60" w:type="dxa"/>
          <w:right w:w="60" w:type="dxa"/>
        </w:tblCellMar>
      </w:tblPr>
      <w:tblGrid>
        <w:gridCol w:w="1400"/>
        <w:gridCol w:w="900"/>
        <w:gridCol w:w="700"/>
        <w:gridCol w:w="900"/>
        <w:gridCol w:w="900"/>
        <w:gridCol w:w="900"/>
        <w:gridCol w:w="900"/>
      </w:tblGrid>
      <w:tr>
        <w:trPr>
          <w:tblHeader/>
        </w:trPr>
        <w:tc>
          <w:tcPr>
            <w:tcW w:w="1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مدل</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χ²</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df</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CFI</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RMSEA</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SRMR</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ΔCFI</w:t>
            </w:r>
          </w:p>
        </w:tc>
      </w:tr>
      <w:tr>
        <w:trPr>
          <w:cantSplit/>
        </w:trPr>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پیکربندی</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۴۲۱٫۲</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۳۵۸</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۰٫۹۸۳</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۰٫۰۲۹</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۰٫۰۴۷</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متریک</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۴۳۸٫۸</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۳۷۴</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۰٫۹۸۲</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۰٫۰۲۹</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۰٫۰۵۱</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⁦−۰٫۰۰۰⁩</w:t>
            </w:r>
          </w:p>
        </w:tc>
      </w:tr>
      <w:tr>
        <w:trPr>
          <w:cantSplit/>
        </w:trPr>
        <w:tc>
          <w:tcPr>
            <w:tcW w:w="1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اسکالر</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۴۵۳٫۲</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۳۹۰</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۰٫۹۸۳</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۰٫۰۲۸</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۰٫۰۵۲</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۰٫۰۰۰</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sz w:val="26"/>
          <w:szCs w:val="26"/>
          <w:lang w:val="en-US" w:bidi="fa-IR"/>
        </w:rPr>
        <w:t xml:space="preserve">ناوردایی پیکربندی، متریک و اسکالر برقرار بود (ΔCFI برابر ۰٫۰۰۰ برای گذار به اسکالر؛ هیچ گویه‌ای رها نشد)، پس مقایسهٔ میانگین‌ها و مسیرها معنادار است. نهادهای خدماتی و محلی در فشار الزامی (d برابر ⁦⁦−۰⁩٫۳۶⁩)، فشار تقلیدی (d برابر ⁦⁦−۰⁩٫۳۱⁩) و انطباق نمادین (d برابر ⁦⁦−۰⁩٫۳۲⁩) پایین‌تر و در فشار هنجاری بالاتر (d برابر ۰٫۲۵) بودند و در اجرای ماهوی تفاوتی نداشتند (d برابر ⁦⁦−۰⁩٫۰۲⁩).</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۶. مقایسهٔ مسیرها (ضرایب استاندارد) میان نهادهای اداری و حاکمیتی و نهادهای خدماتی و محلی</w:t>
      </w:r>
    </w:p>
    <w:tbl>
      <w:tblPr>
        <w:bidiVisual/>
        <w:tblW w:w="7400" w:type="dxa"/>
        <w:jc w:val="center"/>
        <w:tblLayout w:type="fixed"/>
        <w:tblCellMar>
          <w:left w:w="60" w:type="dxa"/>
          <w:right w:w="60" w:type="dxa"/>
        </w:tblCellMar>
      </w:tblPr>
      <w:tblGrid>
        <w:gridCol w:w="3000"/>
        <w:gridCol w:w="1400"/>
        <w:gridCol w:w="1400"/>
        <w:gridCol w:w="800"/>
        <w:gridCol w:w="800"/>
      </w:tblGrid>
      <w:tr>
        <w:trPr>
          <w:tblHeader/>
        </w:trPr>
        <w:tc>
          <w:tcPr>
            <w:tcW w:w="3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مسیر</w:t>
            </w:r>
          </w:p>
        </w:tc>
        <w:tc>
          <w:tcPr>
            <w:tcW w:w="1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اداری و حاکمیتی</w:t>
            </w:r>
          </w:p>
        </w:tc>
        <w:tc>
          <w:tcPr>
            <w:tcW w:w="1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خدماتی و محلی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Δz</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p</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هنجاری ← اجرای ماهوی (فرضیهٔ ۴)</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۲٫۸۹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۰٫۰۰۴</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اجرای ماهوی</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۰٫۳۶</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⁦−۲٫۱۸⁩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۰٫۰۲۹</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تقلیدی ← اجرای ماهوی</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۰٫۸۳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۰٫۴۰۹</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انطباق نمادین</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۰٫۷۴۳</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هنجاری ← انطباق نمادین</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۰٫۹۰۹</w:t>
            </w:r>
          </w:p>
        </w:tc>
      </w:tr>
      <w:tr>
        <w:trPr>
          <w:cantSplit/>
        </w:trPr>
        <w:tc>
          <w:tcPr>
            <w:tcW w:w="3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تقلیدی ← انطباق نمادین</w:t>
            </w:r>
          </w:p>
        </w:tc>
        <w:tc>
          <w:tcPr>
            <w:tcW w:w="1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1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۰٫۳۲</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۰٫۷۵۲</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۴.</w:t>
      </w:r>
      <w:r>
        <w:rPr>
          <w:rFonts w:ascii="Times New Roman" w:hAnsi="Times New Roman" w:cs="B Nazanin" w:eastAsia="Times New Roman"/>
          <w:sz w:val="26"/>
          <w:szCs w:val="26"/>
          <w:lang w:val="en-US" w:bidi="fa-IR"/>
        </w:rPr>
        <w:t xml:space="preserve"> اثر فشار هنجاری بر اجرای ماهوی در نهادهای خدماتی و محلی (۰٫۵۰) قوی‌تر از نهادهای اداری و حاکمیتی (۰٫۲۰) بود (Δz برابر ۲٫۸۹، p برابر ۰٫۰۰۴) و فرضیه تأیید شد. در بررسی اکتشافی، اثر فشار الزامی بر اجرای ماهوی در نهادهای خدماتی و محلی ضعیف‌تر بود (Δz برابر ⁦⁦−۲⁩٫۱۸⁩، p برابر ۰٫۰۲۹) و تفاوت سایر مسیرها معنادار نبود (شکل ۴). تعبیر: در نهادهایی که هویت حرفه‌ای قوی است، هنجار جانشین الزام می‌شود؛ در نهادهای اداری، الزام همچنان محرک اصلی اجراست.</w:t>
      </w:r>
    </w:p>
    <w:p>
      <w:pPr>
        <w:keepNext/>
        <w:jc w:val="center"/>
      </w:pPr>
      <w:r>
        <w:drawing>
          <wp:inline distT="0" distB="0" distL="0" distR="0">
            <wp:extent cx="5220000" cy="2672142"/>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220000" cy="2672142"/>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۴. ضرایب مسیر استاندارد به تفکیک نوع نهاد (فاصلهٔ اطمینان تقریبی ۹۵ درصد)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فرضیهٔ ۵.</w:t>
      </w:r>
      <w:r>
        <w:rPr>
          <w:rFonts w:ascii="Times New Roman" w:hAnsi="Times New Roman" w:cs="B Nazanin" w:eastAsia="Times New Roman"/>
          <w:sz w:val="26"/>
          <w:szCs w:val="26"/>
          <w:lang w:val="en-US" w:bidi="fa-IR"/>
        </w:rPr>
        <w:t xml:space="preserve"> مدل آمیختهٔ گاوسی با ۱ تا ۵ نیمرخ برازش شد؛ BIC در حالت ۲ نیمرخ کمینه بود (k برابر ۱: ۳۳۳۳، k برابر ۲: ۳۲۷۵، k برابر ۳: ۳۳۰۴، k برابر ۴: ۳۳۳۳، k برابر ۵: ۳۳۷۷) و آنتروپی ۰٫۸۵ جداسازی مطلوب نیمرخ‌ها را نشان داد. نیمرخ </w:t>
      </w:r>
      <w:r>
        <w:rPr>
          <w:rFonts w:ascii="Times New Roman" w:hAnsi="Times New Roman" w:cs="B Nazanin" w:eastAsia="Times New Roman"/>
          <w:b/>
          <w:bCs/>
          <w:sz w:val="26"/>
          <w:szCs w:val="26"/>
          <w:lang w:val="en-US" w:bidi="fa-IR"/>
        </w:rPr>
        <w:t xml:space="preserve">الزامی‑تقلیدی</w:t>
      </w:r>
      <w:r>
        <w:rPr>
          <w:rFonts w:ascii="Times New Roman" w:hAnsi="Times New Roman" w:cs="B Nazanin" w:eastAsia="Times New Roman"/>
          <w:sz w:val="26"/>
          <w:szCs w:val="26"/>
          <w:lang w:val="en-US" w:bidi="fa-IR"/>
        </w:rPr>
        <w:t xml:space="preserve"> (۳۲ درصد دستگاه‌ها) فشار الزامی (۱٫۰۵) و تقلیدی (۱٫۰۰) بالا و فشار هنجاری (⁦−۰٫۶۸⁩) پایین دارد و نیمرخ </w:t>
      </w:r>
      <w:r>
        <w:rPr>
          <w:rFonts w:ascii="Times New Roman" w:hAnsi="Times New Roman" w:cs="B Nazanin" w:eastAsia="Times New Roman"/>
          <w:b/>
          <w:bCs/>
          <w:sz w:val="26"/>
          <w:szCs w:val="26"/>
          <w:lang w:val="en-US" w:bidi="fa-IR"/>
        </w:rPr>
        <w:t xml:space="preserve">هنجارمحور</w:t>
      </w:r>
      <w:r>
        <w:rPr>
          <w:rFonts w:ascii="Times New Roman" w:hAnsi="Times New Roman" w:cs="B Nazanin" w:eastAsia="Times New Roman"/>
          <w:sz w:val="26"/>
          <w:szCs w:val="26"/>
          <w:lang w:val="en-US" w:bidi="fa-IR"/>
        </w:rPr>
        <w:t xml:space="preserve"> (۶۸ درصد) فشار هنجاری بالاتر از میانگین و الزام و تقلید پایین دارد (شکل ۵). دو نیمرخ در انطباق نمادین تفاوت بسیار بزرگی داشتند (F برابر ۱۹۱٫۵، p کمتر از ۰٫۰۰۱؛ میانگین ۰٫۸۲ در برابر ⁦−۰٫۳۹⁩) و در اجرای ماهوی تفاوت معناداری نداشتند (F برابر ۱٫۰، p برابر ۰٫۳۰۶). سهم نیمرخ الزامی‑تقلیدی در نهادهای اداری بیشتر بود (χ²(۱) برابر ۱۸٫۵، p کمتر از ۰٫۰۰۱). فرضیهٔ ۵ تأیید شد.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۷. نیمرخ‌های پنهان فشار (میانگین نمرهٔ عاملی استاندارد)</w:t>
      </w:r>
    </w:p>
    <w:tbl>
      <w:tblPr>
        <w:bidiVisual/>
        <w:tblW w:w="7400" w:type="dxa"/>
        <w:jc w:val="center"/>
        <w:tblLayout w:type="fixed"/>
        <w:tblCellMar>
          <w:left w:w="60" w:type="dxa"/>
          <w:right w:w="60" w:type="dxa"/>
        </w:tblCellMar>
      </w:tblPr>
      <w:tblGrid>
        <w:gridCol w:w="2100"/>
        <w:gridCol w:w="650"/>
        <w:gridCol w:w="650"/>
        <w:gridCol w:w="800"/>
        <w:gridCol w:w="800"/>
        <w:gridCol w:w="800"/>
        <w:gridCol w:w="800"/>
        <w:gridCol w:w="800"/>
      </w:tblGrid>
      <w:tr>
        <w:trPr>
          <w:tblHeader/>
        </w:trPr>
        <w:tc>
          <w:tcPr>
            <w:tcW w:w="2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نیمرخ</w:t>
            </w:r>
          </w:p>
        </w:tc>
        <w:tc>
          <w:tcPr>
            <w:tcW w:w="6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تعداد</w:t>
            </w:r>
          </w:p>
        </w:tc>
        <w:tc>
          <w:tcPr>
            <w:tcW w:w="6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درصد</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الزامی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هنجاری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تقلیدی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ماهوی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نمادین</w:t>
            </w:r>
          </w:p>
        </w:tc>
      </w:tr>
      <w:tr>
        <w:trPr>
          <w:cantSplit/>
        </w:trPr>
        <w:tc>
          <w:tcPr>
            <w:tcW w:w="2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نیمرخ الف (الزامی‑تقلیدی)</w:t>
            </w:r>
          </w:p>
        </w:tc>
        <w:tc>
          <w:tcPr>
            <w:tcW w:w="6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۱۳۲</w:t>
            </w:r>
          </w:p>
        </w:tc>
        <w:tc>
          <w:tcPr>
            <w:tcW w:w="6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۳۲</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۱٫۰۵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⁦−۰٫۶۸⁩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۱٫۰۰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۰٫۸۲</w:t>
            </w:r>
          </w:p>
        </w:tc>
      </w:tr>
      <w:tr>
        <w:trPr>
          <w:cantSplit/>
        </w:trPr>
        <w:tc>
          <w:tcPr>
            <w:tcW w:w="2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نیمرخ ب (هنجارمحور)</w:t>
            </w:r>
          </w:p>
        </w:tc>
        <w:tc>
          <w:tcPr>
            <w:tcW w:w="6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۲۸۰</w:t>
            </w:r>
          </w:p>
        </w:tc>
        <w:tc>
          <w:tcPr>
            <w:tcW w:w="6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۶۸</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⁦−۰٫۵۰⁩</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۰٫۳۲</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⁦−۰٫۴۷⁩</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۰٫۰۳</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⁦−۰٫۳۹⁩</w:t>
            </w:r>
          </w:p>
        </w:tc>
      </w:tr>
    </w:tbl>
    <w:p>
      <w:pPr>
        <w:bidi/>
        <w:spacing w:before="0" w:after="100" w:line="240" w:lineRule="auto"/>
        <w:ind w:firstLine="360"/>
        <w:jc w:val="both"/>
      </w:pPr>
    </w:p>
    <w:p>
      <w:pPr>
        <w:keepNext/>
        <w:jc w:val="center"/>
      </w:pPr>
      <w:r>
        <w:drawing>
          <wp:inline distT="0" distB="0" distL="0" distR="0">
            <wp:extent cx="4860000" cy="2545714"/>
            <wp:docPr id="5" name="Fig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4860000" cy="2545714"/>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۵. میانگین نمرهٔ عاملی استاندارد متغیرها در نیمرخ‌های پنهان</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۸. استواری ضرایب استاندارد (DWLS بدون اثر متقابل)</w:t>
      </w:r>
    </w:p>
    <w:tbl>
      <w:tblPr>
        <w:bidiVisual/>
        <w:tblW w:w="7700" w:type="dxa"/>
        <w:jc w:val="center"/>
        <w:tblLayout w:type="fixed"/>
        <w:tblCellMar>
          <w:left w:w="60" w:type="dxa"/>
          <w:right w:w="60" w:type="dxa"/>
        </w:tblCellMar>
      </w:tblPr>
      <w:tblGrid>
        <w:gridCol w:w="2500"/>
        <w:gridCol w:w="800"/>
        <w:gridCol w:w="800"/>
        <w:gridCol w:w="1400"/>
        <w:gridCol w:w="1200"/>
        <w:gridCol w:w="1000"/>
      </w:tblGrid>
      <w:tr>
        <w:trPr>
          <w:tblHeader/>
        </w:trPr>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مسیر</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مبنا</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DWLS</w:t>
            </w:r>
          </w:p>
        </w:tc>
        <w:tc>
          <w:tcPr>
            <w:tcW w:w="1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باقی‌مانده‌مرکزشده</w:t>
            </w:r>
          </w:p>
        </w:tc>
        <w:tc>
          <w:tcPr>
            <w:tcW w:w="1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بازمشخص‌شده</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حذف ۵ درصد</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ماهوی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هنجاری ← ماهوی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۰٫۳۶</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۰٫۳۸</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نمادین</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۰٫۲۲</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هنجاری ← نمادین</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⁦−۰٫۲۵⁩</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⁦−۰٫۲۴⁩</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⁦−۰٫۲۲⁩</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تقلیدی ← نمادین</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۰٫۳۶</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۰٫۳۳</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هنجاری ← ماهوی</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12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1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۰٫۱۷</w:t>
            </w:r>
          </w:p>
        </w:tc>
      </w:tr>
      <w:tr>
        <w:trPr>
          <w:cantSplit/>
        </w:trPr>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 × تقلیدی ← نمادین</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1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1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۰٫۱۶</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sz w:val="26"/>
          <w:szCs w:val="26"/>
          <w:lang w:val="en-US" w:bidi="fa-IR"/>
        </w:rPr>
        <w:t xml:space="preserve">نتایج در برآورد DWLS، شاخص‌های باقی‌مانده‌مرکزشده (CFI برابر ۱٫۰۱۰)، مدل بازمشخص‌شده با چهار همبستگی خطای درون‌سازه‌ای (CFI برابر ۰٫۹۹۶) و پس از حذف ۲۱ مشاهدهٔ دورافتاده از نظر جهت و اندازه پایدار ماند (جدول ۸).</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بحث</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چرا الزام به هنجار نیاز دارد؟</w:t>
      </w:r>
      <w:r>
        <w:rPr>
          <w:rFonts w:ascii="Times New Roman" w:hAnsi="Times New Roman" w:cs="B Nazanin" w:eastAsia="Times New Roman"/>
          <w:sz w:val="26"/>
          <w:szCs w:val="26"/>
          <w:lang w:val="en-US" w:bidi="fa-IR"/>
        </w:rPr>
        <w:t xml:space="preserve"> الزام تنها می‌گوید «چه باید کرد» و رفتار را قابل‌مشاهده می‌کند؛ این‌که اجرا چه معنایی دارد و با چه کیفیتی انجام شود، از معناسازی حرفه‌ای می‌آید. هنگامی که هنجار حرفه‌ای قوی است، مدیران مالی و ذی‌حسابان الزام را فرصتی برای اعمال استاندارد حرفه‌ای می‌بینند و آن را به تصمیم‌های بودجه‌ای وارد می‌کنند؛ هنگامی که هنجار ضعیف است، الزام به «انجام تکلیف» تقلیل می‌یابد و هیچ اثری بر ماهیت ندارد. به همین دلیل اثر الزام در سطح پایین هنجار صفر بود، نه ضعیف.</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چرا تقلید الزام را به آیین تبدیل می‌کند؟</w:t>
      </w:r>
      <w:r>
        <w:rPr>
          <w:rFonts w:ascii="Times New Roman" w:hAnsi="Times New Roman" w:cs="B Nazanin" w:eastAsia="Times New Roman"/>
          <w:sz w:val="26"/>
          <w:szCs w:val="26"/>
          <w:lang w:val="en-US" w:bidi="fa-IR"/>
        </w:rPr>
        <w:t xml:space="preserve"> تقلید راه ارزان پاسخ‌دادن به الزام است: وقتی قالب آماده و نمونهٔ دستگاه همتا وجود دارد، دستگاه می‌تواند بدون فهم و بدون تغییر در تصمیم‌ها، الزام را برآورده کند. اثر الزام بر انطباق نمادین تنها در حضور تقلید معنادار بود؛ یعنی الزام به‌تنهایی آیین نمی‌آفریند، بلکه الزامِ همراه با قالب آماده آیین می‌آفریند. این یافته به سیاست‌گذار هشدار می‌دهد که توزیع قالب‌های یکسان و آماده را بدون هم‌زمانی با آموزش و بومی‌سازی ایمن نداند.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هم‌زیستی ظاهر و ماهیت.</w:t>
      </w:r>
      <w:r>
        <w:rPr>
          <w:rFonts w:ascii="Times New Roman" w:hAnsi="Times New Roman" w:cs="B Nazanin" w:eastAsia="Times New Roman"/>
          <w:sz w:val="26"/>
          <w:szCs w:val="26"/>
          <w:lang w:val="en-US" w:bidi="fa-IR"/>
        </w:rPr>
        <w:t xml:space="preserve"> همبستگی مثبت باقی‌مانده نشان می‌دهد دستگاه‌هایی که اصلاحات را جدی‌تر می‌گیرند، گزارش‌دهی رسمی را نیز بیشتر انجام می‌دهند. بنابراین سنجش «ظاهر» به‌تنهایی نمی‌تواند شاخص «ماهیت» باشد و باید هر دو جداگانه پایش شوند. این هم‌زیستی با دیدگاه سازمان‌های چندمنطقی {C('greenwood۲۰۱۱')} سازگار است که در آن سازمان‌ها ممکن است هم‌زمان به منطق‌های متفاوت پاسخ دهند.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ناهمگنی میان انواع دستگاه.</w:t>
      </w:r>
      <w:r>
        <w:rPr>
          <w:rFonts w:ascii="Times New Roman" w:hAnsi="Times New Roman" w:cs="B Nazanin" w:eastAsia="Times New Roman"/>
          <w:sz w:val="26"/>
          <w:szCs w:val="26"/>
          <w:lang w:val="en-US" w:bidi="fa-IR"/>
        </w:rPr>
        <w:t xml:space="preserve"> در نهادهای خدماتی و محلی که حرفه‌ها و شبکه‌های حرفه‌ای قوی‌تری دارند، هنجار بیشتر به ماهیت ترجمه می‌شود، و در نهادهای اداری و حاکمیتی که ساختار سلسله‌مراتبی غالب است، الزام نقش اصلی دارد. این تمایز نشان می‌دهد یک سیاست یکسان برای همهٔ دستگاه‌ها بهینه نیست؛ طراحی سیاست باید با پیکربندی دستگاه متناسب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نتیجه‌گیری و پیشنهادها</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این پژوهش نشان داد اثر فشارهای نهادی بر پاسخ دستگاه‌ها «جمع‌پذیر» نیست. نخست، الزام به‌تنهایی نه به ماهیت می‌انجامد و نه به ظاهر؛ معنای آن را سایر فشارها تعیین می‌کنند: با هنجار حرفه‌ای، الزام به اجرای ماهوی می‌رسد (فرضیهٔ ۱) و با الگوی آماده، به انطباق نمادین (فرضیهٔ ۲). این یافته گسترش‌دهندهٔ استدلال میزروچی و فاین (میزروچی و فاین، ۱۹۹۹) و گرینوود و همکاران (گرینوود و همکاران، ۲۰۱۱) دربارهٔ درهم‌تنیدگی فشارها و تمایز کوستووا و راث (کوستووا و راث، ۲۰۰۲) میان پذیرش تشریفاتی و درونی‌سازی است. دوم، اجرای ماهوی و انطباق نمادین با هم زندگی می‌کنند (فرضیهٔ ۳)؛ یعنی کاهش آیین‌گرایی لزوماً به‌معنای افزایش ماهیت نیست و برای هر دو باید هدف جداگانه تعریف کرد. سوم، رابطهٔ هنجار با ماهیت در نهادهای خدماتی و محلی قوی‌تر است (فرضیهٔ ۴)، که هویت حرفه‌ای را به‌عنوان جانشین الزام نشان می‌دهد. چهارم، دستگاه‌ها در دو نیمرخ فشار قرار می‌گیرند که در «ظاهر» تفاوت بزرگ و در «ماهیت» تفاوت چشمگیری ندارند (فرضیهٔ ۵): دستگاه‌های الزامی‑تقلیدی بسیار بیشتر انطباق نمادین نشان می‌دهند، اما میزان اجرای ماهوی آن‌ها از دستگاه‌های هنجارمحور کمتر نیست؛ یعنی هزینهٔ فشار الزامی‑تقلیدی بیشتر در «افزودن ظاهر» است تا «کاستن از ماهیت»، و این با یافتهٔ هم‌زیستی سازگار است.</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از نظر نظری، پژوهش با گذار از اثرهای اصلی به پیکربندی، نشان می‌دهد «شدت فشار» مفهوم ناکافی است و باید «ترکیب فشار» را مدل کرد. از نظر روش، ترکیب اثر متقابل پنهان، ناوردایی چندگروهی و نیمرخ پنهان در یک چارچوب، استنباطی فراتر از رگرسیون‌های ساده با نمرات جمع‌شده فراهم می‌کند. پیشنهادهای سیاستی: (۱) هر جا الزام قانونی وضع می‌شود، هم‌زمان زیرساخت هنجاری (آموزش حرفه‌ای، گواهی، شبکهٔ هم‌آموزی) فراهم شود؛ (۲) از ارائهٔ قالب‌های آماده و یکسان بدون راهنمای بومی‌سازی پرهیز شود، زیرا همراه با الزام ظاهر‌سازی را آسان می‌کند؛ (۳) برای نهادهای خدماتی و محلی بر هنجارها و جوامع حرفه‌ای و برای نهادهای اداری بر الزام همراه با نظارت کاربردی تأکید شود؛ (۴) دستگاه‌های الزامی‑تقلیدی هدف نظارت مبتنی بر «استفاده» از گزارش‌ها قرار گیرند؛ (۵) شاخص‌های ظاهر و ماهیت جداگانه پایش شوند.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۹. راهنمای سیاستی بر پایهٔ نیمرخ و نوع نهاد</w:t>
      </w:r>
    </w:p>
    <w:tbl>
      <w:tblPr>
        <w:bidiVisual/>
        <w:tblW w:w="7100" w:type="dxa"/>
        <w:jc w:val="center"/>
        <w:tblLayout w:type="fixed"/>
        <w:tblCellMar>
          <w:left w:w="60" w:type="dxa"/>
          <w:right w:w="60" w:type="dxa"/>
        </w:tblCellMar>
      </w:tblPr>
      <w:tblGrid>
        <w:gridCol w:w="1400"/>
        <w:gridCol w:w="1500"/>
        <w:gridCol w:w="2500"/>
        <w:gridCol w:w="1700"/>
      </w:tblGrid>
      <w:tr>
        <w:trPr>
          <w:tblHeader/>
        </w:trPr>
        <w:tc>
          <w:tcPr>
            <w:tcW w:w="1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گروه</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هدف</w:t>
            </w:r>
          </w:p>
        </w:tc>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ابزار پیشنهادی</w:t>
            </w:r>
          </w:p>
        </w:tc>
        <w:tc>
          <w:tcPr>
            <w:tcW w:w="1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نشانگر پایش</w:t>
            </w:r>
          </w:p>
        </w:tc>
      </w:tr>
      <w:tr>
        <w:trPr>
          <w:cantSplit/>
        </w:trPr>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الزامی‑تقلیدی</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کاهش انطباق نمادین بدون کاستن از اجرا</w:t>
            </w:r>
          </w:p>
        </w:tc>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نظارت مبتنی بر استفاده از گزارش در تصمیم؛ راهنمای بومی‌سازی قالب‌ها؛ بازنگری شاخص‌های سهل‌الوصول</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نسبت گزارش‌های مورداستفاده در تخصیص به گزارش‌های ارسالی</w:t>
            </w:r>
          </w:p>
        </w:tc>
      </w:tr>
      <w:tr>
        <w:trPr>
          <w:cantSplit/>
        </w:trPr>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هنجارمحور</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تثبیت و گسترش اجرای ماهوی</w:t>
            </w:r>
          </w:p>
        </w:tc>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جوامع هم‌آموزی، گواهی حرفه‌ای، الگوسازی توسط مدیران مالی پیشرو</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کیفیت به‌کارگیری بهای تمام‌شده و اطلاعات تعهدی در بودجه</w:t>
            </w:r>
          </w:p>
        </w:tc>
      </w:tr>
      <w:tr>
        <w:trPr>
          <w:cantSplit/>
        </w:trPr>
        <w:tc>
          <w:tcPr>
            <w:tcW w:w="1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دستگاه‌های اداری و حاکمیتی</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تبدیل الزام به ماهیت</w:t>
            </w:r>
          </w:p>
        </w:tc>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ترکیب بخشنامه با آموزش حرفه‌ای هم‌زمان؛ شاخص‌های ماهیت در ارزیابی عملکرد</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تغییر اثر الزام در سطوح مختلف هنجار</w:t>
            </w:r>
          </w:p>
        </w:tc>
      </w:tr>
      <w:tr>
        <w:trPr>
          <w:cantSplit/>
        </w:trPr>
        <w:tc>
          <w:tcPr>
            <w:tcW w:w="1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نهادهای خدماتی و محلی</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بهره‌گیری از هویت حرفه‌ای</w:t>
            </w:r>
          </w:p>
        </w:tc>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تقویت شبکه‌های حرفه‌ای و دانشگاهی؛ کاهش اتکا به قالب‌های آمادهٔ بیرونی</w:t>
            </w:r>
          </w:p>
        </w:tc>
        <w:tc>
          <w:tcPr>
            <w:tcW w:w="1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سهم تصمیم‌های بودجه‌ای مبتنی بر اطلاعات تعهدی</w:t>
            </w:r>
          </w:p>
        </w:tc>
      </w:tr>
    </w:tbl>
    <w:p>
      <w:pPr>
        <w:bidi/>
        <w:spacing w:before="0" w:after="100" w:line="240" w:lineRule="auto"/>
        <w:ind w:firstLine="360"/>
        <w:jc w:val="both"/>
      </w:pP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دلالت‌های نظری.</w:t>
      </w:r>
      <w:r>
        <w:rPr>
          <w:rFonts w:ascii="Times New Roman" w:hAnsi="Times New Roman" w:cs="B Nazanin" w:eastAsia="Times New Roman"/>
          <w:sz w:val="26"/>
          <w:szCs w:val="26"/>
          <w:lang w:val="en-US" w:bidi="fa-IR"/>
        </w:rPr>
        <w:t xml:space="preserve"> نخست، یافته‌ها نشان می‌دهد «فشار نهادی» را نمی‌توان یک شدت واحد دانست؛ ساختار ترکیب (کدام فشار در کنار کدام) پیش‌بینی‌کننده‌تر است. دوم، تمایز اجرای ماهوی و انطباق نمادین به‌عنوان دو سازهٔ هم‌زیست، مفهوم «جدایی» را از یک پیوستار یک‌بعدی (ماهیت ‑ ظاهر) به دو بعد مستقل گسترش می‌دهد؛ یک دستگاه می‌تواند هر دو را هم‌زمان داشته باشد. سوم، اثر متقابل پنهان در مدل کاملاً پنهان خطای اندازه‌گیری را مهار می‌کند و از این رو برآوردها محافظه‌کارانه‌تر از رگرسیون با نمرات جمع‌شده‌اند. چهارم، مقایسهٔ گروهی پس از اثبات ناوردایی نشان می‌دهد تفاوت مسیرها به تفاوت اندازه‌گیری نسبت داده نمی‌شود.</w:t>
      </w:r>
    </w:p>
    <w:p>
      <w:pPr>
        <w:bidi/>
        <w:spacing w:before="0" w:after="60" w:line="240" w:lineRule="auto"/>
        <w:ind w:firstLine="360"/>
        <w:jc w:val="both"/>
      </w:pPr>
      <w:r>
        <w:rPr>
          <w:rFonts w:ascii="Times New Roman" w:hAnsi="Times New Roman" w:cs="B Nazanin" w:eastAsia="Times New Roman"/>
          <w:b/>
          <w:bCs/>
          <w:sz w:val="26"/>
          <w:szCs w:val="26"/>
          <w:lang w:val="en-US" w:bidi="fa-IR"/>
        </w:rPr>
        <w:t xml:space="preserve">هشدار تفسیری.</w:t>
      </w:r>
      <w:r>
        <w:rPr>
          <w:rFonts w:ascii="Times New Roman" w:hAnsi="Times New Roman" w:cs="B Nazanin" w:eastAsia="Times New Roman"/>
          <w:sz w:val="26"/>
          <w:szCs w:val="26"/>
          <w:lang w:val="en-US" w:bidi="fa-IR"/>
        </w:rPr>
        <w:t xml:space="preserve"> مدل‌ها همبستگی‌های شرطی را نشان می‌دهند و استنباط علّی نیازمند طرح‌های آزمایشی یا طولی است. هم‌چنین چون هر دو پاسخ با گزارش مدیران سنجیده شده، ممکن است مدیران پاسخ نمادین را کمتر از واقع اعلام کنند؛ با این حال ثبات نتایج در بررسی سوگیری روش مشترک و همبستگی مثبت باقی‌مانده دو پاسخ این نگرانی را کاهش می‌دهد.</w:t>
      </w:r>
    </w:p>
    <w:p>
      <w:pPr>
        <w:bidi/>
        <w:spacing w:before="0" w:after="60" w:line="240" w:lineRule="auto"/>
        <w:ind w:firstLine="360"/>
        <w:jc w:val="both"/>
      </w:pPr>
      <w:r>
        <w:rPr>
          <w:rFonts w:ascii="Times New Roman" w:hAnsi="Times New Roman" w:cs="B Nazanin" w:eastAsia="Times New Roman"/>
          <w:sz w:val="26"/>
          <w:szCs w:val="26"/>
          <w:lang w:val="en-US" w:bidi="fa-IR"/>
        </w:rPr>
        <w:t xml:space="preserve">محدودیت‌ها: طرح مقطعی و خوداظهاری، مقیاس‌های تازه‌ساخته، گروه‌بندی دوگانهٔ نهادها و تعداد کم نیمرخ‌ها. پیشنهاد می‌شود پژوهش‌های آینده از داده‌های چندمنبعی و عینی، طرح‌های طولی و آزمایش‌های میدانی (برای نمونه تغییر دادن هم‌زمان الزام و آموزش) استفاده کنند، اثر متقابل سه‌گانهٔ فشارها و نقش رهبری و ظرفیت سازمانی را بیازمایند و مقایسهٔ میان‌کشوری انجام دهند.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منابع</w:t>
      </w:r>
    </w:p>
    <w:p>
      <w:pPr>
        <w:bidi/>
        <w:spacing w:before="0" w:after="40" w:line="240" w:lineRule="auto"/>
        <w:jc w:val="both"/>
      </w:pPr>
      <w:r>
        <w:rPr>
          <w:rFonts w:ascii="Times New Roman" w:hAnsi="Times New Roman" w:cs="B Nazanin" w:eastAsia="Times New Roman"/>
          <w:sz w:val="24"/>
          <w:szCs w:val="24"/>
          <w:lang w:val="en-US" w:bidi="fa-IR"/>
        </w:rPr>
        <w:t xml:space="preserve">احمدی، غلامرضا؛ ناظمی، امین و نمازی، نویدرضا (۱۴۰۲). شناسایی سازه‌های اثرگذار بر میزان اجرای بودجه‌ریزی مبتنی بر عملکرد با تأکید بر نظریهٔ شبکهٔ کنشگران. پیشرفت‌های حسابداری، ۱۴(۲)، ۱-۳۷.</w:t>
      </w:r>
    </w:p>
    <w:p>
      <w:pPr>
        <w:bidi/>
        <w:spacing w:before="0" w:after="40" w:line="240" w:lineRule="auto"/>
        <w:jc w:val="both"/>
      </w:pPr>
      <w:r>
        <w:rPr>
          <w:rFonts w:ascii="Times New Roman" w:hAnsi="Times New Roman" w:cs="B Nazanin" w:eastAsia="Times New Roman"/>
          <w:sz w:val="24"/>
          <w:szCs w:val="24"/>
          <w:lang w:val="en-US" w:bidi="fa-IR"/>
        </w:rPr>
        <w:t xml:space="preserve">ناروئی، عبدالرحمان؛ مؤمنی، علیرضا و گرد، عزیز (۱۳۹۹). تدوین و ارزیابی مدل مطلوب نظام حسابداری تعهدی در بخش عمومی (مطالعهٔ موردی: مدیران و ذی‌حسابان دستگاه‌های اجرایی). حسابداری دولتی، ۶(۲)، ۴۷-۶۰.</w:t>
      </w:r>
    </w:p>
    <w:p>
      <w:pPr>
        <w:bidi/>
        <w:spacing w:before="0" w:after="40" w:line="240" w:lineRule="auto"/>
        <w:jc w:val="both"/>
      </w:pPr>
      <w:r>
        <w:rPr>
          <w:rFonts w:ascii="Times New Roman" w:hAnsi="Times New Roman" w:cs="B Nazanin" w:eastAsia="Times New Roman"/>
          <w:sz w:val="24"/>
          <w:szCs w:val="24"/>
          <w:lang w:val="en-US" w:bidi="fa-IR"/>
        </w:rPr>
        <w:t xml:space="preserve">نورانی، حسین و اخلاقی یزدی‌نژاد، اسماعیل (۱۴۰۲). ارائهٔ الگوی رفع چالش‌ها و تنگناهای استانداردهای حسابداری بخش عمومی با استفاده از نظریهٔ داده‌بنیاد. حسابداری دولتی، ۹(۱۸)، ۱۵۱-۱۶۸.</w:t>
      </w:r>
    </w:p>
    <w:p>
      <w:pPr>
        <w:bidi/>
        <w:spacing w:before="0" w:after="40" w:line="240" w:lineRule="auto"/>
        <w:jc w:val="both"/>
      </w:pPr>
      <w:r>
        <w:rPr>
          <w:rFonts w:ascii="Times New Roman" w:hAnsi="Times New Roman" w:cs="B Nazanin" w:eastAsia="Times New Roman"/>
          <w:sz w:val="24"/>
          <w:szCs w:val="24"/>
          <w:lang w:val="en-US" w:bidi="fa-IR"/>
        </w:rPr>
        <w:t xml:space="preserve">پورغفار، جواد؛ محمدزاده سالطه، حیدر؛ زینالی، مهدی و مهرانی، ساسان (۱۴۰۱). الگوی بودجه‌ریزی بر مبنای عملکرد با رویکرد گزارشگری مالی بهنگام در بخش عمومی ایران. حسابداری دولتی، ۸(۲)، ۲۱-۳۶.</w:t>
      </w:r>
    </w:p>
    <w:p>
      <w:pPr>
        <w:spacing w:before="0" w:after="30" w:line="240" w:lineRule="auto"/>
        <w:jc w:val="left"/>
      </w:pPr>
      <w:r>
        <w:rPr>
          <w:rFonts w:ascii="Times New Roman" w:hAnsi="Times New Roman" w:cs="Times New Roman" w:eastAsia="Times New Roman"/>
          <w:sz w:val="24"/>
          <w:szCs w:val="24"/>
          <w:lang w:val="en-US" w:bidi="fa-IR"/>
        </w:rPr>
        <w:t xml:space="preserve">Brignall, S., &amp; Modell, S. (2000). An institutional perspective on performance measurement and management in the “new public sector”. //Management Accounting Research, 11//(3), 281–306. https://doi.org/10.1006/mare.2000.0136</w:t>
      </w:r>
    </w:p>
    <w:p>
      <w:pPr>
        <w:spacing w:before="0" w:after="30" w:line="240" w:lineRule="auto"/>
        <w:jc w:val="left"/>
      </w:pPr>
      <w:r>
        <w:rPr>
          <w:rFonts w:ascii="Times New Roman" w:hAnsi="Times New Roman" w:cs="Times New Roman" w:eastAsia="Times New Roman"/>
          <w:sz w:val="24"/>
          <w:szCs w:val="24"/>
          <w:lang w:val="en-US" w:bidi="fa-IR"/>
        </w:rPr>
        <w:t xml:space="preserve">Bromley, P., &amp; Powell, W. W. (2012). From smoke and mirrors to walking the talk: Decoupling in the contemporary world. //Academy of Management Annals, 6//(1), 483–530. https://doi.org/10.5465/19416520.2012.684462</w:t>
      </w:r>
    </w:p>
    <w:p>
      <w:pPr>
        <w:spacing w:before="0" w:after="30" w:line="240" w:lineRule="auto"/>
        <w:jc w:val="left"/>
      </w:pPr>
      <w:r>
        <w:rPr>
          <w:rFonts w:ascii="Times New Roman" w:hAnsi="Times New Roman" w:cs="Times New Roman" w:eastAsia="Times New Roman"/>
          <w:sz w:val="24"/>
          <w:szCs w:val="24"/>
          <w:lang w:val="en-US" w:bidi="fa-IR"/>
        </w:rPr>
        <w:t xml:space="preserve">Chen, F. F. (2007). Sensitivity of goodness of fit indexes to lack of measurement invariance. //Structural Equation Modeling, 14//(3), 464–504. https://doi.org/10.1080/10705510701301834</w:t>
      </w:r>
    </w:p>
    <w:p>
      <w:pPr>
        <w:spacing w:before="0" w:after="30" w:line="240" w:lineRule="auto"/>
        <w:jc w:val="left"/>
      </w:pPr>
      <w:r>
        <w:rPr>
          <w:rFonts w:ascii="Times New Roman" w:hAnsi="Times New Roman" w:cs="Times New Roman" w:eastAsia="Times New Roman"/>
          <w:sz w:val="24"/>
          <w:szCs w:val="24"/>
          <w:lang w:val="en-US" w:bidi="fa-IR"/>
        </w:rPr>
        <w:t xml:space="preserve">Cheung, G. W., &amp; Rensvold, R. B. (2002). Evaluating goodness-of-fit indexes for testing measurement invariance. //Structural Equation Modeling, 9//(2), 233–255. https://doi.org/10.1207/S15328007SEM0902_5</w:t>
      </w:r>
    </w:p>
    <w:p>
      <w:pPr>
        <w:spacing w:before="0" w:after="30" w:line="240" w:lineRule="auto"/>
        <w:jc w:val="left"/>
      </w:pPr>
      <w:r>
        <w:rPr>
          <w:rFonts w:ascii="Times New Roman" w:hAnsi="Times New Roman" w:cs="Times New Roman" w:eastAsia="Times New Roman"/>
          <w:sz w:val="24"/>
          <w:szCs w:val="24"/>
          <w:lang w:val="en-US" w:bidi="fa-IR"/>
        </w:rPr>
        <w:t xml:space="preserve">Christiaens, J., Reyniers, B., &amp; Rollé, C. (2010). Impact of IPSAS on reforming governmental financial information systems: A comparative study. //International Review of Administrative Sciences, 76//(3), 537–554. https://doi.org/10.1177/0020852310372450</w:t>
      </w:r>
    </w:p>
    <w:p>
      <w:pPr>
        <w:spacing w:before="0" w:after="30" w:line="240" w:lineRule="auto"/>
        <w:jc w:val="left"/>
      </w:pPr>
      <w:r>
        <w:rPr>
          <w:rFonts w:ascii="Times New Roman" w:hAnsi="Times New Roman" w:cs="Times New Roman" w:eastAsia="Times New Roman"/>
          <w:sz w:val="24"/>
          <w:szCs w:val="24"/>
          <w:lang w:val="en-US" w:bidi="fa-IR"/>
        </w:rPr>
        <w:t xml:space="preserve">Christiaens, J., Vanhee, C., Manes-Rossi, F., Aversano, N., &amp; Van Cauwenberge, P. (2015). The effect of IPSAS on reforming governmental financial reporting: An international comparison. //International Review of Administrative Sciences, 81//(1), 158–177. https://doi.org/10.1177/0020852314546580</w:t>
      </w:r>
    </w:p>
    <w:p>
      <w:pPr>
        <w:spacing w:before="0" w:after="30" w:line="240" w:lineRule="auto"/>
        <w:jc w:val="left"/>
      </w:pPr>
      <w:r>
        <w:rPr>
          <w:rFonts w:ascii="Times New Roman" w:hAnsi="Times New Roman" w:cs="Times New Roman" w:eastAsia="Times New Roman"/>
          <w:sz w:val="24"/>
          <w:szCs w:val="24"/>
          <w:lang w:val="en-US" w:bidi="fa-IR"/>
        </w:rPr>
        <w:t xml:space="preserve">DiMaggio, P. J., &amp; Powell, W. W. (1983). The iron cage revisited: Institutional isomorphism and collective rationality in organizational fields. //American Sociological Review, 48//(2), 147–160. https://doi.org/10.2307/2095101</w:t>
      </w:r>
    </w:p>
    <w:p>
      <w:pPr>
        <w:spacing w:before="0" w:after="30" w:line="240" w:lineRule="auto"/>
        <w:jc w:val="left"/>
      </w:pPr>
      <w:r>
        <w:rPr>
          <w:rFonts w:ascii="Times New Roman" w:hAnsi="Times New Roman" w:cs="Times New Roman" w:eastAsia="Times New Roman"/>
          <w:sz w:val="24"/>
          <w:szCs w:val="24"/>
          <w:lang w:val="en-US" w:bidi="fa-IR"/>
        </w:rPr>
        <w:t xml:space="preserve">Fornell, C., &amp; Larcker, D. F. (1981). Evaluating structural equation models with unobservable variables and measurement error. //Journal of Marketing Research, 18//(1), 39–50. https://doi.org/10.1177/002224378101800104</w:t>
      </w:r>
    </w:p>
    <w:p>
      <w:pPr>
        <w:spacing w:before="0" w:after="30" w:line="240" w:lineRule="auto"/>
        <w:jc w:val="left"/>
      </w:pPr>
      <w:r>
        <w:rPr>
          <w:rFonts w:ascii="Times New Roman" w:hAnsi="Times New Roman" w:cs="Times New Roman" w:eastAsia="Times New Roman"/>
          <w:sz w:val="24"/>
          <w:szCs w:val="24"/>
          <w:lang w:val="en-US" w:bidi="fa-IR"/>
        </w:rPr>
        <w:t xml:space="preserve">Greenwood, R., Raynard, M., Kodeih, F., Micelotta, E. R., &amp; Lounsbury, M. (2011). Institutional complexity and organizational responses. //Academy of Management Annals, 5//(1), 317–371. https://doi.org/10.1080/19416520.2011.590299</w:t>
      </w:r>
    </w:p>
    <w:p>
      <w:pPr>
        <w:spacing w:before="0" w:after="30" w:line="240" w:lineRule="auto"/>
        <w:jc w:val="left"/>
      </w:pPr>
      <w:r>
        <w:rPr>
          <w:rFonts w:ascii="Times New Roman" w:hAnsi="Times New Roman" w:cs="Times New Roman" w:eastAsia="Times New Roman"/>
          <w:sz w:val="24"/>
          <w:szCs w:val="24"/>
          <w:lang w:val="en-US" w:bidi="fa-IR"/>
        </w:rPr>
        <w:t xml:space="preserve">Hayes, A. F. (2015). An index and test of linear moderated mediation. //Multivariate Behavioral Research, 50//(1), 1–22. https://doi.org/10.1080/00273171.2014.962683</w:t>
      </w:r>
    </w:p>
    <w:p>
      <w:pPr>
        <w:spacing w:before="0" w:after="30" w:line="240" w:lineRule="auto"/>
        <w:jc w:val="left"/>
      </w:pPr>
      <w:r>
        <w:rPr>
          <w:rFonts w:ascii="Times New Roman" w:hAnsi="Times New Roman" w:cs="Times New Roman" w:eastAsia="Times New Roman"/>
          <w:sz w:val="24"/>
          <w:szCs w:val="24"/>
          <w:lang w:val="en-US" w:bidi="fa-IR"/>
        </w:rPr>
        <w:t xml:space="preserve">Henseler, J., Ringle, C. M., &amp; Sarstedt, M. (2015). A new criterion for assessing discriminant validity in variance-based structural equation modeling. //Journal of the Academy of Marketing Science, 43//(1), 115–135. https://doi.org/10.1007/s11747-014-0403-8</w:t>
      </w:r>
    </w:p>
    <w:p>
      <w:pPr>
        <w:spacing w:before="0" w:after="30" w:line="240" w:lineRule="auto"/>
        <w:jc w:val="left"/>
      </w:pPr>
      <w:r>
        <w:rPr>
          <w:rFonts w:ascii="Times New Roman" w:hAnsi="Times New Roman" w:cs="Times New Roman" w:eastAsia="Times New Roman"/>
          <w:sz w:val="24"/>
          <w:szCs w:val="24"/>
          <w:lang w:val="en-US" w:bidi="fa-IR"/>
        </w:rPr>
        <w:t xml:space="preserve">Hu, L., &amp; Bentler, P. M. (1999). Cutoff criteria for fit indexes in covariance structure analysis: Conventional criteria versus new alternatives. //Structural Equation Modeling, 6//(1), 1–55. https://doi.org/10.1080/10705519909540118</w:t>
      </w:r>
    </w:p>
    <w:p>
      <w:pPr>
        <w:spacing w:before="0" w:after="30" w:line="240" w:lineRule="auto"/>
        <w:jc w:val="left"/>
      </w:pPr>
      <w:r>
        <w:rPr>
          <w:rFonts w:ascii="Times New Roman" w:hAnsi="Times New Roman" w:cs="Times New Roman" w:eastAsia="Times New Roman"/>
          <w:sz w:val="24"/>
          <w:szCs w:val="24"/>
          <w:lang w:val="en-US" w:bidi="fa-IR"/>
        </w:rPr>
        <w:t xml:space="preserve">Igolkina, A. A., &amp; Meshcheryakov, G. (2020). semopy: A Python package for structural equation modeling. //Structural Equation Modeling, 27//(6), 952–963. https://doi.org/10.1080/10705511.2019.1704289</w:t>
      </w:r>
    </w:p>
    <w:p>
      <w:pPr>
        <w:spacing w:before="0" w:after="30" w:line="240" w:lineRule="auto"/>
        <w:jc w:val="left"/>
      </w:pPr>
      <w:r>
        <w:rPr>
          <w:rFonts w:ascii="Times New Roman" w:hAnsi="Times New Roman" w:cs="Times New Roman" w:eastAsia="Times New Roman"/>
          <w:sz w:val="24"/>
          <w:szCs w:val="24"/>
          <w:lang w:val="en-US" w:bidi="fa-IR"/>
        </w:rPr>
        <w:t xml:space="preserve">Kostova, T., &amp; Roth, K. (2002). Adoption of an organizational practice by subsidiaries of multinational corporations: Institutional and relational effects. //Academy of Management Journal, 45//(1), 215–233. https://doi.org/10.5465/3069293</w:t>
      </w:r>
    </w:p>
    <w:p>
      <w:pPr>
        <w:spacing w:before="0" w:after="30" w:line="240" w:lineRule="auto"/>
        <w:jc w:val="left"/>
      </w:pPr>
      <w:r>
        <w:rPr>
          <w:rFonts w:ascii="Times New Roman" w:hAnsi="Times New Roman" w:cs="Times New Roman" w:eastAsia="Times New Roman"/>
          <w:sz w:val="24"/>
          <w:szCs w:val="24"/>
          <w:lang w:val="en-US" w:bidi="fa-IR"/>
        </w:rPr>
        <w:t xml:space="preserve">Lawshe, C. H. (1975). A quantitative approach to content validity. //Personnel Psychology, 28//(4), 563–575. https://doi.org/10.1111/j.1744-6570.1975.tb01393.x</w:t>
      </w:r>
    </w:p>
    <w:p>
      <w:pPr>
        <w:spacing w:before="0" w:after="30" w:line="240" w:lineRule="auto"/>
        <w:jc w:val="left"/>
      </w:pPr>
      <w:r>
        <w:rPr>
          <w:rFonts w:ascii="Times New Roman" w:hAnsi="Times New Roman" w:cs="Times New Roman" w:eastAsia="Times New Roman"/>
          <w:sz w:val="24"/>
          <w:szCs w:val="24"/>
          <w:lang w:val="en-US" w:bidi="fa-IR"/>
        </w:rPr>
        <w:t xml:space="preserve">Little, T. D., Bovaird, J. A., &amp; Widaman, K. F. (2006). On the merits of orthogonalizing powered and product terms: Implications for modeling interactions among latent variables. //Structural Equation Modeling, 13//(4), 497–519. https://doi.org/10.1207/s15328007sem1304_1</w:t>
      </w:r>
    </w:p>
    <w:p>
      <w:pPr>
        <w:spacing w:before="0" w:after="30" w:line="240" w:lineRule="auto"/>
        <w:jc w:val="left"/>
      </w:pPr>
      <w:r>
        <w:rPr>
          <w:rFonts w:ascii="Times New Roman" w:hAnsi="Times New Roman" w:cs="Times New Roman" w:eastAsia="Times New Roman"/>
          <w:sz w:val="24"/>
          <w:szCs w:val="24"/>
          <w:lang w:val="en-US" w:bidi="fa-IR"/>
        </w:rPr>
        <w:t xml:space="preserve">MacCallum, R. C., Browne, M. W., &amp; Sugawara, H. M. (1996). Power analysis and determination of sample size for covariance structure modeling. //Psychological Methods, 1//(2), 130–149. https://doi.org/10.1037/1082-989X.1.2.130</w:t>
      </w:r>
    </w:p>
    <w:p>
      <w:pPr>
        <w:spacing w:before="0" w:after="30" w:line="240" w:lineRule="auto"/>
        <w:jc w:val="left"/>
      </w:pPr>
      <w:r>
        <w:rPr>
          <w:rFonts w:ascii="Times New Roman" w:hAnsi="Times New Roman" w:cs="Times New Roman" w:eastAsia="Times New Roman"/>
          <w:sz w:val="24"/>
          <w:szCs w:val="24"/>
          <w:lang w:val="en-US" w:bidi="fa-IR"/>
        </w:rPr>
        <w:t xml:space="preserve">Marsh, H. W., Wen, Z., &amp; Hau, K.-T. (2004). Structural equation models of latent interactions: Evaluation of alternative estimation strategies and indicator construction. //Psychological Methods, 9//(3), 275–300. https://doi.org/10.1037/1082-989X.9.3.275</w:t>
      </w:r>
    </w:p>
    <w:p>
      <w:pPr>
        <w:spacing w:before="0" w:after="30" w:line="240" w:lineRule="auto"/>
        <w:jc w:val="left"/>
      </w:pPr>
      <w:r>
        <w:rPr>
          <w:rFonts w:ascii="Times New Roman" w:hAnsi="Times New Roman" w:cs="Times New Roman" w:eastAsia="Times New Roman"/>
          <w:sz w:val="24"/>
          <w:szCs w:val="24"/>
          <w:lang w:val="en-US" w:bidi="fa-IR"/>
        </w:rPr>
        <w:t xml:space="preserve">Meyer, J. W., &amp; Rowan, B. (1977). Institutionalized organizations: Formal structure as myth and ceremony. //American Journal of Sociology, 83//(2), 340–363. https://doi.org/10.1086/226550</w:t>
      </w:r>
    </w:p>
    <w:p>
      <w:pPr>
        <w:spacing w:before="0" w:after="30" w:line="240" w:lineRule="auto"/>
        <w:jc w:val="left"/>
      </w:pPr>
      <w:r>
        <w:rPr>
          <w:rFonts w:ascii="Times New Roman" w:hAnsi="Times New Roman" w:cs="Times New Roman" w:eastAsia="Times New Roman"/>
          <w:sz w:val="24"/>
          <w:szCs w:val="24"/>
          <w:lang w:val="en-US" w:bidi="fa-IR"/>
        </w:rPr>
        <w:t xml:space="preserve">Mizruchi, M. S., &amp; Fein, L. C. (1999). The social construction of organizational knowledge: A study of the uses of coercive, mimetic, and normative isomorphism. //Administrative Science Quarterly, 44//(4), 653–683. https://doi.org/10.2307/2667051</w:t>
      </w:r>
    </w:p>
    <w:p>
      <w:pPr>
        <w:spacing w:before="0" w:after="30" w:line="240" w:lineRule="auto"/>
        <w:jc w:val="left"/>
      </w:pPr>
      <w:r>
        <w:rPr>
          <w:rFonts w:ascii="Times New Roman" w:hAnsi="Times New Roman" w:cs="Times New Roman" w:eastAsia="Times New Roman"/>
          <w:sz w:val="24"/>
          <w:szCs w:val="24"/>
          <w:lang w:val="en-US" w:bidi="fa-IR"/>
        </w:rPr>
        <w:t xml:space="preserve">Modell, S. (2009). Institutional research on performance measurement and management in the public sector accounting literature: A review and assessment. //Financial Accountability &amp; Management, 25//(3), 277–303. https://doi.org/10.1111/j.1468-0408.2009.00478.x</w:t>
      </w:r>
    </w:p>
    <w:p>
      <w:pPr>
        <w:spacing w:before="0" w:after="30" w:line="240" w:lineRule="auto"/>
        <w:jc w:val="left"/>
      </w:pPr>
      <w:r>
        <w:rPr>
          <w:rFonts w:ascii="Times New Roman" w:hAnsi="Times New Roman" w:cs="Times New Roman" w:eastAsia="Times New Roman"/>
          <w:sz w:val="24"/>
          <w:szCs w:val="24"/>
          <w:lang w:val="en-US" w:bidi="fa-IR"/>
        </w:rPr>
        <w:t xml:space="preserve">Moore, M. H. (1995). //Creating public value: Strategic management in government//. Cambridge, MA: Harvard University Press.</w:t>
      </w:r>
    </w:p>
    <w:p>
      <w:pPr>
        <w:spacing w:before="0" w:after="30" w:line="240" w:lineRule="auto"/>
        <w:jc w:val="left"/>
      </w:pPr>
      <w:r>
        <w:rPr>
          <w:rFonts w:ascii="Times New Roman" w:hAnsi="Times New Roman" w:cs="Times New Roman" w:eastAsia="Times New Roman"/>
          <w:sz w:val="24"/>
          <w:szCs w:val="24"/>
          <w:lang w:val="en-US" w:bidi="fa-IR"/>
        </w:rPr>
        <w:t xml:space="preserve">Moynihan, D. P. (2008). //The dynamics of performance management: Constructing information and reform//. Washington, DC: Georgetown University Press.</w:t>
      </w:r>
    </w:p>
    <w:p>
      <w:pPr>
        <w:spacing w:before="0" w:after="30" w:line="240" w:lineRule="auto"/>
        <w:jc w:val="left"/>
      </w:pPr>
      <w:r>
        <w:rPr>
          <w:rFonts w:ascii="Times New Roman" w:hAnsi="Times New Roman" w:cs="Times New Roman" w:eastAsia="Times New Roman"/>
          <w:sz w:val="24"/>
          <w:szCs w:val="24"/>
          <w:lang w:val="en-US" w:bidi="fa-IR"/>
        </w:rPr>
        <w:t xml:space="preserve">Moynihan, D. P., &amp; Pandey, S. K. (2010). The big question for performance management: Why do managers use performance information? //Journal of Public Administration Research and Theory, 20//(4), 849–866. https://doi.org/10.1093/jopart/muq004</w:t>
      </w:r>
    </w:p>
    <w:p>
      <w:pPr>
        <w:spacing w:before="0" w:after="30" w:line="240" w:lineRule="auto"/>
        <w:jc w:val="left"/>
      </w:pPr>
      <w:r>
        <w:rPr>
          <w:rFonts w:ascii="Times New Roman" w:hAnsi="Times New Roman" w:cs="Times New Roman" w:eastAsia="Times New Roman"/>
          <w:sz w:val="24"/>
          <w:szCs w:val="24"/>
          <w:lang w:val="en-US" w:bidi="fa-IR"/>
        </w:rPr>
        <w:t xml:space="preserve">Oliver, C. (1991). Strategic responses to institutional processes. //Academy of Management Review, 16//(1), 145–179. https://doi.org/10.5465/amr.1991.4279002</w:t>
      </w:r>
    </w:p>
    <w:p>
      <w:pPr>
        <w:spacing w:before="0" w:after="30" w:line="240" w:lineRule="auto"/>
        <w:jc w:val="left"/>
      </w:pPr>
      <w:r>
        <w:rPr>
          <w:rFonts w:ascii="Times New Roman" w:hAnsi="Times New Roman" w:cs="Times New Roman" w:eastAsia="Times New Roman"/>
          <w:sz w:val="24"/>
          <w:szCs w:val="24"/>
          <w:lang w:val="en-US" w:bidi="fa-IR"/>
        </w:rPr>
        <w:t xml:space="preserve">Pina, V., Torres, L., &amp; Yetano, A. (2009). Accrual accounting in EU local governments: One method, several approaches. //European Accounting Review, 18//(4), 765–807. https://doi.org/10.1080/09638180902863792</w:t>
      </w:r>
    </w:p>
    <w:p>
      <w:pPr>
        <w:spacing w:before="0" w:after="30" w:line="240" w:lineRule="auto"/>
        <w:jc w:val="left"/>
      </w:pPr>
      <w:r>
        <w:rPr>
          <w:rFonts w:ascii="Times New Roman" w:hAnsi="Times New Roman" w:cs="Times New Roman" w:eastAsia="Times New Roman"/>
          <w:sz w:val="24"/>
          <w:szCs w:val="24"/>
          <w:lang w:val="en-US" w:bidi="fa-IR"/>
        </w:rPr>
        <w:t xml:space="preserve">Pollitt, C., &amp; Bouckaert, G. (2017). //Public management reform: A comparative analysis – into the age of austerity// (4th ed.). Oxford, UK: Oxford University Press.</w:t>
      </w:r>
    </w:p>
    <w:p>
      <w:pPr>
        <w:spacing w:before="0" w:after="30" w:line="240" w:lineRule="auto"/>
        <w:jc w:val="left"/>
      </w:pPr>
      <w:r>
        <w:rPr>
          <w:rFonts w:ascii="Times New Roman" w:hAnsi="Times New Roman" w:cs="Times New Roman" w:eastAsia="Times New Roman"/>
          <w:sz w:val="24"/>
          <w:szCs w:val="24"/>
          <w:lang w:val="en-US" w:bidi="fa-IR"/>
        </w:rPr>
        <w:t xml:space="preserve">Preacher, K. J., &amp; Hayes, A. F. (2008). Asymptotic and resampling strategies for assessing and comparing indirect effects in multiple mediator models. //Behavior Research Methods, 40//(3), 879–891. https://doi.org/10.3758/BRM.40.3.879</w:t>
      </w:r>
    </w:p>
    <w:p>
      <w:pPr>
        <w:spacing w:before="0" w:after="30" w:line="240" w:lineRule="auto"/>
        <w:jc w:val="left"/>
      </w:pPr>
      <w:r>
        <w:rPr>
          <w:rFonts w:ascii="Times New Roman" w:hAnsi="Times New Roman" w:cs="Times New Roman" w:eastAsia="Times New Roman"/>
          <w:sz w:val="24"/>
          <w:szCs w:val="24"/>
          <w:lang w:val="en-US" w:bidi="fa-IR"/>
        </w:rPr>
        <w:t xml:space="preserve">Scott, W. R. (2014). //Institutions and organizations: Ideas, interests, and identities// (4th ed.). Thousand Oaks, CA: Sage.</w:t>
      </w:r>
    </w:p>
    <w:p>
      <w:pPr>
        <w:spacing w:before="0" w:after="30" w:line="240" w:lineRule="auto"/>
        <w:jc w:val="left"/>
      </w:pPr>
      <w:r>
        <w:rPr>
          <w:rFonts w:ascii="Times New Roman" w:hAnsi="Times New Roman" w:cs="Times New Roman" w:eastAsia="Times New Roman"/>
          <w:sz w:val="24"/>
          <w:szCs w:val="24"/>
          <w:lang w:val="en-US" w:bidi="fa-IR"/>
        </w:rPr>
        <w:t xml:space="preserve">Spurk, D., Hirschi, A., Wang, M., Valero, D., &amp; Kauffeld, S. (2020). Latent profile analysis: A review and “how to” guide of its application within vocational behavior research. //Journal of Vocational Behavior, 120//, 103445. https://doi.org/10.1016/j.jvb.2020.103445</w:t>
      </w:r>
    </w:p>
    <w:p>
      <w:pPr>
        <w:spacing w:before="0" w:after="30" w:line="240" w:lineRule="auto"/>
        <w:jc w:val="left"/>
      </w:pPr>
      <w:r>
        <w:rPr>
          <w:rFonts w:ascii="Times New Roman" w:hAnsi="Times New Roman" w:cs="Times New Roman" w:eastAsia="Times New Roman"/>
          <w:sz w:val="24"/>
          <w:szCs w:val="24"/>
          <w:lang w:val="en-US" w:bidi="fa-IR"/>
        </w:rPr>
        <w:t xml:space="preserve">Teo, H. H., Wei, K. K., &amp; Benbasat, I. (2003). Predicting intention to adopt interorganizational linkages: An institutional perspective. //MIS Quarterly, 27//(1), 19–49. https://doi.org/10.2307/30036518</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 w:id="1">
    <w:p>
      <w:pPr>
        <w:bidi w:val="0"/>
        <w:spacing w:after="0" w:line="240" w:lineRule="auto"/>
        <w:jc w:val="left"/>
      </w:pPr>
      <w:r>
        <w:rPr>
          <w:rFonts w:ascii="Times New Roman" w:hAnsi="Times New Roman" w:cs="Times New Roman"/>
          <w:sz w:val="22"/>
          <w:szCs w:val="22"/>
          <w:vertAlign w:val="superscript"/>
        </w:rPr>
        <w:t xml:space="preserve">۱ </w:t>
      </w:r>
      <w:r>
        <w:rPr>
          <w:rFonts w:ascii="Times New Roman" w:hAnsi="Times New Roman" w:cs="Times New Roman"/>
          <w:sz w:val="22"/>
          <w:szCs w:val="22"/>
        </w:rPr>
        <w:t xml:space="preserve">Pollitt &amp; Bouckaert</w:t>
      </w:r>
    </w:p>
  </w:footnote>
  <w:footnote w:id="2">
    <w:p>
      <w:pPr>
        <w:bidi w:val="0"/>
        <w:spacing w:after="0" w:line="240" w:lineRule="auto"/>
        <w:jc w:val="left"/>
      </w:pPr>
      <w:r>
        <w:rPr>
          <w:rFonts w:ascii="Times New Roman" w:hAnsi="Times New Roman" w:cs="Times New Roman"/>
          <w:sz w:val="22"/>
          <w:szCs w:val="22"/>
          <w:vertAlign w:val="superscript"/>
        </w:rPr>
        <w:t xml:space="preserve">۲ </w:t>
      </w:r>
      <w:r>
        <w:rPr>
          <w:rFonts w:ascii="Times New Roman" w:hAnsi="Times New Roman" w:cs="Times New Roman"/>
          <w:sz w:val="22"/>
          <w:szCs w:val="22"/>
        </w:rPr>
        <w:t xml:space="preserve">Christiaens et al.</w:t>
      </w:r>
    </w:p>
  </w:footnote>
  <w:footnote w:id="3">
    <w:p>
      <w:pPr>
        <w:bidi w:val="0"/>
        <w:spacing w:after="0" w:line="240" w:lineRule="auto"/>
        <w:jc w:val="left"/>
      </w:pPr>
      <w:r>
        <w:rPr>
          <w:rFonts w:ascii="Times New Roman" w:hAnsi="Times New Roman" w:cs="Times New Roman"/>
          <w:sz w:val="22"/>
          <w:szCs w:val="22"/>
          <w:vertAlign w:val="superscript"/>
        </w:rPr>
        <w:t xml:space="preserve">۳ </w:t>
      </w:r>
      <w:r>
        <w:rPr>
          <w:rFonts w:ascii="Times New Roman" w:hAnsi="Times New Roman" w:cs="Times New Roman"/>
          <w:sz w:val="22"/>
          <w:szCs w:val="22"/>
        </w:rPr>
        <w:t xml:space="preserve">Meyer &amp; Rowan</w:t>
      </w:r>
    </w:p>
  </w:footnote>
  <w:footnote w:id="4">
    <w:p>
      <w:pPr>
        <w:bidi w:val="0"/>
        <w:spacing w:after="0" w:line="240" w:lineRule="auto"/>
        <w:jc w:val="left"/>
      </w:pPr>
      <w:r>
        <w:rPr>
          <w:rFonts w:ascii="Times New Roman" w:hAnsi="Times New Roman" w:cs="Times New Roman"/>
          <w:sz w:val="22"/>
          <w:szCs w:val="22"/>
          <w:vertAlign w:val="superscript"/>
        </w:rPr>
        <w:t xml:space="preserve">۴ </w:t>
      </w:r>
      <w:r>
        <w:rPr>
          <w:rFonts w:ascii="Times New Roman" w:hAnsi="Times New Roman" w:cs="Times New Roman"/>
          <w:sz w:val="22"/>
          <w:szCs w:val="22"/>
        </w:rPr>
        <w:t xml:space="preserve">Brignall &amp; Modell</w:t>
      </w:r>
    </w:p>
  </w:footnote>
  <w:footnote w:id="5">
    <w:p>
      <w:pPr>
        <w:bidi w:val="0"/>
        <w:spacing w:after="0" w:line="240" w:lineRule="auto"/>
        <w:jc w:val="left"/>
      </w:pPr>
      <w:r>
        <w:rPr>
          <w:rFonts w:ascii="Times New Roman" w:hAnsi="Times New Roman" w:cs="Times New Roman"/>
          <w:sz w:val="22"/>
          <w:szCs w:val="22"/>
          <w:vertAlign w:val="superscript"/>
        </w:rPr>
        <w:t xml:space="preserve">۵ </w:t>
      </w:r>
      <w:r>
        <w:rPr>
          <w:rFonts w:ascii="Times New Roman" w:hAnsi="Times New Roman" w:cs="Times New Roman"/>
          <w:sz w:val="22"/>
          <w:szCs w:val="22"/>
        </w:rPr>
        <w:t xml:space="preserve">Ahmadi, Nazemi, &amp; Namazi</w:t>
      </w:r>
    </w:p>
  </w:footnote>
  <w:footnote w:id="6">
    <w:p>
      <w:pPr>
        <w:bidi w:val="0"/>
        <w:spacing w:after="0" w:line="240" w:lineRule="auto"/>
        <w:jc w:val="left"/>
      </w:pPr>
      <w:r>
        <w:rPr>
          <w:rFonts w:ascii="Times New Roman" w:hAnsi="Times New Roman" w:cs="Times New Roman"/>
          <w:sz w:val="22"/>
          <w:szCs w:val="22"/>
          <w:vertAlign w:val="superscript"/>
        </w:rPr>
        <w:t xml:space="preserve">۶ </w:t>
      </w:r>
      <w:r>
        <w:rPr>
          <w:rFonts w:ascii="Times New Roman" w:hAnsi="Times New Roman" w:cs="Times New Roman"/>
          <w:sz w:val="22"/>
          <w:szCs w:val="22"/>
        </w:rPr>
        <w:t xml:space="preserve">Nourani &amp; Akhlaghi Yazdinejad</w:t>
      </w:r>
    </w:p>
  </w:footnote>
  <w:footnote w:id="7">
    <w:p>
      <w:pPr>
        <w:bidi w:val="0"/>
        <w:spacing w:after="0" w:line="240" w:lineRule="auto"/>
        <w:jc w:val="left"/>
      </w:pPr>
      <w:r>
        <w:rPr>
          <w:rFonts w:ascii="Times New Roman" w:hAnsi="Times New Roman" w:cs="Times New Roman"/>
          <w:sz w:val="22"/>
          <w:szCs w:val="22"/>
          <w:vertAlign w:val="superscript"/>
        </w:rPr>
        <w:t xml:space="preserve">۷ </w:t>
      </w:r>
      <w:r>
        <w:rPr>
          <w:rFonts w:ascii="Times New Roman" w:hAnsi="Times New Roman" w:cs="Times New Roman"/>
          <w:sz w:val="22"/>
          <w:szCs w:val="22"/>
        </w:rPr>
        <w:t xml:space="preserve">DiMaggio &amp; Powell</w:t>
      </w:r>
    </w:p>
  </w:footnote>
  <w:footnote w:id="8">
    <w:p>
      <w:pPr>
        <w:bidi w:val="0"/>
        <w:spacing w:after="0" w:line="240" w:lineRule="auto"/>
        <w:jc w:val="left"/>
      </w:pPr>
      <w:r>
        <w:rPr>
          <w:rFonts w:ascii="Times New Roman" w:hAnsi="Times New Roman" w:cs="Times New Roman"/>
          <w:sz w:val="22"/>
          <w:szCs w:val="22"/>
          <w:vertAlign w:val="superscript"/>
        </w:rPr>
        <w:t xml:space="preserve">۸ </w:t>
      </w:r>
      <w:r>
        <w:rPr>
          <w:rFonts w:ascii="Times New Roman" w:hAnsi="Times New Roman" w:cs="Times New Roman"/>
          <w:sz w:val="22"/>
          <w:szCs w:val="22"/>
        </w:rPr>
        <w:t xml:space="preserve">Mizruchi &amp; Fein</w:t>
      </w:r>
    </w:p>
  </w:footnote>
  <w:footnote w:id="9">
    <w:p>
      <w:pPr>
        <w:bidi w:val="0"/>
        <w:spacing w:after="0" w:line="240" w:lineRule="auto"/>
        <w:jc w:val="left"/>
      </w:pPr>
      <w:r>
        <w:rPr>
          <w:rFonts w:ascii="Times New Roman" w:hAnsi="Times New Roman" w:cs="Times New Roman"/>
          <w:sz w:val="22"/>
          <w:szCs w:val="22"/>
          <w:vertAlign w:val="superscript"/>
        </w:rPr>
        <w:t xml:space="preserve">۹ </w:t>
      </w:r>
      <w:r>
        <w:rPr>
          <w:rFonts w:ascii="Times New Roman" w:hAnsi="Times New Roman" w:cs="Times New Roman"/>
          <w:sz w:val="22"/>
          <w:szCs w:val="22"/>
        </w:rPr>
        <w:t xml:space="preserve">Greenwood et al.</w:t>
      </w:r>
    </w:p>
  </w:footnote>
  <w:footnote w:id="10">
    <w:p>
      <w:pPr>
        <w:bidi w:val="0"/>
        <w:spacing w:after="0" w:line="240" w:lineRule="auto"/>
        <w:jc w:val="left"/>
      </w:pPr>
      <w:r>
        <w:rPr>
          <w:rFonts w:ascii="Times New Roman" w:hAnsi="Times New Roman" w:cs="Times New Roman"/>
          <w:sz w:val="22"/>
          <w:szCs w:val="22"/>
          <w:vertAlign w:val="superscript"/>
        </w:rPr>
        <w:t xml:space="preserve">۱۰ </w:t>
      </w:r>
      <w:r>
        <w:rPr>
          <w:rFonts w:ascii="Times New Roman" w:hAnsi="Times New Roman" w:cs="Times New Roman"/>
          <w:sz w:val="22"/>
          <w:szCs w:val="22"/>
        </w:rPr>
        <w:t xml:space="preserve">Scott</w:t>
      </w:r>
    </w:p>
  </w:footnote>
  <w:footnote w:id="11">
    <w:p>
      <w:pPr>
        <w:bidi w:val="0"/>
        <w:spacing w:after="0" w:line="240" w:lineRule="auto"/>
        <w:jc w:val="left"/>
      </w:pPr>
      <w:r>
        <w:rPr>
          <w:rFonts w:ascii="Times New Roman" w:hAnsi="Times New Roman" w:cs="Times New Roman"/>
          <w:sz w:val="22"/>
          <w:szCs w:val="22"/>
          <w:vertAlign w:val="superscript"/>
        </w:rPr>
        <w:t xml:space="preserve">۱۱ </w:t>
      </w:r>
      <w:r>
        <w:rPr>
          <w:rFonts w:ascii="Times New Roman" w:hAnsi="Times New Roman" w:cs="Times New Roman"/>
          <w:sz w:val="22"/>
          <w:szCs w:val="22"/>
        </w:rPr>
        <w:t xml:space="preserve">Oliver</w:t>
      </w:r>
    </w:p>
  </w:footnote>
  <w:footnote w:id="12">
    <w:p>
      <w:pPr>
        <w:bidi w:val="0"/>
        <w:spacing w:after="0" w:line="240" w:lineRule="auto"/>
        <w:jc w:val="left"/>
      </w:pPr>
      <w:r>
        <w:rPr>
          <w:rFonts w:ascii="Times New Roman" w:hAnsi="Times New Roman" w:cs="Times New Roman"/>
          <w:sz w:val="22"/>
          <w:szCs w:val="22"/>
          <w:vertAlign w:val="superscript"/>
        </w:rPr>
        <w:t xml:space="preserve">۱۲ </w:t>
      </w:r>
      <w:r>
        <w:rPr>
          <w:rFonts w:ascii="Times New Roman" w:hAnsi="Times New Roman" w:cs="Times New Roman"/>
          <w:sz w:val="22"/>
          <w:szCs w:val="22"/>
        </w:rPr>
        <w:t xml:space="preserve">Kostova &amp; Roth</w:t>
      </w:r>
    </w:p>
  </w:footnote>
  <w:footnote w:id="13">
    <w:p>
      <w:pPr>
        <w:bidi w:val="0"/>
        <w:spacing w:after="0" w:line="240" w:lineRule="auto"/>
        <w:jc w:val="left"/>
      </w:pPr>
      <w:r>
        <w:rPr>
          <w:rFonts w:ascii="Times New Roman" w:hAnsi="Times New Roman" w:cs="Times New Roman"/>
          <w:sz w:val="22"/>
          <w:szCs w:val="22"/>
          <w:vertAlign w:val="superscript"/>
        </w:rPr>
        <w:t xml:space="preserve">۱۳ </w:t>
      </w:r>
      <w:r>
        <w:rPr>
          <w:rFonts w:ascii="Times New Roman" w:hAnsi="Times New Roman" w:cs="Times New Roman"/>
          <w:sz w:val="22"/>
          <w:szCs w:val="22"/>
        </w:rPr>
        <w:t xml:space="preserve">Bromley &amp; Powell</w:t>
      </w:r>
    </w:p>
  </w:footnote>
  <w:footnote w:id="14">
    <w:p>
      <w:pPr>
        <w:bidi w:val="0"/>
        <w:spacing w:after="0" w:line="240" w:lineRule="auto"/>
        <w:jc w:val="left"/>
      </w:pPr>
      <w:r>
        <w:rPr>
          <w:rFonts w:ascii="Times New Roman" w:hAnsi="Times New Roman" w:cs="Times New Roman"/>
          <w:sz w:val="22"/>
          <w:szCs w:val="22"/>
          <w:vertAlign w:val="superscript"/>
        </w:rPr>
        <w:t xml:space="preserve">۱۴ </w:t>
      </w:r>
      <w:r>
        <w:rPr>
          <w:rFonts w:ascii="Times New Roman" w:hAnsi="Times New Roman" w:cs="Times New Roman"/>
          <w:sz w:val="22"/>
          <w:szCs w:val="22"/>
        </w:rPr>
        <w:t xml:space="preserve">Modell</w:t>
      </w:r>
    </w:p>
  </w:footnote>
  <w:footnote w:id="15">
    <w:p>
      <w:pPr>
        <w:bidi w:val="0"/>
        <w:spacing w:after="0" w:line="240" w:lineRule="auto"/>
        <w:jc w:val="left"/>
      </w:pPr>
      <w:r>
        <w:rPr>
          <w:rFonts w:ascii="Times New Roman" w:hAnsi="Times New Roman" w:cs="Times New Roman"/>
          <w:sz w:val="22"/>
          <w:szCs w:val="22"/>
          <w:vertAlign w:val="superscript"/>
        </w:rPr>
        <w:t xml:space="preserve">۱۵ </w:t>
      </w:r>
      <w:r>
        <w:rPr>
          <w:rFonts w:ascii="Times New Roman" w:hAnsi="Times New Roman" w:cs="Times New Roman"/>
          <w:sz w:val="22"/>
          <w:szCs w:val="22"/>
        </w:rPr>
        <w:t xml:space="preserve">Naroui, Momeni, &amp; Gerd</w:t>
      </w:r>
    </w:p>
  </w:footnote>
  <w:footnote w:id="16">
    <w:p>
      <w:pPr>
        <w:bidi w:val="0"/>
        <w:spacing w:after="0" w:line="240" w:lineRule="auto"/>
        <w:jc w:val="left"/>
      </w:pPr>
      <w:r>
        <w:rPr>
          <w:rFonts w:ascii="Times New Roman" w:hAnsi="Times New Roman" w:cs="Times New Roman"/>
          <w:sz w:val="22"/>
          <w:szCs w:val="22"/>
          <w:vertAlign w:val="superscript"/>
        </w:rPr>
        <w:t xml:space="preserve">۱۶ </w:t>
      </w:r>
      <w:r>
        <w:rPr>
          <w:rFonts w:ascii="Times New Roman" w:hAnsi="Times New Roman" w:cs="Times New Roman"/>
          <w:sz w:val="22"/>
          <w:szCs w:val="22"/>
        </w:rPr>
        <w:t xml:space="preserve">Pourghaffar et al.</w:t>
      </w:r>
    </w:p>
  </w:footnote>
  <w:footnote w:id="17">
    <w:p>
      <w:pPr>
        <w:bidi w:val="0"/>
        <w:spacing w:after="0" w:line="240" w:lineRule="auto"/>
        <w:jc w:val="left"/>
      </w:pPr>
      <w:r>
        <w:rPr>
          <w:rFonts w:ascii="Times New Roman" w:hAnsi="Times New Roman" w:cs="Times New Roman"/>
          <w:sz w:val="22"/>
          <w:szCs w:val="22"/>
          <w:vertAlign w:val="superscript"/>
        </w:rPr>
        <w:t xml:space="preserve">۱۷ </w:t>
      </w:r>
      <w:r>
        <w:rPr>
          <w:rFonts w:ascii="Times New Roman" w:hAnsi="Times New Roman" w:cs="Times New Roman"/>
          <w:sz w:val="22"/>
          <w:szCs w:val="22"/>
        </w:rPr>
        <w:t xml:space="preserve">Pina, Torres, &amp; Yetano</w:t>
      </w:r>
    </w:p>
  </w:footnote>
  <w:footnote w:id="18">
    <w:p>
      <w:pPr>
        <w:bidi w:val="0"/>
        <w:spacing w:after="0" w:line="240" w:lineRule="auto"/>
        <w:jc w:val="left"/>
      </w:pPr>
      <w:r>
        <w:rPr>
          <w:rFonts w:ascii="Times New Roman" w:hAnsi="Times New Roman" w:cs="Times New Roman"/>
          <w:sz w:val="22"/>
          <w:szCs w:val="22"/>
          <w:vertAlign w:val="superscript"/>
        </w:rPr>
        <w:t xml:space="preserve">۱۸ </w:t>
      </w:r>
      <w:r>
        <w:rPr>
          <w:rFonts w:ascii="Times New Roman" w:hAnsi="Times New Roman" w:cs="Times New Roman"/>
          <w:sz w:val="22"/>
          <w:szCs w:val="22"/>
        </w:rPr>
        <w:t xml:space="preserve">Christiaens, Reyniers, &amp; Rollé</w:t>
      </w:r>
    </w:p>
  </w:footnote>
  <w:footnote w:id="19">
    <w:p>
      <w:pPr>
        <w:bidi w:val="0"/>
        <w:spacing w:after="0" w:line="240" w:lineRule="auto"/>
        <w:jc w:val="left"/>
      </w:pPr>
      <w:r>
        <w:rPr>
          <w:rFonts w:ascii="Times New Roman" w:hAnsi="Times New Roman" w:cs="Times New Roman"/>
          <w:sz w:val="22"/>
          <w:szCs w:val="22"/>
          <w:vertAlign w:val="superscript"/>
        </w:rPr>
        <w:t xml:space="preserve">۱۹ </w:t>
      </w:r>
      <w:r>
        <w:rPr>
          <w:rFonts w:ascii="Times New Roman" w:hAnsi="Times New Roman" w:cs="Times New Roman"/>
          <w:sz w:val="22"/>
          <w:szCs w:val="22"/>
        </w:rPr>
        <w:t xml:space="preserve">Moynihan &amp; Pandey</w:t>
      </w:r>
    </w:p>
  </w:footnote>
  <w:footnote w:id="20">
    <w:p>
      <w:pPr>
        <w:bidi w:val="0"/>
        <w:spacing w:after="0" w:line="240" w:lineRule="auto"/>
        <w:jc w:val="left"/>
      </w:pPr>
      <w:r>
        <w:rPr>
          <w:rFonts w:ascii="Times New Roman" w:hAnsi="Times New Roman" w:cs="Times New Roman"/>
          <w:sz w:val="22"/>
          <w:szCs w:val="22"/>
          <w:vertAlign w:val="superscript"/>
        </w:rPr>
        <w:t xml:space="preserve">۲۰ </w:t>
      </w:r>
      <w:r>
        <w:rPr>
          <w:rFonts w:ascii="Times New Roman" w:hAnsi="Times New Roman" w:cs="Times New Roman"/>
          <w:sz w:val="22"/>
          <w:szCs w:val="22"/>
        </w:rPr>
        <w:t xml:space="preserve">Teo, Wei, &amp; Benbasat</w:t>
      </w:r>
    </w:p>
  </w:footnote>
  <w:footnote w:id="21">
    <w:p>
      <w:pPr>
        <w:bidi w:val="0"/>
        <w:spacing w:after="0" w:line="240" w:lineRule="auto"/>
        <w:jc w:val="left"/>
      </w:pPr>
      <w:r>
        <w:rPr>
          <w:rFonts w:ascii="Times New Roman" w:hAnsi="Times New Roman" w:cs="Times New Roman"/>
          <w:sz w:val="22"/>
          <w:szCs w:val="22"/>
          <w:vertAlign w:val="superscript"/>
        </w:rPr>
        <w:t xml:space="preserve">۲۱ </w:t>
      </w:r>
      <w:r>
        <w:rPr>
          <w:rFonts w:ascii="Times New Roman" w:hAnsi="Times New Roman" w:cs="Times New Roman"/>
          <w:sz w:val="22"/>
          <w:szCs w:val="22"/>
        </w:rPr>
        <w:t xml:space="preserve">Lawshe</w:t>
      </w:r>
    </w:p>
  </w:footnote>
  <w:footnote w:id="22">
    <w:p>
      <w:pPr>
        <w:bidi w:val="0"/>
        <w:spacing w:after="0" w:line="240" w:lineRule="auto"/>
        <w:jc w:val="left"/>
      </w:pPr>
      <w:r>
        <w:rPr>
          <w:rFonts w:ascii="Times New Roman" w:hAnsi="Times New Roman" w:cs="Times New Roman"/>
          <w:sz w:val="22"/>
          <w:szCs w:val="22"/>
          <w:vertAlign w:val="superscript"/>
        </w:rPr>
        <w:t xml:space="preserve">۲۲ </w:t>
      </w:r>
      <w:r>
        <w:rPr>
          <w:rFonts w:ascii="Times New Roman" w:hAnsi="Times New Roman" w:cs="Times New Roman"/>
          <w:sz w:val="22"/>
          <w:szCs w:val="22"/>
        </w:rPr>
        <w:t xml:space="preserve">MacCallum, Browne, &amp; Sugawara</w:t>
      </w:r>
    </w:p>
  </w:footnote>
  <w:footnote w:id="23">
    <w:p>
      <w:pPr>
        <w:bidi w:val="0"/>
        <w:spacing w:after="0" w:line="240" w:lineRule="auto"/>
        <w:jc w:val="left"/>
      </w:pPr>
      <w:r>
        <w:rPr>
          <w:rFonts w:ascii="Times New Roman" w:hAnsi="Times New Roman" w:cs="Times New Roman"/>
          <w:sz w:val="22"/>
          <w:szCs w:val="22"/>
          <w:vertAlign w:val="superscript"/>
        </w:rPr>
        <w:t xml:space="preserve">۲۳ </w:t>
      </w:r>
      <w:r>
        <w:rPr>
          <w:rFonts w:ascii="Times New Roman" w:hAnsi="Times New Roman" w:cs="Times New Roman"/>
          <w:sz w:val="22"/>
          <w:szCs w:val="22"/>
        </w:rPr>
        <w:t xml:space="preserve">Igolkina &amp; Meshcheryakov</w:t>
      </w:r>
    </w:p>
  </w:footnote>
  <w:footnote w:id="24">
    <w:p>
      <w:pPr>
        <w:bidi w:val="0"/>
        <w:spacing w:after="0" w:line="240" w:lineRule="auto"/>
        <w:jc w:val="left"/>
      </w:pPr>
      <w:r>
        <w:rPr>
          <w:rFonts w:ascii="Times New Roman" w:hAnsi="Times New Roman" w:cs="Times New Roman"/>
          <w:sz w:val="22"/>
          <w:szCs w:val="22"/>
          <w:vertAlign w:val="superscript"/>
        </w:rPr>
        <w:t xml:space="preserve">۲۴ </w:t>
      </w:r>
      <w:r>
        <w:rPr>
          <w:rFonts w:ascii="Times New Roman" w:hAnsi="Times New Roman" w:cs="Times New Roman"/>
          <w:sz w:val="22"/>
          <w:szCs w:val="22"/>
        </w:rPr>
        <w:t xml:space="preserve">Marsh, Wen, &amp; Hau</w:t>
      </w:r>
    </w:p>
  </w:footnote>
  <w:footnote w:id="25">
    <w:p>
      <w:pPr>
        <w:bidi w:val="0"/>
        <w:spacing w:after="0" w:line="240" w:lineRule="auto"/>
        <w:jc w:val="left"/>
      </w:pPr>
      <w:r>
        <w:rPr>
          <w:rFonts w:ascii="Times New Roman" w:hAnsi="Times New Roman" w:cs="Times New Roman"/>
          <w:sz w:val="22"/>
          <w:szCs w:val="22"/>
          <w:vertAlign w:val="superscript"/>
        </w:rPr>
        <w:t xml:space="preserve">۲۵ </w:t>
      </w:r>
      <w:r>
        <w:rPr>
          <w:rFonts w:ascii="Times New Roman" w:hAnsi="Times New Roman" w:cs="Times New Roman"/>
          <w:sz w:val="22"/>
          <w:szCs w:val="22"/>
        </w:rPr>
        <w:t xml:space="preserve">Little, Bovaird, &amp; Widaman</w:t>
      </w:r>
    </w:p>
  </w:footnote>
  <w:footnote w:id="26">
    <w:p>
      <w:pPr>
        <w:bidi w:val="0"/>
        <w:spacing w:after="0" w:line="240" w:lineRule="auto"/>
        <w:jc w:val="left"/>
      </w:pPr>
      <w:r>
        <w:rPr>
          <w:rFonts w:ascii="Times New Roman" w:hAnsi="Times New Roman" w:cs="Times New Roman"/>
          <w:sz w:val="22"/>
          <w:szCs w:val="22"/>
          <w:vertAlign w:val="superscript"/>
        </w:rPr>
        <w:t xml:space="preserve">۲۶ </w:t>
      </w:r>
      <w:r>
        <w:rPr>
          <w:rFonts w:ascii="Times New Roman" w:hAnsi="Times New Roman" w:cs="Times New Roman"/>
          <w:sz w:val="22"/>
          <w:szCs w:val="22"/>
        </w:rPr>
        <w:t xml:space="preserve">Preacher &amp; Hayes</w:t>
      </w:r>
    </w:p>
  </w:footnote>
  <w:footnote w:id="27">
    <w:p>
      <w:pPr>
        <w:bidi w:val="0"/>
        <w:spacing w:after="0" w:line="240" w:lineRule="auto"/>
        <w:jc w:val="left"/>
      </w:pPr>
      <w:r>
        <w:rPr>
          <w:rFonts w:ascii="Times New Roman" w:hAnsi="Times New Roman" w:cs="Times New Roman"/>
          <w:sz w:val="22"/>
          <w:szCs w:val="22"/>
          <w:vertAlign w:val="superscript"/>
        </w:rPr>
        <w:t xml:space="preserve">۲۷ </w:t>
      </w:r>
      <w:r>
        <w:rPr>
          <w:rFonts w:ascii="Times New Roman" w:hAnsi="Times New Roman" w:cs="Times New Roman"/>
          <w:sz w:val="22"/>
          <w:szCs w:val="22"/>
        </w:rPr>
        <w:t xml:space="preserve">Cheung &amp; Rensvold</w:t>
      </w:r>
    </w:p>
  </w:footnote>
  <w:footnote w:id="28">
    <w:p>
      <w:pPr>
        <w:bidi w:val="0"/>
        <w:spacing w:after="0" w:line="240" w:lineRule="auto"/>
        <w:jc w:val="left"/>
      </w:pPr>
      <w:r>
        <w:rPr>
          <w:rFonts w:ascii="Times New Roman" w:hAnsi="Times New Roman" w:cs="Times New Roman"/>
          <w:sz w:val="22"/>
          <w:szCs w:val="22"/>
          <w:vertAlign w:val="superscript"/>
        </w:rPr>
        <w:t xml:space="preserve">۲۸ </w:t>
      </w:r>
      <w:r>
        <w:rPr>
          <w:rFonts w:ascii="Times New Roman" w:hAnsi="Times New Roman" w:cs="Times New Roman"/>
          <w:sz w:val="22"/>
          <w:szCs w:val="22"/>
        </w:rPr>
        <w:t xml:space="preserve">Chen</w:t>
      </w:r>
    </w:p>
  </w:footnote>
  <w:footnote w:id="29">
    <w:p>
      <w:pPr>
        <w:bidi w:val="0"/>
        <w:spacing w:after="0" w:line="240" w:lineRule="auto"/>
        <w:jc w:val="left"/>
      </w:pPr>
      <w:r>
        <w:rPr>
          <w:rFonts w:ascii="Times New Roman" w:hAnsi="Times New Roman" w:cs="Times New Roman"/>
          <w:sz w:val="22"/>
          <w:szCs w:val="22"/>
          <w:vertAlign w:val="superscript"/>
        </w:rPr>
        <w:t xml:space="preserve">۲۹ </w:t>
      </w:r>
      <w:r>
        <w:rPr>
          <w:rFonts w:ascii="Times New Roman" w:hAnsi="Times New Roman" w:cs="Times New Roman"/>
          <w:sz w:val="22"/>
          <w:szCs w:val="22"/>
        </w:rPr>
        <w:t xml:space="preserve">Spurk et al.</w:t>
      </w:r>
    </w:p>
  </w:footnote>
  <w:footnote w:id="30">
    <w:p>
      <w:pPr>
        <w:bidi w:val="0"/>
        <w:spacing w:after="0" w:line="240" w:lineRule="auto"/>
        <w:jc w:val="left"/>
      </w:pPr>
      <w:r>
        <w:rPr>
          <w:rFonts w:ascii="Times New Roman" w:hAnsi="Times New Roman" w:cs="Times New Roman"/>
          <w:sz w:val="22"/>
          <w:szCs w:val="22"/>
          <w:vertAlign w:val="superscript"/>
        </w:rPr>
        <w:t xml:space="preserve">۳۰ </w:t>
      </w:r>
      <w:r>
        <w:rPr>
          <w:rFonts w:ascii="Times New Roman" w:hAnsi="Times New Roman" w:cs="Times New Roman"/>
          <w:sz w:val="22"/>
          <w:szCs w:val="22"/>
        </w:rPr>
        <w:t xml:space="preserve">Hu &amp; Bentler</w:t>
      </w:r>
    </w:p>
  </w:footnote>
  <w:footnote w:id="31">
    <w:p>
      <w:pPr>
        <w:bidi w:val="0"/>
        <w:spacing w:after="0" w:line="240" w:lineRule="auto"/>
        <w:jc w:val="left"/>
      </w:pPr>
      <w:r>
        <w:rPr>
          <w:rFonts w:ascii="Times New Roman" w:hAnsi="Times New Roman" w:cs="Times New Roman"/>
          <w:sz w:val="22"/>
          <w:szCs w:val="22"/>
          <w:vertAlign w:val="superscript"/>
        </w:rPr>
        <w:t xml:space="preserve">۳۱ </w:t>
      </w:r>
      <w:r>
        <w:rPr>
          <w:rFonts w:ascii="Times New Roman" w:hAnsi="Times New Roman" w:cs="Times New Roman"/>
          <w:sz w:val="22"/>
          <w:szCs w:val="22"/>
        </w:rPr>
        <w:t xml:space="preserve">Fornell &amp; Larcker</w:t>
      </w:r>
    </w:p>
  </w:footnote>
  <w:footnote w:id="32">
    <w:p>
      <w:pPr>
        <w:bidi w:val="0"/>
        <w:spacing w:after="0" w:line="240" w:lineRule="auto"/>
        <w:jc w:val="left"/>
      </w:pPr>
      <w:r>
        <w:rPr>
          <w:rFonts w:ascii="Times New Roman" w:hAnsi="Times New Roman" w:cs="Times New Roman"/>
          <w:sz w:val="22"/>
          <w:szCs w:val="22"/>
          <w:vertAlign w:val="superscript"/>
        </w:rPr>
        <w:t xml:space="preserve">۳۲ </w:t>
      </w:r>
      <w:r>
        <w:rPr>
          <w:rFonts w:ascii="Times New Roman" w:hAnsi="Times New Roman" w:cs="Times New Roman"/>
          <w:sz w:val="22"/>
          <w:szCs w:val="22"/>
        </w:rPr>
        <w:t xml:space="preserve">Henseler, Ringle, &amp; Sarstedt</w:t>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6"/>
        <w:szCs w:val="26"/>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