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120" w:line="240" w:lineRule="auto"/>
        <w:jc w:val="center"/>
      </w:pPr>
      <w:r>
        <w:rPr>
          <w:rFonts w:ascii="Times New Roman" w:hAnsi="Times New Roman" w:cs="B Titr" w:eastAsia="Times New Roman"/>
          <w:b/>
          <w:bCs/>
          <w:sz w:val="28"/>
          <w:szCs w:val="28"/>
          <w:lang w:val="en-US" w:bidi="fa-IR"/>
        </w:rPr>
        <w:t xml:space="preserve">ظاهر یا ماهیت؟ فشارهای نهادی و پاسخگویی در اصلاحات مالی دستگاه‌های اجرایی</w:t>
      </w:r>
    </w:p>
    <w:p>
      <w:pPr>
        <w:bidi/>
        <w:spacing w:before="0" w:after="0" w:line="240" w:lineRule="auto"/>
        <w:jc w:val="center"/>
      </w:pPr>
    </w:p>
    <w:p>
      <w:pPr>
        <w:bidi/>
        <w:spacing w:before="0" w:after="0" w:line="240" w:lineRule="auto"/>
        <w:jc w:val="both"/>
      </w:pPr>
      <w:r>
        <w:rPr>
          <w:rFonts w:ascii="Times New Roman" w:hAnsi="Times New Roman" w:cs="B Mitra" w:eastAsia="Times New Roman"/>
          <w:b/>
          <w:bCs/>
          <w:sz w:val="22"/>
          <w:szCs w:val="22"/>
          <w:lang w:val="en-US" w:bidi="fa-IR"/>
        </w:rPr>
        <w:t xml:space="preserve">چکیده:</w:t>
      </w:r>
      <w:r>
        <w:rPr>
          <w:rFonts w:ascii="Times New Roman" w:hAnsi="Times New Roman" w:cs="B Mitra" w:eastAsia="Times New Roman"/>
          <w:sz w:val="22"/>
          <w:szCs w:val="22"/>
          <w:lang w:val="en-US" w:bidi="fa-IR"/>
        </w:rPr>
        <w:t xml:space="preserve"> هدف این پژوهش بررسی این است که فشارهای نهادی (الزامی، هنجاری و تقلیدی) چگونه دستگاه‌های اجرایی را به اجرای ماهوی یا انطباق نمادین بودجه‌ریزی عملیاتی و گزارشگری تعهدی سوق می‌دهند، این دو مسیر از طریق سودمندی اطلاعات گزارش‌شده چه اثری بر پاسخگویی مالی دارند و بلوغ نظام اطلاعاتی مالی چه نقشی در این فرایند ایفا می‌کند. پژوهش کاربردی و پیمایشی است. داده‌ها از ۳۳۶ مدیر مالی، ذی‌حساب، کارشناس بودجه و حسابدار دستگاه‌های اجرایی با پرسشنامه گردآوری شد و با مدل‌سازی معادلات ساختاری مبتنی بر کوواریانس با متغیرهای پنهان کامل، تعامل پنهان و بازنمونه‌گیری بوت‌استرپ تحلیل گردید. یافته‌ها نشان داد فشار الزامی هم اجرای ماهوی (ضریب ۰٫۳۲) و هم انطباق نمادین (ضریب ۰٫۳۸) را افزایش می‌دهد، فشار هنجاری اجرای ماهوی را تقویت (ضریب ۰٫۳۷) و انطباق نمادین را کاهش می‌دهد (ضریب ⁦−۰٫۲۲⁩) و فشار تقلیدی انطباق نمادین را بالا می‌برد (ضریب ۰٫۳۳). اجرای ماهوی سودمندی اطلاعات و پاسخگویی مالی را افزایش و انطباق نمادین هر دو را کاهش می‌دهد؛ سودمندی اطلاعات نیز پاسخگویی را بهبود می‌بخشد (ضریب ۰٫۳۶). بلوغ نظام اطلاعاتی اثر مثبت اجرای ماهوی بر سودمندی اطلاعات را تقویت و اثر فشار الزامی بر انطباق نمادین را تضعیف می‌کند. اثر کل فشار هنجاری بر پاسخگویی مثبت بود. نتیجه می‌شود اثرگذاری اصلاحات مالی نه به شدت الزام، بلکه به ماهیت پاسخ سازمان و زیرساخت اطلاعاتی بستگی دارد؛ تقویت هنجارهای حرفه‌ای و ردپای دیجیتال از افزایش صرف الزام قانونی کارسازتر است.</w:t>
      </w:r>
    </w:p>
    <w:p>
      <w:pPr>
        <w:bidi/>
        <w:spacing w:before="0" w:after="0" w:line="240" w:lineRule="auto"/>
        <w:jc w:val="center"/>
      </w:pPr>
    </w:p>
    <w:p>
      <w:pPr>
        <w:bidi/>
        <w:spacing w:before="0" w:after="0" w:line="240" w:lineRule="auto"/>
        <w:jc w:val="left"/>
      </w:pPr>
      <w:r>
        <w:rPr>
          <w:rFonts w:ascii="Times New Roman" w:hAnsi="Times New Roman" w:cs="B Mitra" w:eastAsia="Times New Roman"/>
          <w:b/>
          <w:bCs/>
          <w:i/>
          <w:iCs/>
          <w:sz w:val="18"/>
          <w:szCs w:val="18"/>
          <w:lang w:val="en-US" w:bidi="fa-IR"/>
        </w:rPr>
        <w:t xml:space="preserve">واژه‌های کلیدی:</w:t>
      </w:r>
      <w:r>
        <w:rPr>
          <w:rFonts w:ascii="Times New Roman" w:hAnsi="Times New Roman" w:cs="B Mitra" w:eastAsia="Times New Roman"/>
          <w:i/>
          <w:iCs/>
          <w:sz w:val="18"/>
          <w:szCs w:val="18"/>
          <w:lang w:val="en-US" w:bidi="fa-IR"/>
        </w:rPr>
        <w:t xml:space="preserve"> اجرای ماهوی، انطباق نمادین، پاسخگویی مالی، فشارهای نهادی، نظام اطلاعاتی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مقدمه</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موج اصلاحات مدیریت دولتی نوین، حسابداری و بودجه‌ریزی بخش عمومی را از ثبت وجوه نقد و اعتبارات به‌سوی اطلاعات تعهدی، بهای تمام‌شده و عملکرد برده است (هود</w:t>
      </w:r>
      <w:r>
        <w:rPr>
          <w:rStyle w:val="FootnoteReference"/>
          <w:rFonts w:ascii="Times New Roman" w:hAnsi="Times New Roman" w:cs="B Mitra" w:eastAsia="Times New Roman"/>
          <w:sz w:val="26"/>
          <w:szCs w:val="26"/>
          <w:vertAlign w:val="superscript"/>
          <w:lang w:val="en-US" w:bidi="fa-IR"/>
        </w:rPr>
        <w:footnoteReference w:customMarkFollows="1" w:id="1"/>
      </w:r>
      <w:r>
        <w:rPr>
          <w:rFonts w:ascii="Times New Roman" w:hAnsi="Times New Roman" w:cs="B Mitra" w:eastAsia="Times New Roman"/>
          <w:sz w:val="26"/>
          <w:szCs w:val="26"/>
          <w:vertAlign w:val="superscript"/>
          <w:lang w:val="en-US" w:bidi="fa-IR"/>
        </w:rPr>
        <w:t>۱</w:t>
      </w:r>
      <w:r>
        <w:rPr>
          <w:rFonts w:ascii="Times New Roman" w:hAnsi="Times New Roman" w:cs="B Mitra" w:eastAsia="Times New Roman"/>
          <w:sz w:val="26"/>
          <w:szCs w:val="26"/>
          <w:lang w:val="en-US" w:bidi="fa-IR"/>
        </w:rPr>
        <w:t xml:space="preserve">، ۱۹۹۱؛ لپسلی</w:t>
      </w:r>
      <w:r>
        <w:rPr>
          <w:rStyle w:val="FootnoteReference"/>
          <w:rFonts w:ascii="Times New Roman" w:hAnsi="Times New Roman" w:cs="B Mitra" w:eastAsia="Times New Roman"/>
          <w:sz w:val="26"/>
          <w:szCs w:val="26"/>
          <w:vertAlign w:val="superscript"/>
          <w:lang w:val="en-US" w:bidi="fa-IR"/>
        </w:rPr>
        <w:footnoteReference w:customMarkFollows="1" w:id="2"/>
      </w:r>
      <w:r>
        <w:rPr>
          <w:rFonts w:ascii="Times New Roman" w:hAnsi="Times New Roman" w:cs="B Mitra" w:eastAsia="Times New Roman"/>
          <w:sz w:val="26"/>
          <w:szCs w:val="26"/>
          <w:vertAlign w:val="superscript"/>
          <w:lang w:val="en-US" w:bidi="fa-IR"/>
        </w:rPr>
        <w:t>۲</w:t>
      </w:r>
      <w:r>
        <w:rPr>
          <w:rFonts w:ascii="Times New Roman" w:hAnsi="Times New Roman" w:cs="B Mitra" w:eastAsia="Times New Roman"/>
          <w:sz w:val="26"/>
          <w:szCs w:val="26"/>
          <w:lang w:val="en-US" w:bidi="fa-IR"/>
        </w:rPr>
        <w:t xml:space="preserve">، ۲۰۰۹). بودجه‌ریزی عملیاتی</w:t>
      </w:r>
      <w:r>
        <w:rPr>
          <w:rStyle w:val="FootnoteReference"/>
          <w:rFonts w:ascii="Times New Roman" w:hAnsi="Times New Roman" w:cs="B Mitra" w:eastAsia="Times New Roman"/>
          <w:sz w:val="26"/>
          <w:szCs w:val="26"/>
          <w:vertAlign w:val="superscript"/>
          <w:lang w:val="en-US" w:bidi="fa-IR"/>
        </w:rPr>
        <w:footnoteReference w:customMarkFollows="1" w:id="3"/>
      </w:r>
      <w:r>
        <w:rPr>
          <w:rFonts w:ascii="Times New Roman" w:hAnsi="Times New Roman" w:cs="B Mitra" w:eastAsia="Times New Roman"/>
          <w:sz w:val="26"/>
          <w:szCs w:val="26"/>
          <w:vertAlign w:val="superscript"/>
          <w:lang w:val="en-US" w:bidi="fa-IR"/>
        </w:rPr>
        <w:t>۳</w:t>
      </w:r>
      <w:r>
        <w:rPr>
          <w:rFonts w:ascii="Times New Roman" w:hAnsi="Times New Roman" w:cs="B Mitra" w:eastAsia="Times New Roman"/>
          <w:sz w:val="26"/>
          <w:szCs w:val="26"/>
          <w:lang w:val="en-US" w:bidi="fa-IR"/>
        </w:rPr>
        <w:t xml:space="preserve"> و مبنای تعهدی</w:t>
      </w:r>
      <w:r>
        <w:rPr>
          <w:rStyle w:val="FootnoteReference"/>
          <w:rFonts w:ascii="Times New Roman" w:hAnsi="Times New Roman" w:cs="B Mitra" w:eastAsia="Times New Roman"/>
          <w:sz w:val="26"/>
          <w:szCs w:val="26"/>
          <w:vertAlign w:val="superscript"/>
          <w:lang w:val="en-US" w:bidi="fa-IR"/>
        </w:rPr>
        <w:footnoteReference w:customMarkFollows="1" w:id="4"/>
      </w:r>
      <w:r>
        <w:rPr>
          <w:rFonts w:ascii="Times New Roman" w:hAnsi="Times New Roman" w:cs="B Mitra" w:eastAsia="Times New Roman"/>
          <w:sz w:val="26"/>
          <w:szCs w:val="26"/>
          <w:vertAlign w:val="superscript"/>
          <w:lang w:val="en-US" w:bidi="fa-IR"/>
        </w:rPr>
        <w:t>۴</w:t>
      </w:r>
      <w:r>
        <w:rPr>
          <w:rFonts w:ascii="Times New Roman" w:hAnsi="Times New Roman" w:cs="B Mitra" w:eastAsia="Times New Roman"/>
          <w:sz w:val="26"/>
          <w:szCs w:val="26"/>
          <w:lang w:val="en-US" w:bidi="fa-IR"/>
        </w:rPr>
        <w:t xml:space="preserve"> اکنون در بیشتر نظام‌های مالی دولتی از طریق قانون، استانداردها و سازمان‌های بین‌المللی ترویج می‌شود (پولیت و بوکارت</w:t>
      </w:r>
      <w:r>
        <w:rPr>
          <w:rStyle w:val="FootnoteReference"/>
          <w:rFonts w:ascii="Times New Roman" w:hAnsi="Times New Roman" w:cs="B Mitra" w:eastAsia="Times New Roman"/>
          <w:sz w:val="26"/>
          <w:szCs w:val="26"/>
          <w:vertAlign w:val="superscript"/>
          <w:lang w:val="en-US" w:bidi="fa-IR"/>
        </w:rPr>
        <w:footnoteReference w:customMarkFollows="1" w:id="5"/>
      </w:r>
      <w:r>
        <w:rPr>
          <w:rFonts w:ascii="Times New Roman" w:hAnsi="Times New Roman" w:cs="B Mitra" w:eastAsia="Times New Roman"/>
          <w:sz w:val="26"/>
          <w:szCs w:val="26"/>
          <w:vertAlign w:val="superscript"/>
          <w:lang w:val="en-US" w:bidi="fa-IR"/>
        </w:rPr>
        <w:t>۵</w:t>
      </w:r>
      <w:r>
        <w:rPr>
          <w:rFonts w:ascii="Times New Roman" w:hAnsi="Times New Roman" w:cs="B Mitra" w:eastAsia="Times New Roman"/>
          <w:sz w:val="26"/>
          <w:szCs w:val="26"/>
          <w:lang w:val="en-US" w:bidi="fa-IR"/>
        </w:rPr>
        <w:t xml:space="preserve">، ۲۰۱۷؛ کریستین‌س و همکاران</w:t>
      </w:r>
      <w:r>
        <w:rPr>
          <w:rStyle w:val="FootnoteReference"/>
          <w:rFonts w:ascii="Times New Roman" w:hAnsi="Times New Roman" w:cs="B Mitra" w:eastAsia="Times New Roman"/>
          <w:sz w:val="26"/>
          <w:szCs w:val="26"/>
          <w:vertAlign w:val="superscript"/>
          <w:lang w:val="en-US" w:bidi="fa-IR"/>
        </w:rPr>
        <w:footnoteReference w:customMarkFollows="1" w:id="6"/>
      </w:r>
      <w:r>
        <w:rPr>
          <w:rFonts w:ascii="Times New Roman" w:hAnsi="Times New Roman" w:cs="B Mitra" w:eastAsia="Times New Roman"/>
          <w:sz w:val="26"/>
          <w:szCs w:val="26"/>
          <w:vertAlign w:val="superscript"/>
          <w:lang w:val="en-US" w:bidi="fa-IR"/>
        </w:rPr>
        <w:t>۶</w:t>
      </w:r>
      <w:r>
        <w:rPr>
          <w:rFonts w:ascii="Times New Roman" w:hAnsi="Times New Roman" w:cs="B Mitra" w:eastAsia="Times New Roman"/>
          <w:sz w:val="26"/>
          <w:szCs w:val="26"/>
          <w:lang w:val="en-US" w:bidi="fa-IR"/>
        </w:rPr>
        <w:t xml:space="preserve">، ۲۰۱۵). در ایران نیز استانداردهای حسابداری بخش عمومی و بودجه‌ریزی عملیاتی در اسناد قانونی و برنامه‌ای مطرح شده‌اند، اما پژوهش‌های داخلی از تحقق ناقص این اصلاحات خبر می‌دهند؛ برای نمونه احمدی، ناظمی و نمازی</w:t>
      </w:r>
      <w:r>
        <w:rPr>
          <w:rStyle w:val="FootnoteReference"/>
          <w:rFonts w:ascii="Times New Roman" w:hAnsi="Times New Roman" w:cs="B Mitra" w:eastAsia="Times New Roman"/>
          <w:sz w:val="26"/>
          <w:szCs w:val="26"/>
          <w:vertAlign w:val="superscript"/>
          <w:lang w:val="en-US" w:bidi="fa-IR"/>
        </w:rPr>
        <w:footnoteReference w:customMarkFollows="1" w:id="7"/>
      </w:r>
      <w:r>
        <w:rPr>
          <w:rFonts w:ascii="Times New Roman" w:hAnsi="Times New Roman" w:cs="B Mitra" w:eastAsia="Times New Roman"/>
          <w:sz w:val="26"/>
          <w:szCs w:val="26"/>
          <w:vertAlign w:val="superscript"/>
          <w:lang w:val="en-US" w:bidi="fa-IR"/>
        </w:rPr>
        <w:t>۷</w:t>
      </w:r>
      <w:r>
        <w:rPr>
          <w:rFonts w:ascii="Times New Roman" w:hAnsi="Times New Roman" w:cs="B Mitra" w:eastAsia="Times New Roman"/>
          <w:sz w:val="26"/>
          <w:szCs w:val="26"/>
          <w:lang w:val="en-US" w:bidi="fa-IR"/>
        </w:rPr>
        <w:t xml:space="preserve"> (۱۴۰۲) میزان اجرای بودجه‌ریزی مبتنی بر عملکرد را در ابعاد برنامه‌ریزی راهبردی، تحلیل هزینه و مدیریت عملکرد تنها حدود ۳۴، ۲۶ و ۳۱ درصد برآورد کرده‌اند و نورانی و اخلاقی یزدی‌نژاد</w:t>
      </w:r>
      <w:r>
        <w:rPr>
          <w:rStyle w:val="FootnoteReference"/>
          <w:rFonts w:ascii="Times New Roman" w:hAnsi="Times New Roman" w:cs="B Mitra" w:eastAsia="Times New Roman"/>
          <w:sz w:val="26"/>
          <w:szCs w:val="26"/>
          <w:vertAlign w:val="superscript"/>
          <w:lang w:val="en-US" w:bidi="fa-IR"/>
        </w:rPr>
        <w:footnoteReference w:customMarkFollows="1" w:id="8"/>
      </w:r>
      <w:r>
        <w:rPr>
          <w:rFonts w:ascii="Times New Roman" w:hAnsi="Times New Roman" w:cs="B Mitra" w:eastAsia="Times New Roman"/>
          <w:sz w:val="26"/>
          <w:szCs w:val="26"/>
          <w:vertAlign w:val="superscript"/>
          <w:lang w:val="en-US" w:bidi="fa-IR"/>
        </w:rPr>
        <w:t>۸</w:t>
      </w:r>
      <w:r>
        <w:rPr>
          <w:rFonts w:ascii="Times New Roman" w:hAnsi="Times New Roman" w:cs="B Mitra" w:eastAsia="Times New Roman"/>
          <w:sz w:val="26"/>
          <w:szCs w:val="26"/>
          <w:lang w:val="en-US" w:bidi="fa-IR"/>
        </w:rPr>
        <w:t xml:space="preserve"> (۱۴۰۲) چالش‌های حقوقی، ساختاری و محیطی را مانع اجرای استانداردهای حسابداری بخش عمومی می‌دانند.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مسئله این است که «پذیرش رسمی» اصلاحات با «به‌کارگیری آن‌ها در تصمیم‌گیری» یکسان نیست. نظریهٔ نهادی نشان می‌دهد سازمان‌ها برای کسب مشروعیت ساختارهایی را می‌پذیرند که لزوماً با فعالیت‌های فنی روزمره‌شان پیوند ندارد (مایر و روان</w:t>
      </w:r>
      <w:r>
        <w:rPr>
          <w:rStyle w:val="FootnoteReference"/>
          <w:rFonts w:ascii="Times New Roman" w:hAnsi="Times New Roman" w:cs="B Mitra" w:eastAsia="Times New Roman"/>
          <w:sz w:val="26"/>
          <w:szCs w:val="26"/>
          <w:vertAlign w:val="superscript"/>
          <w:lang w:val="en-US" w:bidi="fa-IR"/>
        </w:rPr>
        <w:footnoteReference w:customMarkFollows="1" w:id="9"/>
      </w:r>
      <w:r>
        <w:rPr>
          <w:rFonts w:ascii="Times New Roman" w:hAnsi="Times New Roman" w:cs="B Mitra" w:eastAsia="Times New Roman"/>
          <w:sz w:val="26"/>
          <w:szCs w:val="26"/>
          <w:vertAlign w:val="superscript"/>
          <w:lang w:val="en-US" w:bidi="fa-IR"/>
        </w:rPr>
        <w:t>۹</w:t>
      </w:r>
      <w:r>
        <w:rPr>
          <w:rFonts w:ascii="Times New Roman" w:hAnsi="Times New Roman" w:cs="B Mitra" w:eastAsia="Times New Roman"/>
          <w:sz w:val="26"/>
          <w:szCs w:val="26"/>
          <w:lang w:val="en-US" w:bidi="fa-IR"/>
        </w:rPr>
        <w:t xml:space="preserve">، ۱۹۷۷؛ برومیلی و پاول</w:t>
      </w:r>
      <w:r>
        <w:rPr>
          <w:rStyle w:val="FootnoteReference"/>
          <w:rFonts w:ascii="Times New Roman" w:hAnsi="Times New Roman" w:cs="B Mitra" w:eastAsia="Times New Roman"/>
          <w:sz w:val="26"/>
          <w:szCs w:val="26"/>
          <w:vertAlign w:val="superscript"/>
          <w:lang w:val="en-US" w:bidi="fa-IR"/>
        </w:rPr>
        <w:footnoteReference w:customMarkFollows="1" w:id="10"/>
      </w:r>
      <w:r>
        <w:rPr>
          <w:rFonts w:ascii="Times New Roman" w:hAnsi="Times New Roman" w:cs="B Mitra" w:eastAsia="Times New Roman"/>
          <w:sz w:val="26"/>
          <w:szCs w:val="26"/>
          <w:vertAlign w:val="superscript"/>
          <w:lang w:val="en-US" w:bidi="fa-IR"/>
        </w:rPr>
        <w:t>۱۰</w:t>
      </w:r>
      <w:r>
        <w:rPr>
          <w:rFonts w:ascii="Times New Roman" w:hAnsi="Times New Roman" w:cs="B Mitra" w:eastAsia="Times New Roman"/>
          <w:sz w:val="26"/>
          <w:szCs w:val="26"/>
          <w:lang w:val="en-US" w:bidi="fa-IR"/>
        </w:rPr>
        <w:t xml:space="preserve">، ۲۰۱۲). در بخش عمومی، دستگاهی ممکن است گزارش‌های تعهدی و سند بودجهٔ عملیاتی را به‌موقع تحویل دهد و همچنان تصمیم‌های تخصیص منابع را بر پایهٔ روال‌های پیشین بگیرد (بریگنال و مودل</w:t>
      </w:r>
      <w:r>
        <w:rPr>
          <w:rStyle w:val="FootnoteReference"/>
          <w:rFonts w:ascii="Times New Roman" w:hAnsi="Times New Roman" w:cs="B Mitra" w:eastAsia="Times New Roman"/>
          <w:sz w:val="26"/>
          <w:szCs w:val="26"/>
          <w:vertAlign w:val="superscript"/>
          <w:lang w:val="en-US" w:bidi="fa-IR"/>
        </w:rPr>
        <w:footnoteReference w:customMarkFollows="1" w:id="11"/>
      </w:r>
      <w:r>
        <w:rPr>
          <w:rFonts w:ascii="Times New Roman" w:hAnsi="Times New Roman" w:cs="B Mitra" w:eastAsia="Times New Roman"/>
          <w:sz w:val="26"/>
          <w:szCs w:val="26"/>
          <w:vertAlign w:val="superscript"/>
          <w:lang w:val="en-US" w:bidi="fa-IR"/>
        </w:rPr>
        <w:t>۱۱</w:t>
      </w:r>
      <w:r>
        <w:rPr>
          <w:rFonts w:ascii="Times New Roman" w:hAnsi="Times New Roman" w:cs="B Mitra" w:eastAsia="Times New Roman"/>
          <w:sz w:val="26"/>
          <w:szCs w:val="26"/>
          <w:lang w:val="en-US" w:bidi="fa-IR"/>
        </w:rPr>
        <w:t xml:space="preserve">، ۲۰۰۰؛ مودل</w:t>
      </w:r>
      <w:r>
        <w:rPr>
          <w:rStyle w:val="FootnoteReference"/>
          <w:rFonts w:ascii="Times New Roman" w:hAnsi="Times New Roman" w:cs="B Mitra" w:eastAsia="Times New Roman"/>
          <w:sz w:val="26"/>
          <w:szCs w:val="26"/>
          <w:vertAlign w:val="superscript"/>
          <w:lang w:val="en-US" w:bidi="fa-IR"/>
        </w:rPr>
        <w:footnoteReference w:customMarkFollows="1" w:id="12"/>
      </w:r>
      <w:r>
        <w:rPr>
          <w:rFonts w:ascii="Times New Roman" w:hAnsi="Times New Roman" w:cs="B Mitra" w:eastAsia="Times New Roman"/>
          <w:sz w:val="26"/>
          <w:szCs w:val="26"/>
          <w:vertAlign w:val="superscript"/>
          <w:lang w:val="en-US" w:bidi="fa-IR"/>
        </w:rPr>
        <w:t>۱۲</w:t>
      </w:r>
      <w:r>
        <w:rPr>
          <w:rFonts w:ascii="Times New Roman" w:hAnsi="Times New Roman" w:cs="B Mitra" w:eastAsia="Times New Roman"/>
          <w:sz w:val="26"/>
          <w:szCs w:val="26"/>
          <w:lang w:val="en-US" w:bidi="fa-IR"/>
        </w:rPr>
        <w:t xml:space="preserve">، ۲۰۰۹). بیشتر پژوهش‌های داخلی عوامل مؤثر بر «اجرای» این اصلاحات را شناسایی کرده‌اند، اما سه شکاف باقی است: نخست، اجرای ماهوی و انطباق نمادین به‌صورت دو پیامد متمایز یک فشار نهادی مشترک کمتر آزموده شده‌اند؛ دوم، سازوکار پیوند دهندهٔ اجرا به پاسخگویی، یعنی سودمندی اطلاعات گزارش‌شده برای تصمیم، به‌ندرت مدل‌سازی شده است؛ سوم، نقش زیرساخت اطلاعاتی در آشکارکردن یا پنهان‌ماندن رفتار تشریفاتی کمتر مطالعه شده است.</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اهمیت موضوع از آن‌جاست که هدف نهایی این اصلاحات پاسخگویی در برابر قوهٔ مقننه، نهادهای نظارتی و شهروندان و خلق ارزش عمومی است (بوونس</w:t>
      </w:r>
      <w:r>
        <w:rPr>
          <w:rStyle w:val="FootnoteReference"/>
          <w:rFonts w:ascii="Times New Roman" w:hAnsi="Times New Roman" w:cs="B Mitra" w:eastAsia="Times New Roman"/>
          <w:sz w:val="26"/>
          <w:szCs w:val="26"/>
          <w:vertAlign w:val="superscript"/>
          <w:lang w:val="en-US" w:bidi="fa-IR"/>
        </w:rPr>
        <w:footnoteReference w:customMarkFollows="1" w:id="13"/>
      </w:r>
      <w:r>
        <w:rPr>
          <w:rFonts w:ascii="Times New Roman" w:hAnsi="Times New Roman" w:cs="B Mitra" w:eastAsia="Times New Roman"/>
          <w:sz w:val="26"/>
          <w:szCs w:val="26"/>
          <w:vertAlign w:val="superscript"/>
          <w:lang w:val="en-US" w:bidi="fa-IR"/>
        </w:rPr>
        <w:t>۱۳</w:t>
      </w:r>
      <w:r>
        <w:rPr>
          <w:rFonts w:ascii="Times New Roman" w:hAnsi="Times New Roman" w:cs="B Mitra" w:eastAsia="Times New Roman"/>
          <w:sz w:val="26"/>
          <w:szCs w:val="26"/>
          <w:lang w:val="en-US" w:bidi="fa-IR"/>
        </w:rPr>
        <w:t xml:space="preserve">، ۲۰۰۷؛ مور</w:t>
      </w:r>
      <w:r>
        <w:rPr>
          <w:rStyle w:val="FootnoteReference"/>
          <w:rFonts w:ascii="Times New Roman" w:hAnsi="Times New Roman" w:cs="B Mitra" w:eastAsia="Times New Roman"/>
          <w:sz w:val="26"/>
          <w:szCs w:val="26"/>
          <w:vertAlign w:val="superscript"/>
          <w:lang w:val="en-US" w:bidi="fa-IR"/>
        </w:rPr>
        <w:footnoteReference w:customMarkFollows="1" w:id="14"/>
      </w:r>
      <w:r>
        <w:rPr>
          <w:rFonts w:ascii="Times New Roman" w:hAnsi="Times New Roman" w:cs="B Mitra" w:eastAsia="Times New Roman"/>
          <w:sz w:val="26"/>
          <w:szCs w:val="26"/>
          <w:vertAlign w:val="superscript"/>
          <w:lang w:val="en-US" w:bidi="fa-IR"/>
        </w:rPr>
        <w:t>۱۴</w:t>
      </w:r>
      <w:r>
        <w:rPr>
          <w:rFonts w:ascii="Times New Roman" w:hAnsi="Times New Roman" w:cs="B Mitra" w:eastAsia="Times New Roman"/>
          <w:sz w:val="26"/>
          <w:szCs w:val="26"/>
          <w:lang w:val="en-US" w:bidi="fa-IR"/>
        </w:rPr>
        <w:t xml:space="preserve">، ۱۹۹۵). اگر فشار قانونی بدون تغییر رفتار، تنها گزارش‌های تشریفاتی بیافریند، هزینهٔ اصلاحات بی‌ثمر می‌ماند و حتی ممکن است نظارت را با اطلاعات گمراه‌کننده تضعیف کند. این پژوهش با نمونه‌ای از مدیران و کارکنان مالی دستگاه‌های اجرایی می‌کوشد به پرسش‌های زیر پاسخ دهد: (۱) هر یک از فشارهای نهادی چه اثری بر اجرای ماهوی و انطباق نمادین دارد؟ (۲) این دو مسیر چگونه از طریق سودمندی اطلاعات بر پاسخگویی مالی اثر می‌گذارند؟ (۳) بلوغ نظام اطلاعاتی مالی این روابط را چگونه تعدیل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فرضیه‌های پژوهش (که در بخش پیشینه توجیه می‌شوند) عبارت‌اند از: </w:t>
      </w:r>
      <w:r>
        <w:rPr>
          <w:rFonts w:ascii="Times New Roman" w:hAnsi="Times New Roman" w:cs="B Mitra" w:eastAsia="Times New Roman"/>
          <w:b/>
          <w:bCs/>
          <w:sz w:val="26"/>
          <w:szCs w:val="26"/>
          <w:lang w:val="en-US" w:bidi="fa-IR"/>
        </w:rPr>
        <w:t xml:space="preserve">فرضیهٔ ۱:</w:t>
      </w:r>
      <w:r>
        <w:rPr>
          <w:rFonts w:ascii="Times New Roman" w:hAnsi="Times New Roman" w:cs="B Mitra" w:eastAsia="Times New Roman"/>
          <w:sz w:val="26"/>
          <w:szCs w:val="26"/>
          <w:lang w:val="en-US" w:bidi="fa-IR"/>
        </w:rPr>
        <w:t xml:space="preserve"> فشار الزامی بر اجرای ماهوی اثر مثبت دارد. </w:t>
      </w:r>
      <w:r>
        <w:rPr>
          <w:rFonts w:ascii="Times New Roman" w:hAnsi="Times New Roman" w:cs="B Mitra" w:eastAsia="Times New Roman"/>
          <w:b/>
          <w:bCs/>
          <w:sz w:val="26"/>
          <w:szCs w:val="26"/>
          <w:lang w:val="en-US" w:bidi="fa-IR"/>
        </w:rPr>
        <w:t xml:space="preserve">فرضیهٔ ۲:</w:t>
      </w:r>
      <w:r>
        <w:rPr>
          <w:rFonts w:ascii="Times New Roman" w:hAnsi="Times New Roman" w:cs="B Mitra" w:eastAsia="Times New Roman"/>
          <w:sz w:val="26"/>
          <w:szCs w:val="26"/>
          <w:lang w:val="en-US" w:bidi="fa-IR"/>
        </w:rPr>
        <w:t xml:space="preserve"> فشار الزامی بر انطباق نمادین اثر مثبت دارد. </w:t>
      </w:r>
      <w:r>
        <w:rPr>
          <w:rFonts w:ascii="Times New Roman" w:hAnsi="Times New Roman" w:cs="B Mitra" w:eastAsia="Times New Roman"/>
          <w:b/>
          <w:bCs/>
          <w:sz w:val="26"/>
          <w:szCs w:val="26"/>
          <w:lang w:val="en-US" w:bidi="fa-IR"/>
        </w:rPr>
        <w:t xml:space="preserve">فرضیهٔ ۳:</w:t>
      </w:r>
      <w:r>
        <w:rPr>
          <w:rFonts w:ascii="Times New Roman" w:hAnsi="Times New Roman" w:cs="B Mitra" w:eastAsia="Times New Roman"/>
          <w:sz w:val="26"/>
          <w:szCs w:val="26"/>
          <w:lang w:val="en-US" w:bidi="fa-IR"/>
        </w:rPr>
        <w:t xml:space="preserve"> فشار هنجاری بر اجرای ماهوی اثر مثبت دارد. </w:t>
      </w:r>
      <w:r>
        <w:rPr>
          <w:rFonts w:ascii="Times New Roman" w:hAnsi="Times New Roman" w:cs="B Mitra" w:eastAsia="Times New Roman"/>
          <w:b/>
          <w:bCs/>
          <w:sz w:val="26"/>
          <w:szCs w:val="26"/>
          <w:lang w:val="en-US" w:bidi="fa-IR"/>
        </w:rPr>
        <w:t xml:space="preserve">فرضیهٔ ۴:</w:t>
      </w:r>
      <w:r>
        <w:rPr>
          <w:rFonts w:ascii="Times New Roman" w:hAnsi="Times New Roman" w:cs="B Mitra" w:eastAsia="Times New Roman"/>
          <w:sz w:val="26"/>
          <w:szCs w:val="26"/>
          <w:lang w:val="en-US" w:bidi="fa-IR"/>
        </w:rPr>
        <w:t xml:space="preserve"> فشار هنجاری بر انطباق نمادین اثر منفی دارد. </w:t>
      </w:r>
      <w:r>
        <w:rPr>
          <w:rFonts w:ascii="Times New Roman" w:hAnsi="Times New Roman" w:cs="B Mitra" w:eastAsia="Times New Roman"/>
          <w:b/>
          <w:bCs/>
          <w:sz w:val="26"/>
          <w:szCs w:val="26"/>
          <w:lang w:val="en-US" w:bidi="fa-IR"/>
        </w:rPr>
        <w:t xml:space="preserve">فرضیهٔ ۵:</w:t>
      </w:r>
      <w:r>
        <w:rPr>
          <w:rFonts w:ascii="Times New Roman" w:hAnsi="Times New Roman" w:cs="B Mitra" w:eastAsia="Times New Roman"/>
          <w:sz w:val="26"/>
          <w:szCs w:val="26"/>
          <w:lang w:val="en-US" w:bidi="fa-IR"/>
        </w:rPr>
        <w:t xml:space="preserve"> فشار تقلیدی بر انطباق نمادین اثر مثبت دارد. </w:t>
      </w:r>
      <w:r>
        <w:rPr>
          <w:rFonts w:ascii="Times New Roman" w:hAnsi="Times New Roman" w:cs="B Mitra" w:eastAsia="Times New Roman"/>
          <w:b/>
          <w:bCs/>
          <w:sz w:val="26"/>
          <w:szCs w:val="26"/>
          <w:lang w:val="en-US" w:bidi="fa-IR"/>
        </w:rPr>
        <w:t xml:space="preserve">فرضیهٔ ۶:</w:t>
      </w:r>
      <w:r>
        <w:rPr>
          <w:rFonts w:ascii="Times New Roman" w:hAnsi="Times New Roman" w:cs="B Mitra" w:eastAsia="Times New Roman"/>
          <w:sz w:val="26"/>
          <w:szCs w:val="26"/>
          <w:lang w:val="en-US" w:bidi="fa-IR"/>
        </w:rPr>
        <w:t xml:space="preserve"> اجرای ماهوی بر سودمندی اطلاعات اثر مثبت دارد. </w:t>
      </w:r>
      <w:r>
        <w:rPr>
          <w:rFonts w:ascii="Times New Roman" w:hAnsi="Times New Roman" w:cs="B Mitra" w:eastAsia="Times New Roman"/>
          <w:b/>
          <w:bCs/>
          <w:sz w:val="26"/>
          <w:szCs w:val="26"/>
          <w:lang w:val="en-US" w:bidi="fa-IR"/>
        </w:rPr>
        <w:t xml:space="preserve">فرضیهٔ ۷:</w:t>
      </w:r>
      <w:r>
        <w:rPr>
          <w:rFonts w:ascii="Times New Roman" w:hAnsi="Times New Roman" w:cs="B Mitra" w:eastAsia="Times New Roman"/>
          <w:sz w:val="26"/>
          <w:szCs w:val="26"/>
          <w:lang w:val="en-US" w:bidi="fa-IR"/>
        </w:rPr>
        <w:t xml:space="preserve"> انطباق نمادین بر سودمندی اطلاعات اثر منفی دارد. </w:t>
      </w:r>
      <w:r>
        <w:rPr>
          <w:rFonts w:ascii="Times New Roman" w:hAnsi="Times New Roman" w:cs="B Mitra" w:eastAsia="Times New Roman"/>
          <w:b/>
          <w:bCs/>
          <w:sz w:val="26"/>
          <w:szCs w:val="26"/>
          <w:lang w:val="en-US" w:bidi="fa-IR"/>
        </w:rPr>
        <w:t xml:space="preserve">فرضیهٔ ۸:</w:t>
      </w:r>
      <w:r>
        <w:rPr>
          <w:rFonts w:ascii="Times New Roman" w:hAnsi="Times New Roman" w:cs="B Mitra" w:eastAsia="Times New Roman"/>
          <w:sz w:val="26"/>
          <w:szCs w:val="26"/>
          <w:lang w:val="en-US" w:bidi="fa-IR"/>
        </w:rPr>
        <w:t xml:space="preserve"> اجرای ماهوی بر پاسخگویی مالی اثر مثبت دارد. </w:t>
      </w:r>
      <w:r>
        <w:rPr>
          <w:rFonts w:ascii="Times New Roman" w:hAnsi="Times New Roman" w:cs="B Mitra" w:eastAsia="Times New Roman"/>
          <w:b/>
          <w:bCs/>
          <w:sz w:val="26"/>
          <w:szCs w:val="26"/>
          <w:lang w:val="en-US" w:bidi="fa-IR"/>
        </w:rPr>
        <w:t xml:space="preserve">فرضیهٔ ۹:</w:t>
      </w:r>
      <w:r>
        <w:rPr>
          <w:rFonts w:ascii="Times New Roman" w:hAnsi="Times New Roman" w:cs="B Mitra" w:eastAsia="Times New Roman"/>
          <w:sz w:val="26"/>
          <w:szCs w:val="26"/>
          <w:lang w:val="en-US" w:bidi="fa-IR"/>
        </w:rPr>
        <w:t xml:space="preserve"> انطباق نمادین بر پاسخگویی مالی اثر منفی دارد. </w:t>
      </w:r>
      <w:r>
        <w:rPr>
          <w:rFonts w:ascii="Times New Roman" w:hAnsi="Times New Roman" w:cs="B Mitra" w:eastAsia="Times New Roman"/>
          <w:b/>
          <w:bCs/>
          <w:sz w:val="26"/>
          <w:szCs w:val="26"/>
          <w:lang w:val="en-US" w:bidi="fa-IR"/>
        </w:rPr>
        <w:t xml:space="preserve">فرضیهٔ ۱۰:</w:t>
      </w:r>
      <w:r>
        <w:rPr>
          <w:rFonts w:ascii="Times New Roman" w:hAnsi="Times New Roman" w:cs="B Mitra" w:eastAsia="Times New Roman"/>
          <w:sz w:val="26"/>
          <w:szCs w:val="26"/>
          <w:lang w:val="en-US" w:bidi="fa-IR"/>
        </w:rPr>
        <w:t xml:space="preserve"> سودمندی اطلاعات بر پاسخگویی مالی اثر مثبت دارد. </w:t>
      </w:r>
      <w:r>
        <w:rPr>
          <w:rFonts w:ascii="Times New Roman" w:hAnsi="Times New Roman" w:cs="B Mitra" w:eastAsia="Times New Roman"/>
          <w:b/>
          <w:bCs/>
          <w:sz w:val="26"/>
          <w:szCs w:val="26"/>
          <w:lang w:val="en-US" w:bidi="fa-IR"/>
        </w:rPr>
        <w:t xml:space="preserve">فرضیهٔ ۱۱:</w:t>
      </w:r>
      <w:r>
        <w:rPr>
          <w:rFonts w:ascii="Times New Roman" w:hAnsi="Times New Roman" w:cs="B Mitra" w:eastAsia="Times New Roman"/>
          <w:sz w:val="26"/>
          <w:szCs w:val="26"/>
          <w:lang w:val="en-US" w:bidi="fa-IR"/>
        </w:rPr>
        <w:t xml:space="preserve"> بلوغ نظام اطلاعاتی اثر اجرای ماهوی بر سودمندی اطلاعات را تقویت می‌کند. </w:t>
      </w:r>
      <w:r>
        <w:rPr>
          <w:rFonts w:ascii="Times New Roman" w:hAnsi="Times New Roman" w:cs="B Mitra" w:eastAsia="Times New Roman"/>
          <w:b/>
          <w:bCs/>
          <w:sz w:val="26"/>
          <w:szCs w:val="26"/>
          <w:lang w:val="en-US" w:bidi="fa-IR"/>
        </w:rPr>
        <w:t xml:space="preserve">فرضیهٔ ۱۲:</w:t>
      </w:r>
      <w:r>
        <w:rPr>
          <w:rFonts w:ascii="Times New Roman" w:hAnsi="Times New Roman" w:cs="B Mitra" w:eastAsia="Times New Roman"/>
          <w:sz w:val="26"/>
          <w:szCs w:val="26"/>
          <w:lang w:val="en-US" w:bidi="fa-IR"/>
        </w:rPr>
        <w:t xml:space="preserve"> بلوغ نظام اطلاعاتی اثر فشار الزامی بر انطباق نمادین را تضعیف می‌کند. </w:t>
      </w:r>
      <w:r>
        <w:rPr>
          <w:rFonts w:ascii="Times New Roman" w:hAnsi="Times New Roman" w:cs="B Mitra" w:eastAsia="Times New Roman"/>
          <w:b/>
          <w:bCs/>
          <w:sz w:val="26"/>
          <w:szCs w:val="26"/>
          <w:lang w:val="en-US" w:bidi="fa-IR"/>
        </w:rPr>
        <w:t xml:space="preserve">فرضیهٔ ۱۳:</w:t>
      </w:r>
      <w:r>
        <w:rPr>
          <w:rFonts w:ascii="Times New Roman" w:hAnsi="Times New Roman" w:cs="B Mitra" w:eastAsia="Times New Roman"/>
          <w:sz w:val="26"/>
          <w:szCs w:val="26"/>
          <w:lang w:val="en-US" w:bidi="fa-IR"/>
        </w:rPr>
        <w:t xml:space="preserve"> فشارهای نهادی از طریق اجرای ماهوی و انطباق نمادین بر پاسخگویی مالی اثر غیرمستقیم دارند.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پیشینه پژوهش</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نظری</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فشارهای نهادی و همسانی.</w:t>
      </w:r>
      <w:r>
        <w:rPr>
          <w:rFonts w:ascii="Times New Roman" w:hAnsi="Times New Roman" w:cs="B Mitra" w:eastAsia="Times New Roman"/>
          <w:sz w:val="26"/>
          <w:szCs w:val="26"/>
          <w:lang w:val="en-US" w:bidi="fa-IR"/>
        </w:rPr>
        <w:t xml:space="preserve"> دی‌ماجیو و پاول</w:t>
      </w:r>
      <w:r>
        <w:rPr>
          <w:rStyle w:val="FootnoteReference"/>
          <w:rFonts w:ascii="Times New Roman" w:hAnsi="Times New Roman" w:cs="B Mitra" w:eastAsia="Times New Roman"/>
          <w:sz w:val="26"/>
          <w:szCs w:val="26"/>
          <w:vertAlign w:val="superscript"/>
          <w:lang w:val="en-US" w:bidi="fa-IR"/>
        </w:rPr>
        <w:footnoteReference w:customMarkFollows="1" w:id="15"/>
      </w:r>
      <w:r>
        <w:rPr>
          <w:rFonts w:ascii="Times New Roman" w:hAnsi="Times New Roman" w:cs="B Mitra" w:eastAsia="Times New Roman"/>
          <w:sz w:val="26"/>
          <w:szCs w:val="26"/>
          <w:vertAlign w:val="superscript"/>
          <w:lang w:val="en-US" w:bidi="fa-IR"/>
        </w:rPr>
        <w:t>۱۵</w:t>
      </w:r>
      <w:r>
        <w:rPr>
          <w:rFonts w:ascii="Times New Roman" w:hAnsi="Times New Roman" w:cs="B Mitra" w:eastAsia="Times New Roman"/>
          <w:sz w:val="26"/>
          <w:szCs w:val="26"/>
          <w:lang w:val="en-US" w:bidi="fa-IR"/>
        </w:rPr>
        <w:t xml:space="preserve"> (۱۹۸۳) سه سازوکار همسان‌سازی را از هم متمایز می‌کنند: الزامی (قانون و وابستگی به نهادهای فرادست)، هنجاری (حرفه‌ای‌شدن و آموزش) و تقلیدی (الگوبرداری در شرایط ابهام). اسکات (اسکات</w:t>
      </w:r>
      <w:r>
        <w:rPr>
          <w:rStyle w:val="FootnoteReference"/>
          <w:rFonts w:ascii="Times New Roman" w:hAnsi="Times New Roman" w:cs="B Mitra" w:eastAsia="Times New Roman"/>
          <w:sz w:val="26"/>
          <w:szCs w:val="26"/>
          <w:vertAlign w:val="superscript"/>
          <w:lang w:val="en-US" w:bidi="fa-IR"/>
        </w:rPr>
        <w:footnoteReference w:customMarkFollows="1" w:id="16"/>
      </w:r>
      <w:r>
        <w:rPr>
          <w:rFonts w:ascii="Times New Roman" w:hAnsi="Times New Roman" w:cs="B Mitra" w:eastAsia="Times New Roman"/>
          <w:sz w:val="26"/>
          <w:szCs w:val="26"/>
          <w:vertAlign w:val="superscript"/>
          <w:lang w:val="en-US" w:bidi="fa-IR"/>
        </w:rPr>
        <w:t>۱۶</w:t>
      </w:r>
      <w:r>
        <w:rPr>
          <w:rFonts w:ascii="Times New Roman" w:hAnsi="Times New Roman" w:cs="B Mitra" w:eastAsia="Times New Roman"/>
          <w:sz w:val="26"/>
          <w:szCs w:val="26"/>
          <w:lang w:val="en-US" w:bidi="fa-IR"/>
        </w:rPr>
        <w:t xml:space="preserve">، ۲۰۱۴) این سازوکارها را به ستون‌های قاعده‌ای، هنجاری و فرهنگی‑شناختی نهادها پیوند می‌دهد. نکتهٔ مهم آن است که این سه فشار الزاماً در یک جهت عمل نمی‌کنند: الزام رفتار را «قابل‌مشاهده» می‌کند، اما هنجار آن را «درونی» می‌سازد و تقلید آن را «قالبی» می‌کند. الیور</w:t>
      </w:r>
      <w:r>
        <w:rPr>
          <w:rStyle w:val="FootnoteReference"/>
          <w:rFonts w:ascii="Times New Roman" w:hAnsi="Times New Roman" w:cs="B Mitra" w:eastAsia="Times New Roman"/>
          <w:sz w:val="26"/>
          <w:szCs w:val="26"/>
          <w:vertAlign w:val="superscript"/>
          <w:lang w:val="en-US" w:bidi="fa-IR"/>
        </w:rPr>
        <w:footnoteReference w:customMarkFollows="1" w:id="17"/>
      </w:r>
      <w:r>
        <w:rPr>
          <w:rFonts w:ascii="Times New Roman" w:hAnsi="Times New Roman" w:cs="B Mitra" w:eastAsia="Times New Roman"/>
          <w:sz w:val="26"/>
          <w:szCs w:val="26"/>
          <w:vertAlign w:val="superscript"/>
          <w:lang w:val="en-US" w:bidi="fa-IR"/>
        </w:rPr>
        <w:t>۱۷</w:t>
      </w:r>
      <w:r>
        <w:rPr>
          <w:rFonts w:ascii="Times New Roman" w:hAnsi="Times New Roman" w:cs="B Mitra" w:eastAsia="Times New Roman"/>
          <w:sz w:val="26"/>
          <w:szCs w:val="26"/>
          <w:lang w:val="en-US" w:bidi="fa-IR"/>
        </w:rPr>
        <w:t xml:space="preserve"> (۱۹۹۱) نشان می‌دهد سازمان‌ها در برابر فشار نهادی طیفی از پاسخ‌ها از پذیرش تا پنهان‌کاری و مقاومت را برمی‌گزینند؛ از این رو پیامد فشار به‌طور خودکار «اجرای ماهوی» نیست.</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جدایی و پذیرش تشریفاتی.</w:t>
      </w:r>
      <w:r>
        <w:rPr>
          <w:rFonts w:ascii="Times New Roman" w:hAnsi="Times New Roman" w:cs="B Mitra" w:eastAsia="Times New Roman"/>
          <w:sz w:val="26"/>
          <w:szCs w:val="26"/>
          <w:lang w:val="en-US" w:bidi="fa-IR"/>
        </w:rPr>
        <w:t xml:space="preserve"> مایر و روان (مایر و روان، ۱۹۷۷) استدلال می‌کنند ساختارهای رسمی اغلب اسطوره و آیین‌اند و برای حفظ مشروعیت از فعالیت‌های فنی جدا نگه داشته می‌شوند. برومیلی و پاول (برومیلی و پاول، ۲۰۱۲) دو نوع جدایی را بازشناسی می‌کنند: جدایی سیاست از عمل و جدایی وسیله از هدف. در حسابداری بخش عمومی، سنجه‌های عملکرد و گزارش‌های تعهدی می‌توانند به ابزار مشروعیت‌بخشی بدل شوند (بریگنال و مودل، ۲۰۰۰؛ مودل، ۲۰۰۹). بر این پایه دو سازهٔ متمایز تعریف می‌کنیم: </w:t>
      </w:r>
      <w:r>
        <w:rPr>
          <w:rFonts w:ascii="Times New Roman" w:hAnsi="Times New Roman" w:cs="B Mitra" w:eastAsia="Times New Roman"/>
          <w:b/>
          <w:bCs/>
          <w:sz w:val="26"/>
          <w:szCs w:val="26"/>
          <w:lang w:val="en-US" w:bidi="fa-IR"/>
        </w:rPr>
        <w:t xml:space="preserve">اجرای ماهوی</w:t>
      </w:r>
      <w:r>
        <w:rPr>
          <w:rFonts w:ascii="Times New Roman" w:hAnsi="Times New Roman" w:cs="B Mitra" w:eastAsia="Times New Roman"/>
          <w:sz w:val="26"/>
          <w:szCs w:val="26"/>
          <w:lang w:val="en-US" w:bidi="fa-IR"/>
        </w:rPr>
        <w:t xml:space="preserve"> (استفاده از برنامه‌ها، بهای تمام‌شده و صورت‌های تعهدی در تدوین بودجه و تصمیم‌های مدیریتی) و </w:t>
      </w:r>
      <w:r>
        <w:rPr>
          <w:rFonts w:ascii="Times New Roman" w:hAnsi="Times New Roman" w:cs="B Mitra" w:eastAsia="Times New Roman"/>
          <w:b/>
          <w:bCs/>
          <w:sz w:val="26"/>
          <w:szCs w:val="26"/>
          <w:lang w:val="en-US" w:bidi="fa-IR"/>
        </w:rPr>
        <w:t xml:space="preserve">انطباق نمادین</w:t>
      </w:r>
      <w:r>
        <w:rPr>
          <w:rFonts w:ascii="Times New Roman" w:hAnsi="Times New Roman" w:cs="B Mitra" w:eastAsia="Times New Roman"/>
          <w:sz w:val="26"/>
          <w:szCs w:val="26"/>
          <w:lang w:val="en-US" w:bidi="fa-IR"/>
        </w:rPr>
        <w:t xml:space="preserve"> (تهیهٔ گزارش‌ها برای ارائه به فرادست، با شاخص‌های سهل‌الوصول و بی‌اثر بر تخصیص منابع).</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از اجرا تا کاربرد اطلاعات.</w:t>
      </w:r>
      <w:r>
        <w:rPr>
          <w:rFonts w:ascii="Times New Roman" w:hAnsi="Times New Roman" w:cs="B Mitra" w:eastAsia="Times New Roman"/>
          <w:sz w:val="26"/>
          <w:szCs w:val="26"/>
          <w:lang w:val="en-US" w:bidi="fa-IR"/>
        </w:rPr>
        <w:t xml:space="preserve"> ادبیات «استفاده از اطلاعات عملکرد» تأکید می‌کند که تولید اطلاعات به‌خودی‌خود فایده‌ای ندارد و مزیت اصلاحات هنگامی پدید می‌آید که مدیران از اطلاعات در تصمیم‌ها بهره بگیرند (موینیهان</w:t>
      </w:r>
      <w:r>
        <w:rPr>
          <w:rStyle w:val="FootnoteReference"/>
          <w:rFonts w:ascii="Times New Roman" w:hAnsi="Times New Roman" w:cs="B Mitra" w:eastAsia="Times New Roman"/>
          <w:sz w:val="26"/>
          <w:szCs w:val="26"/>
          <w:vertAlign w:val="superscript"/>
          <w:lang w:val="en-US" w:bidi="fa-IR"/>
        </w:rPr>
        <w:footnoteReference w:customMarkFollows="1" w:id="18"/>
      </w:r>
      <w:r>
        <w:rPr>
          <w:rFonts w:ascii="Times New Roman" w:hAnsi="Times New Roman" w:cs="B Mitra" w:eastAsia="Times New Roman"/>
          <w:sz w:val="26"/>
          <w:szCs w:val="26"/>
          <w:vertAlign w:val="superscript"/>
          <w:lang w:val="en-US" w:bidi="fa-IR"/>
        </w:rPr>
        <w:t>۱۸</w:t>
      </w:r>
      <w:r>
        <w:rPr>
          <w:rFonts w:ascii="Times New Roman" w:hAnsi="Times New Roman" w:cs="B Mitra" w:eastAsia="Times New Roman"/>
          <w:sz w:val="26"/>
          <w:szCs w:val="26"/>
          <w:lang w:val="en-US" w:bidi="fa-IR"/>
        </w:rPr>
        <w:t xml:space="preserve">، ۲۰۰۸؛ موینیهان و پاندی</w:t>
      </w:r>
      <w:r>
        <w:rPr>
          <w:rStyle w:val="FootnoteReference"/>
          <w:rFonts w:ascii="Times New Roman" w:hAnsi="Times New Roman" w:cs="B Mitra" w:eastAsia="Times New Roman"/>
          <w:sz w:val="26"/>
          <w:szCs w:val="26"/>
          <w:vertAlign w:val="superscript"/>
          <w:lang w:val="en-US" w:bidi="fa-IR"/>
        </w:rPr>
        <w:footnoteReference w:customMarkFollows="1" w:id="19"/>
      </w:r>
      <w:r>
        <w:rPr>
          <w:rFonts w:ascii="Times New Roman" w:hAnsi="Times New Roman" w:cs="B Mitra" w:eastAsia="Times New Roman"/>
          <w:sz w:val="26"/>
          <w:szCs w:val="26"/>
          <w:vertAlign w:val="superscript"/>
          <w:lang w:val="en-US" w:bidi="fa-IR"/>
        </w:rPr>
        <w:t>۱۹</w:t>
      </w:r>
      <w:r>
        <w:rPr>
          <w:rFonts w:ascii="Times New Roman" w:hAnsi="Times New Roman" w:cs="B Mitra" w:eastAsia="Times New Roman"/>
          <w:sz w:val="26"/>
          <w:szCs w:val="26"/>
          <w:lang w:val="en-US" w:bidi="fa-IR"/>
        </w:rPr>
        <w:t xml:space="preserve">، ۲۰۱۰؛ کرول</w:t>
      </w:r>
      <w:r>
        <w:rPr>
          <w:rStyle w:val="FootnoteReference"/>
          <w:rFonts w:ascii="Times New Roman" w:hAnsi="Times New Roman" w:cs="B Mitra" w:eastAsia="Times New Roman"/>
          <w:sz w:val="26"/>
          <w:szCs w:val="26"/>
          <w:vertAlign w:val="superscript"/>
          <w:lang w:val="en-US" w:bidi="fa-IR"/>
        </w:rPr>
        <w:footnoteReference w:customMarkFollows="1" w:id="20"/>
      </w:r>
      <w:r>
        <w:rPr>
          <w:rFonts w:ascii="Times New Roman" w:hAnsi="Times New Roman" w:cs="B Mitra" w:eastAsia="Times New Roman"/>
          <w:sz w:val="26"/>
          <w:szCs w:val="26"/>
          <w:vertAlign w:val="superscript"/>
          <w:lang w:val="en-US" w:bidi="fa-IR"/>
        </w:rPr>
        <w:t>۲۰</w:t>
      </w:r>
      <w:r>
        <w:rPr>
          <w:rFonts w:ascii="Times New Roman" w:hAnsi="Times New Roman" w:cs="B Mitra" w:eastAsia="Times New Roman"/>
          <w:sz w:val="26"/>
          <w:szCs w:val="26"/>
          <w:lang w:val="en-US" w:bidi="fa-IR"/>
        </w:rPr>
        <w:t xml:space="preserve">، ۲۰۱۵). پژوهش‌های مربوط به استانداردهای حسابداری بخش عمومی نیز نشان می‌دهند اثر اصلاحات به نحوهٔ اجرا و بافت سازمانی وابسته است (پینا، تورس و یتانو</w:t>
      </w:r>
      <w:r>
        <w:rPr>
          <w:rStyle w:val="FootnoteReference"/>
          <w:rFonts w:ascii="Times New Roman" w:hAnsi="Times New Roman" w:cs="B Mitra" w:eastAsia="Times New Roman"/>
          <w:sz w:val="26"/>
          <w:szCs w:val="26"/>
          <w:vertAlign w:val="superscript"/>
          <w:lang w:val="en-US" w:bidi="fa-IR"/>
        </w:rPr>
        <w:footnoteReference w:customMarkFollows="1" w:id="21"/>
      </w:r>
      <w:r>
        <w:rPr>
          <w:rFonts w:ascii="Times New Roman" w:hAnsi="Times New Roman" w:cs="B Mitra" w:eastAsia="Times New Roman"/>
          <w:sz w:val="26"/>
          <w:szCs w:val="26"/>
          <w:vertAlign w:val="superscript"/>
          <w:lang w:val="en-US" w:bidi="fa-IR"/>
        </w:rPr>
        <w:t>۲۱</w:t>
      </w:r>
      <w:r>
        <w:rPr>
          <w:rFonts w:ascii="Times New Roman" w:hAnsi="Times New Roman" w:cs="B Mitra" w:eastAsia="Times New Roman"/>
          <w:sz w:val="26"/>
          <w:szCs w:val="26"/>
          <w:lang w:val="en-US" w:bidi="fa-IR"/>
        </w:rPr>
        <w:t xml:space="preserve">، ۲۰۰۹؛ کریستین‌س، رینرز و رول</w:t>
      </w:r>
      <w:r>
        <w:rPr>
          <w:rStyle w:val="FootnoteReference"/>
          <w:rFonts w:ascii="Times New Roman" w:hAnsi="Times New Roman" w:cs="B Mitra" w:eastAsia="Times New Roman"/>
          <w:sz w:val="26"/>
          <w:szCs w:val="26"/>
          <w:vertAlign w:val="superscript"/>
          <w:lang w:val="en-US" w:bidi="fa-IR"/>
        </w:rPr>
        <w:footnoteReference w:customMarkFollows="1" w:id="22"/>
      </w:r>
      <w:r>
        <w:rPr>
          <w:rFonts w:ascii="Times New Roman" w:hAnsi="Times New Roman" w:cs="B Mitra" w:eastAsia="Times New Roman"/>
          <w:sz w:val="26"/>
          <w:szCs w:val="26"/>
          <w:vertAlign w:val="superscript"/>
          <w:lang w:val="en-US" w:bidi="fa-IR"/>
        </w:rPr>
        <w:t>۲۲</w:t>
      </w:r>
      <w:r>
        <w:rPr>
          <w:rFonts w:ascii="Times New Roman" w:hAnsi="Times New Roman" w:cs="B Mitra" w:eastAsia="Times New Roman"/>
          <w:sz w:val="26"/>
          <w:szCs w:val="26"/>
          <w:lang w:val="en-US" w:bidi="fa-IR"/>
        </w:rPr>
        <w:t xml:space="preserve">، ۲۰۱۰). بنابراین «سودمندی اطلاعات گزارش‌شده» به‌عنوان حلقهٔ میانی میان اجرای اصلاحات و پیامد نهایی عمل می‌کند.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پاسخگویی و ارزش عمومی.</w:t>
      </w:r>
      <w:r>
        <w:rPr>
          <w:rFonts w:ascii="Times New Roman" w:hAnsi="Times New Roman" w:cs="B Mitra" w:eastAsia="Times New Roman"/>
          <w:sz w:val="26"/>
          <w:szCs w:val="26"/>
          <w:lang w:val="en-US" w:bidi="fa-IR"/>
        </w:rPr>
        <w:t xml:space="preserve"> بوونس (بوونس، ۲۰۰۷) پاسخگویی را رابطه‌ای می‌داند که در آن مجری ملزم به ارائهٔ اطلاعات، توجیه و پذیرش پیامد است؛ این سه بعد در سنجهٔ پاسخگویی مالی این پژوهش نمایندگی شده‌اند. براچی و همکاران (براچی، همفری، مول و استچولینی</w:t>
      </w:r>
      <w:r>
        <w:rPr>
          <w:rStyle w:val="FootnoteReference"/>
          <w:rFonts w:ascii="Times New Roman" w:hAnsi="Times New Roman" w:cs="B Mitra" w:eastAsia="Times New Roman"/>
          <w:sz w:val="26"/>
          <w:szCs w:val="26"/>
          <w:vertAlign w:val="superscript"/>
          <w:lang w:val="en-US" w:bidi="fa-IR"/>
        </w:rPr>
        <w:footnoteReference w:customMarkFollows="1" w:id="23"/>
      </w:r>
      <w:r>
        <w:rPr>
          <w:rFonts w:ascii="Times New Roman" w:hAnsi="Times New Roman" w:cs="B Mitra" w:eastAsia="Times New Roman"/>
          <w:sz w:val="26"/>
          <w:szCs w:val="26"/>
          <w:vertAlign w:val="superscript"/>
          <w:lang w:val="en-US" w:bidi="fa-IR"/>
        </w:rPr>
        <w:t>۲۳</w:t>
      </w:r>
      <w:r>
        <w:rPr>
          <w:rFonts w:ascii="Times New Roman" w:hAnsi="Times New Roman" w:cs="B Mitra" w:eastAsia="Times New Roman"/>
          <w:sz w:val="26"/>
          <w:szCs w:val="26"/>
          <w:lang w:val="en-US" w:bidi="fa-IR"/>
        </w:rPr>
        <w:t xml:space="preserve">، ۲۰۱۵) نیز یادآور می‌شوند پاسخگویی حسابداری از «تراز کردن دفاتر» فراتر می‌رود و به قضاوت و پیامد وابسته است. از منظر ارزش عمومی (مور، ۱۹۹۵) اطلاعات مالی هنگامی ارزش می‌آفریند که مشروعیت و ظرفیت عملیاتی را همراه 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بلوغ نظام اطلاعاتی و ردپای دیجیتال.</w:t>
      </w:r>
      <w:r>
        <w:rPr>
          <w:rFonts w:ascii="Times New Roman" w:hAnsi="Times New Roman" w:cs="B Mitra" w:eastAsia="Times New Roman"/>
          <w:sz w:val="26"/>
          <w:szCs w:val="26"/>
          <w:lang w:val="en-US" w:bidi="fa-IR"/>
        </w:rPr>
        <w:t xml:space="preserve"> مدل موفقیت سیستم‌های اطلاعاتی (دلون و مک‌لین</w:t>
      </w:r>
      <w:r>
        <w:rPr>
          <w:rStyle w:val="FootnoteReference"/>
          <w:rFonts w:ascii="Times New Roman" w:hAnsi="Times New Roman" w:cs="B Mitra" w:eastAsia="Times New Roman"/>
          <w:sz w:val="26"/>
          <w:szCs w:val="26"/>
          <w:vertAlign w:val="superscript"/>
          <w:lang w:val="en-US" w:bidi="fa-IR"/>
        </w:rPr>
        <w:footnoteReference w:customMarkFollows="1" w:id="24"/>
      </w:r>
      <w:r>
        <w:rPr>
          <w:rFonts w:ascii="Times New Roman" w:hAnsi="Times New Roman" w:cs="B Mitra" w:eastAsia="Times New Roman"/>
          <w:sz w:val="26"/>
          <w:szCs w:val="26"/>
          <w:vertAlign w:val="superscript"/>
          <w:lang w:val="en-US" w:bidi="fa-IR"/>
        </w:rPr>
        <w:t>۲۴</w:t>
      </w:r>
      <w:r>
        <w:rPr>
          <w:rFonts w:ascii="Times New Roman" w:hAnsi="Times New Roman" w:cs="B Mitra" w:eastAsia="Times New Roman"/>
          <w:sz w:val="26"/>
          <w:szCs w:val="26"/>
          <w:lang w:val="en-US" w:bidi="fa-IR"/>
        </w:rPr>
        <w:t xml:space="preserve">، ۲۰۰۳) کیفیت سیستم و اطلاعات را مبنای استفاده و اثر سازمانی می‌داند، و حکمرانی عصر دیجیتال (دان‌لیوی و همکاران</w:t>
      </w:r>
      <w:r>
        <w:rPr>
          <w:rStyle w:val="FootnoteReference"/>
          <w:rFonts w:ascii="Times New Roman" w:hAnsi="Times New Roman" w:cs="B Mitra" w:eastAsia="Times New Roman"/>
          <w:sz w:val="26"/>
          <w:szCs w:val="26"/>
          <w:vertAlign w:val="superscript"/>
          <w:lang w:val="en-US" w:bidi="fa-IR"/>
        </w:rPr>
        <w:footnoteReference w:customMarkFollows="1" w:id="25"/>
      </w:r>
      <w:r>
        <w:rPr>
          <w:rFonts w:ascii="Times New Roman" w:hAnsi="Times New Roman" w:cs="B Mitra" w:eastAsia="Times New Roman"/>
          <w:sz w:val="26"/>
          <w:szCs w:val="26"/>
          <w:vertAlign w:val="superscript"/>
          <w:lang w:val="en-US" w:bidi="fa-IR"/>
        </w:rPr>
        <w:t>۲۵</w:t>
      </w:r>
      <w:r>
        <w:rPr>
          <w:rFonts w:ascii="Times New Roman" w:hAnsi="Times New Roman" w:cs="B Mitra" w:eastAsia="Times New Roman"/>
          <w:sz w:val="26"/>
          <w:szCs w:val="26"/>
          <w:lang w:val="en-US" w:bidi="fa-IR"/>
        </w:rPr>
        <w:t xml:space="preserve">، ۲۰۰۶) بر یکپارچگی داده و شفافیت فرایندها تأکید می‌کند. در این پژوهش «بلوغ نظام اطلاعاتی» را یکپارچگی، برخط‌بودن و حسابرسی‌پذیری سامانه‌های مالی تعریف می‌کنیم. استدلال این است که چنین نظامی دو نقش دارد: از یک سو اجرای ماهوی را به اطلاعات سودمند تبدیل می‌کند و از سوی دیگر با ثبت ردپای تغییرات، هزینهٔ انطباق نمادین را بالا می‌برد.</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تجربی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ناروئی، مؤمنی و گرد</w:t>
      </w:r>
      <w:r>
        <w:rPr>
          <w:rStyle w:val="FootnoteReference"/>
          <w:rFonts w:ascii="Times New Roman" w:hAnsi="Times New Roman" w:cs="B Mitra" w:eastAsia="Times New Roman"/>
          <w:sz w:val="26"/>
          <w:szCs w:val="26"/>
          <w:vertAlign w:val="superscript"/>
          <w:lang w:val="en-US" w:bidi="fa-IR"/>
        </w:rPr>
        <w:footnoteReference w:customMarkFollows="1" w:id="26"/>
      </w:r>
      <w:r>
        <w:rPr>
          <w:rFonts w:ascii="Times New Roman" w:hAnsi="Times New Roman" w:cs="B Mitra" w:eastAsia="Times New Roman"/>
          <w:sz w:val="26"/>
          <w:szCs w:val="26"/>
          <w:vertAlign w:val="superscript"/>
          <w:lang w:val="en-US" w:bidi="fa-IR"/>
        </w:rPr>
        <w:t>۲۶</w:t>
      </w:r>
      <w:r>
        <w:rPr>
          <w:rFonts w:ascii="Times New Roman" w:hAnsi="Times New Roman" w:cs="B Mitra" w:eastAsia="Times New Roman"/>
          <w:sz w:val="26"/>
          <w:szCs w:val="26"/>
          <w:lang w:val="en-US" w:bidi="fa-IR"/>
        </w:rPr>
        <w:t xml:space="preserve"> (۱۳۹۹) با تحلیل مضمون، مضامین بهبود اعتماد نهادی، فرایندهای مدیریتی، بهره‌وری و قوانین مالی را برای مدل مطلوب نظام تعهدی در دستگاه‌های اجرایی شناسایی کردند. پورغفار و همکاران</w:t>
      </w:r>
      <w:r>
        <w:rPr>
          <w:rStyle w:val="FootnoteReference"/>
          <w:rFonts w:ascii="Times New Roman" w:hAnsi="Times New Roman" w:cs="B Mitra" w:eastAsia="Times New Roman"/>
          <w:sz w:val="26"/>
          <w:szCs w:val="26"/>
          <w:vertAlign w:val="superscript"/>
          <w:lang w:val="en-US" w:bidi="fa-IR"/>
        </w:rPr>
        <w:footnoteReference w:customMarkFollows="1" w:id="27"/>
      </w:r>
      <w:r>
        <w:rPr>
          <w:rFonts w:ascii="Times New Roman" w:hAnsi="Times New Roman" w:cs="B Mitra" w:eastAsia="Times New Roman"/>
          <w:sz w:val="26"/>
          <w:szCs w:val="26"/>
          <w:vertAlign w:val="superscript"/>
          <w:lang w:val="en-US" w:bidi="fa-IR"/>
        </w:rPr>
        <w:t>۲۷</w:t>
      </w:r>
      <w:r>
        <w:rPr>
          <w:rFonts w:ascii="Times New Roman" w:hAnsi="Times New Roman" w:cs="B Mitra" w:eastAsia="Times New Roman"/>
          <w:sz w:val="26"/>
          <w:szCs w:val="26"/>
          <w:lang w:val="en-US" w:bidi="fa-IR"/>
        </w:rPr>
        <w:t xml:space="preserve"> (۱۴۰۱) با ۲۰ مصاحبهٔ نیمه‌ساختاریافته الگوی بودجه‌ریزی عملکرد با گزارشگری بهنگام را ارائه و بر سرمایه‌گذاری در فناوری اطلاعات تأکید کردند. نورانی و اخلاقی یزدی‌نژاد (۱۴۰۲) با ۱۸ مصاحبه، سیزده بعد مؤثر بر استانداردهای بخش عمومی را از جمله چالش‌های حقوقی، آموزش نیروی انسانی و پذیرش استانداردهای بین‌المللی گزارش کردند. احمدی، ناظمی و نمازی (۱۴۰۲) با ۱۵۲ پرسشنامه و معادلات ساختاری، کنشگران اقتصادی، فنی، شایستگی مدیریت و تعهد سازمانی را بر میزان اجرای بودجه‌ریزی مبتنی بر عملکرد مؤثر یافتند. این پژوهش‌ها زمینهٔ ایرانی را روشن می‌کنند، اما یا کیفی‌اند یا اجرا را یک بعدی می‌سنجند و پیامد پاسخگویی را مدل نمی‌کنند.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در پژوهش‌های خارجی، پینا و همکاران (پینا، تورس و یتانو، ۲۰۰۹) نشان دادند مبنای تعهدی در حکومت‌های محلی اروپا «یک روش با رویکردهای متفاوت» است. کریستین‌س و همکاران (کریستین‌س، رینرز و رول، ۲۰۱۰) و نیز کریستین‌س و همکاران (کریستین‌س و همکاران، ۲۰۱۵) اثر استانداردهای بین‌المللی را بر نظام‌های گزارشگری بررسی کردند و تفاوت میان کشورها را به ظرفیت و زمینه نسبت دادند. موینیهان و پاندی (موینیهان و پاندی، ۲۰۱۰) نشان دادند عوامل سازمانی مانند رهبری و فرهنگ نوآوری بر استفاده از اطلاعات عملکرد مؤثرند و کرول (کرول، ۲۰۱۵) در مرور نظام‌مند محرک‌های استفاده را سازمان‌بندی کرد. مودل (مودل، ۲۰۰۹) پژوهش‌های نهادی دربارهٔ سنجش عملکرد را مرور و بر نقش مشروعیت‌جویی تأکید کرد. آن‌چه در این مجموعه کم است، آزمون هم‌زمان مسیرهای ماهوی و نمادین با پیامد پاسخگویی و تعدیل‌گری فناوری است.</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مدل مفهومی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مفهومی (شکل ۱) سه فشار نهادی را پیش‌نیاز دو شیوهٔ پاسخ سازمان می‌گیرد. فشار الزامی با ایجاد پیامد قانونی و نظارت هم انگیزهٔ اجرای واقعی و هم انگیزهٔ تهیهٔ گزارش صرفاً برای انطباق را تقویت می‌کند (فرضیه‌های ۱ و ۲). فشار هنجاری از راه حرفه‌ای‌شدن و درونی‌سازی ارزش‌ها اجرای ماهوی را تقویت و آیین‌گرایی را کم می‌کند (فرضیه‌های ۳ و ۴)، در حالی که فشار تقلیدی که بر الگوی آماده تکیه دارد انطباق نمادین را افزایش می‌دهد (فرضیه ۵). اجرای ماهوی با ورود اطلاعات تعهدی و عملکردی به تصمیم‌ها سودمندی اطلاعات را بالا می‌برد و انطباق نمادین آن را می‌کاهد (فرضیه‌های ۶ و ۷)؛ هر دو مسیر هم مستقیم و هم از راه سودمندی بر پاسخگویی اثر دارند (فرضیه‌های ۸ تا ۱۰). بلوغ نظام اطلاعاتی در دو نقطه نقش تعدیل‌گر دارد: داده‌های یکپارچه و برخط اثر اجرای ماهوی بر سودمندی را بیشتر می‌کنند (فرضیه ۱۱) و ردپای حسابرسی‌پذیر، پیامد فشار الزامی را از گزارش‌دهی نمایشی به‌سوی ثبت قابل‌راستی‌آزمایی سوق می‌دهد (فرضیه ۱۲). مجموع این اثرها یک زنجیرهٔ غیرمستقیم از فشار نهادی تا پاسخگویی می‌سازد (فرضیه ۱۳).</w:t>
      </w:r>
    </w:p>
    <w:p>
      <w:pPr>
        <w:keepNext/>
        <w:jc w:val="center"/>
      </w:pPr>
      <w:r>
        <w:drawing>
          <wp:inline distT="0" distB="0" distL="0" distR="0">
            <wp:extent cx="4248000" cy="2507855"/>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۱. مدل مفهومی پژوهش (خطوط پررنگ: مسیرهای ساختاری؛ خطوط چین‌دار قرمز: اثرهای تعدیل‌گری)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روش‌شناسی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پژوهش حاضر از نظر هدف کاربردی، از نظر ماهیت توصیفی‑همبستگی و از نظر شیوهٔ گردآوری داده پیمایشی است. جامعهٔ آماری شامل مدیران مالی، ذی‌حسابان، کارشناسان بودجه و حسابداران دستگاه‌های اجرایی است. نمونه شامل ۳۳۶ پاسخ‌دهنده است که </w:t>
      </w:r>
      <w:r>
        <w:rPr>
          <w:rFonts w:ascii="Times New Roman" w:hAnsi="Times New Roman" w:cs="B Mitra" w:eastAsia="Times New Roman"/>
          <w:sz w:val="26"/>
          <w:szCs w:val="26"/>
          <w:highlight w:val="yellow"/>
          <w:lang w:val="en-US" w:bidi="fa-IR"/>
        </w:rPr>
        <w:t xml:space="preserve">[شیوهٔ نمونه‌گیری، دورهٔ گردآوری داده، نحوهٔ توزیع پرسشنامه و نرخ بازگشت را بر پایهٔ اجرای واقعی تکمیل کنید]</w:t>
      </w:r>
      <w:r>
        <w:rPr>
          <w:rFonts w:ascii="Times New Roman" w:hAnsi="Times New Roman" w:cs="B Mitra" w:eastAsia="Times New Roman"/>
          <w:sz w:val="26"/>
          <w:szCs w:val="26"/>
          <w:lang w:val="en-US" w:bidi="fa-IR"/>
        </w:rPr>
        <w:t xml:space="preserve">. از نظر ترکیب، ۳۵ درصد از وزارتخانه‌ها و سازمان‌های ملی، ۳۰ درصد از دانشگاه‌ها و مراکز بهداشتی‌درمانی، ۱۸ درصد از شهرداری‌ها و نهادهای محلی و ۱۷ درصد از ادارات کل استانی بودند. میانگین سابقهٔ کار ۱۳٫۸ سال (انحراف معیار ۷٫۰) و میانگین سن ۴۵٫۳ سال بود. ۲۶ درصد مدیر مالی، ۲۶ درصد ذی‌حساب، ۲۶ درصد کارشناس بودجه و ۲۲ درصد حسابدار یا حسابرس داخلی بودند.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با توجه به ۱۱۶ پارامتر آزاد مدل، نسبت مشاهده به پارامتر ۲٫۹ است؛ از این رو افزون بر قاعدهٔ سرانگشتی از تحلیل توان مبتنی بر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بهره گرفته شد (مک‌کالوم، براون و سوگاوارا</w:t>
      </w:r>
      <w:r>
        <w:rPr>
          <w:rStyle w:val="FootnoteReference"/>
          <w:rFonts w:ascii="Times New Roman" w:hAnsi="Times New Roman" w:cs="B Mitra" w:eastAsia="Times New Roman"/>
          <w:sz w:val="26"/>
          <w:szCs w:val="26"/>
          <w:vertAlign w:val="superscript"/>
          <w:lang w:val="en-US" w:bidi="fa-IR"/>
        </w:rPr>
        <w:footnoteReference w:customMarkFollows="1" w:id="28"/>
      </w:r>
      <w:r>
        <w:rPr>
          <w:rFonts w:ascii="Times New Roman" w:hAnsi="Times New Roman" w:cs="B Mitra" w:eastAsia="Times New Roman"/>
          <w:sz w:val="26"/>
          <w:szCs w:val="26"/>
          <w:vertAlign w:val="superscript"/>
          <w:lang w:val="en-US" w:bidi="fa-IR"/>
        </w:rPr>
        <w:t>۲۸</w:t>
      </w:r>
      <w:r>
        <w:rPr>
          <w:rFonts w:ascii="Times New Roman" w:hAnsi="Times New Roman" w:cs="B Mitra" w:eastAsia="Times New Roman"/>
          <w:sz w:val="26"/>
          <w:szCs w:val="26"/>
          <w:lang w:val="en-US" w:bidi="fa-IR"/>
        </w:rPr>
        <w:t xml:space="preserve">، ۱۹۹۶) که برای آزمون برازش نزدیک (۰٫۰۵ در برابر ۰٫۰۸) در این حجم نمونه و درجهٔ آزادی توان بالاتر از ۰٫۹۹ نشان داد. ابزار پژوهش پرسشنامه‌ای با ۳۴ گویه در ۸ سازه (لیکرت ۵‌درجه‌ای) است که منشأ هر سازه در جدول ۱ آمده است. سازه‌های فشار نهادی از مقیاس‌های نهادی منتشرشده (تئو، وی و بنباسات</w:t>
      </w:r>
      <w:r>
        <w:rPr>
          <w:rStyle w:val="FootnoteReference"/>
          <w:rFonts w:ascii="Times New Roman" w:hAnsi="Times New Roman" w:cs="B Mitra" w:eastAsia="Times New Roman"/>
          <w:sz w:val="26"/>
          <w:szCs w:val="26"/>
          <w:vertAlign w:val="superscript"/>
          <w:lang w:val="en-US" w:bidi="fa-IR"/>
        </w:rPr>
        <w:footnoteReference w:customMarkFollows="1" w:id="29"/>
      </w:r>
      <w:r>
        <w:rPr>
          <w:rFonts w:ascii="Times New Roman" w:hAnsi="Times New Roman" w:cs="B Mitra" w:eastAsia="Times New Roman"/>
          <w:sz w:val="26"/>
          <w:szCs w:val="26"/>
          <w:vertAlign w:val="superscript"/>
          <w:lang w:val="en-US" w:bidi="fa-IR"/>
        </w:rPr>
        <w:t>۲۹</w:t>
      </w:r>
      <w:r>
        <w:rPr>
          <w:rFonts w:ascii="Times New Roman" w:hAnsi="Times New Roman" w:cs="B Mitra" w:eastAsia="Times New Roman"/>
          <w:sz w:val="26"/>
          <w:szCs w:val="26"/>
          <w:lang w:val="en-US" w:bidi="fa-IR"/>
        </w:rPr>
        <w:t xml:space="preserve">، ۲۰۰۳) اقتباس و سازه‌های اجرای ماهوی، انطباق نمادین و پاسخگویی محقق‌ساخته‌اند. روایی محتوایی با ضریب لاوشه و شاخص روایی محتوا (لاوشه</w:t>
      </w:r>
      <w:r>
        <w:rPr>
          <w:rStyle w:val="FootnoteReference"/>
          <w:rFonts w:ascii="Times New Roman" w:hAnsi="Times New Roman" w:cs="B Mitra" w:eastAsia="Times New Roman"/>
          <w:sz w:val="26"/>
          <w:szCs w:val="26"/>
          <w:vertAlign w:val="superscript"/>
          <w:lang w:val="en-US" w:bidi="fa-IR"/>
        </w:rPr>
        <w:footnoteReference w:customMarkFollows="1" w:id="30"/>
      </w:r>
      <w:r>
        <w:rPr>
          <w:rFonts w:ascii="Times New Roman" w:hAnsi="Times New Roman" w:cs="B Mitra" w:eastAsia="Times New Roman"/>
          <w:sz w:val="26"/>
          <w:szCs w:val="26"/>
          <w:vertAlign w:val="superscript"/>
          <w:lang w:val="en-US" w:bidi="fa-IR"/>
        </w:rPr>
        <w:t>۳۰</w:t>
      </w:r>
      <w:r>
        <w:rPr>
          <w:rFonts w:ascii="Times New Roman" w:hAnsi="Times New Roman" w:cs="B Mitra" w:eastAsia="Times New Roman"/>
          <w:sz w:val="26"/>
          <w:szCs w:val="26"/>
          <w:lang w:val="en-US" w:bidi="fa-IR"/>
        </w:rPr>
        <w:t xml:space="preserve">، ۱۹۷۵؛ پولیت و بک</w:t>
      </w:r>
      <w:r>
        <w:rPr>
          <w:rStyle w:val="FootnoteReference"/>
          <w:rFonts w:ascii="Times New Roman" w:hAnsi="Times New Roman" w:cs="B Mitra" w:eastAsia="Times New Roman"/>
          <w:sz w:val="26"/>
          <w:szCs w:val="26"/>
          <w:vertAlign w:val="superscript"/>
          <w:lang w:val="en-US" w:bidi="fa-IR"/>
        </w:rPr>
        <w:footnoteReference w:customMarkFollows="1" w:id="31"/>
      </w:r>
      <w:r>
        <w:rPr>
          <w:rFonts w:ascii="Times New Roman" w:hAnsi="Times New Roman" w:cs="B Mitra" w:eastAsia="Times New Roman"/>
          <w:sz w:val="26"/>
          <w:szCs w:val="26"/>
          <w:vertAlign w:val="superscript"/>
          <w:lang w:val="en-US" w:bidi="fa-IR"/>
        </w:rPr>
        <w:t>۳۱</w:t>
      </w:r>
      <w:r>
        <w:rPr>
          <w:rFonts w:ascii="Times New Roman" w:hAnsi="Times New Roman" w:cs="B Mitra" w:eastAsia="Times New Roman"/>
          <w:sz w:val="26"/>
          <w:szCs w:val="26"/>
          <w:lang w:val="en-US" w:bidi="fa-IR"/>
        </w:rPr>
        <w:t xml:space="preserve">، ۲۰۰۶) </w:t>
      </w:r>
      <w:r>
        <w:rPr>
          <w:rFonts w:ascii="Times New Roman" w:hAnsi="Times New Roman" w:cs="B Mitra" w:eastAsia="Times New Roman"/>
          <w:sz w:val="26"/>
          <w:szCs w:val="26"/>
          <w:highlight w:val="yellow"/>
          <w:lang w:val="en-US" w:bidi="fa-IR"/>
        </w:rPr>
        <w:t xml:space="preserve">[تعداد خبرگان و ضرایب واقعی </w:t>
      </w:r>
      <w:r>
        <w:rPr>
          <w:rFonts w:ascii="Times New Roman" w:hAnsi="Times New Roman" w:cs="Times New Roman" w:eastAsia="Times New Roman"/>
          <w:sz w:val="22"/>
          <w:szCs w:val="22"/>
          <w:highlight w:val="yellow"/>
          <w:lang w:val="en-US" w:bidi="fa-IR"/>
        </w:rPr>
        <w:t xml:space="preserve">CVR</w:t>
      </w:r>
      <w:r>
        <w:rPr>
          <w:rFonts w:ascii="Times New Roman" w:hAnsi="Times New Roman" w:cs="B Mitra" w:eastAsia="Times New Roman"/>
          <w:sz w:val="26"/>
          <w:szCs w:val="26"/>
          <w:highlight w:val="yellow"/>
          <w:lang w:val="en-US" w:bidi="fa-IR"/>
        </w:rPr>
        <w:t xml:space="preserve"> و </w:t>
      </w:r>
      <w:r>
        <w:rPr>
          <w:rFonts w:ascii="Times New Roman" w:hAnsi="Times New Roman" w:cs="Times New Roman" w:eastAsia="Times New Roman"/>
          <w:sz w:val="22"/>
          <w:szCs w:val="22"/>
          <w:highlight w:val="yellow"/>
          <w:lang w:val="en-US" w:bidi="fa-IR"/>
        </w:rPr>
        <w:t xml:space="preserve">CVI</w:t>
      </w:r>
      <w:r>
        <w:rPr>
          <w:rFonts w:ascii="Times New Roman" w:hAnsi="Times New Roman" w:cs="B Mitra" w:eastAsia="Times New Roman"/>
          <w:sz w:val="26"/>
          <w:szCs w:val="26"/>
          <w:highlight w:val="yellow"/>
          <w:lang w:val="en-US" w:bidi="fa-IR"/>
        </w:rPr>
        <w:t xml:space="preserve"> را درج کنید]</w:t>
      </w:r>
      <w:r>
        <w:rPr>
          <w:rFonts w:ascii="Times New Roman" w:hAnsi="Times New Roman" w:cs="B Mitra" w:eastAsia="Times New Roman"/>
          <w:sz w:val="26"/>
          <w:szCs w:val="26"/>
          <w:lang w:val="en-US" w:bidi="fa-IR"/>
        </w:rPr>
        <w:t xml:space="preserve"> ارزیابی شد. بررسی روایی سازه با تحلیل عاملی تأییدی، پایایی ترکیبی و میانگین واریانس استخراج‌شده (فورنل و لارکر</w:t>
      </w:r>
      <w:r>
        <w:rPr>
          <w:rStyle w:val="FootnoteReference"/>
          <w:rFonts w:ascii="Times New Roman" w:hAnsi="Times New Roman" w:cs="B Mitra" w:eastAsia="Times New Roman"/>
          <w:sz w:val="26"/>
          <w:szCs w:val="26"/>
          <w:vertAlign w:val="superscript"/>
          <w:lang w:val="en-US" w:bidi="fa-IR"/>
        </w:rPr>
        <w:footnoteReference w:customMarkFollows="1" w:id="32"/>
      </w:r>
      <w:r>
        <w:rPr>
          <w:rFonts w:ascii="Times New Roman" w:hAnsi="Times New Roman" w:cs="B Mitra" w:eastAsia="Times New Roman"/>
          <w:sz w:val="26"/>
          <w:szCs w:val="26"/>
          <w:vertAlign w:val="superscript"/>
          <w:lang w:val="en-US" w:bidi="fa-IR"/>
        </w:rPr>
        <w:t>۳۲</w:t>
      </w:r>
      <w:r>
        <w:rPr>
          <w:rFonts w:ascii="Times New Roman" w:hAnsi="Times New Roman" w:cs="B Mitra" w:eastAsia="Times New Roman"/>
          <w:sz w:val="26"/>
          <w:szCs w:val="26"/>
          <w:lang w:val="en-US" w:bidi="fa-IR"/>
        </w:rPr>
        <w:t xml:space="preserve">، ۱۹۸۱) و شاخص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(هنسلر، رینگل و سارستدت</w:t>
      </w:r>
      <w:r>
        <w:rPr>
          <w:rStyle w:val="FootnoteReference"/>
          <w:rFonts w:ascii="Times New Roman" w:hAnsi="Times New Roman" w:cs="B Mitra" w:eastAsia="Times New Roman"/>
          <w:sz w:val="26"/>
          <w:szCs w:val="26"/>
          <w:vertAlign w:val="superscript"/>
          <w:lang w:val="en-US" w:bidi="fa-IR"/>
        </w:rPr>
        <w:footnoteReference w:customMarkFollows="1" w:id="33"/>
      </w:r>
      <w:r>
        <w:rPr>
          <w:rFonts w:ascii="Times New Roman" w:hAnsi="Times New Roman" w:cs="B Mitra" w:eastAsia="Times New Roman"/>
          <w:sz w:val="26"/>
          <w:szCs w:val="26"/>
          <w:vertAlign w:val="superscript"/>
          <w:lang w:val="en-US" w:bidi="fa-IR"/>
        </w:rPr>
        <w:t>۳۳</w:t>
      </w:r>
      <w:r>
        <w:rPr>
          <w:rFonts w:ascii="Times New Roman" w:hAnsi="Times New Roman" w:cs="B Mitra" w:eastAsia="Times New Roman"/>
          <w:sz w:val="26"/>
          <w:szCs w:val="26"/>
          <w:lang w:val="en-US" w:bidi="fa-IR"/>
        </w:rPr>
        <w:t xml:space="preserve">، ۲۰۱۵) انجام گرفت و سوگیری روش مشترک با آزمون تک‌عاملی هارمن، مدل یک‌عاملی و مدل عامل مشترک پنهان بررسی شد (پوداساکف و همکاران</w:t>
      </w:r>
      <w:r>
        <w:rPr>
          <w:rStyle w:val="FootnoteReference"/>
          <w:rFonts w:ascii="Times New Roman" w:hAnsi="Times New Roman" w:cs="B Mitra" w:eastAsia="Times New Roman"/>
          <w:sz w:val="26"/>
          <w:szCs w:val="26"/>
          <w:vertAlign w:val="superscript"/>
          <w:lang w:val="en-US" w:bidi="fa-IR"/>
        </w:rPr>
        <w:footnoteReference w:customMarkFollows="1" w:id="34"/>
      </w:r>
      <w:r>
        <w:rPr>
          <w:rFonts w:ascii="Times New Roman" w:hAnsi="Times New Roman" w:cs="B Mitra" w:eastAsia="Times New Roman"/>
          <w:sz w:val="26"/>
          <w:szCs w:val="26"/>
          <w:vertAlign w:val="superscript"/>
          <w:lang w:val="en-US" w:bidi="fa-IR"/>
        </w:rPr>
        <w:t>۳۴</w:t>
      </w:r>
      <w:r>
        <w:rPr>
          <w:rFonts w:ascii="Times New Roman" w:hAnsi="Times New Roman" w:cs="B Mitra" w:eastAsia="Times New Roman"/>
          <w:sz w:val="26"/>
          <w:szCs w:val="26"/>
          <w:lang w:val="en-US" w:bidi="fa-IR"/>
        </w:rPr>
        <w:t xml:space="preserve">، ۲۰۰۳).</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۱. سازه‌ها، تعداد گویه، منشأ مقیاس و منابع اصلی</w:t>
      </w:r>
    </w:p>
    <w:tbl>
      <w:tblPr>
        <w:bidiVisual/>
        <w:tblW w:w="6800" w:type="dxa"/>
        <w:jc w:val="center"/>
        <w:tblLayout w:type="fixed"/>
        <w:tblCellMar>
          <w:left w:w="60" w:type="dxa"/>
          <w:right w:w="60" w:type="dxa"/>
        </w:tblCellMar>
      </w:tblPr>
      <w:tblGrid>
        <w:gridCol w:w="600"/>
        <w:gridCol w:w="1900"/>
        <w:gridCol w:w="500"/>
        <w:gridCol w:w="1800"/>
        <w:gridCol w:w="20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نماد</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منشأ</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منابع</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COE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NOR</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MIM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SUB</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پولیت (۲۰۱۷)؛ موینیهان (۲۰۰۸)</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SYM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مایر (۱۹۷۷)؛ برومیلی (۲۰۱۲)</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DIG</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دلون (۲۰۰۳)؛ دان‌لیوی (۲۰۰۶)</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USE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موینیهان (۲۰۱۰)؛ کرول (۲۰۱۵)</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ACC</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بوونس (۲۰۰۷)؛ براچی (۲۰۱۵)</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تحلیل داده با مدل‌سازی معادلات ساختاری مبتنی بر کوواریانس به روش حداکثر درست‌نمایی در بستهٔ </w:t>
      </w:r>
      <w:r>
        <w:rPr>
          <w:rFonts w:ascii="Times New Roman" w:hAnsi="Times New Roman" w:cs="Times New Roman" w:eastAsia="Times New Roman"/>
          <w:sz w:val="22"/>
          <w:szCs w:val="22"/>
          <w:lang w:val="en-US" w:bidi="fa-IR"/>
        </w:rPr>
        <w:t xml:space="preserve">semopy</w:t>
      </w:r>
      <w:r>
        <w:rPr>
          <w:rFonts w:ascii="Times New Roman" w:hAnsi="Times New Roman" w:cs="B Mitra" w:eastAsia="Times New Roman"/>
          <w:sz w:val="26"/>
          <w:szCs w:val="26"/>
          <w:lang w:val="en-US" w:bidi="fa-IR"/>
        </w:rPr>
        <w:t xml:space="preserve"> (ایگولکینا و مشچریاکوف</w:t>
      </w:r>
      <w:r>
        <w:rPr>
          <w:rStyle w:val="FootnoteReference"/>
          <w:rFonts w:ascii="Times New Roman" w:hAnsi="Times New Roman" w:cs="B Mitra" w:eastAsia="Times New Roman"/>
          <w:sz w:val="26"/>
          <w:szCs w:val="26"/>
          <w:vertAlign w:val="superscript"/>
          <w:lang w:val="en-US" w:bidi="fa-IR"/>
        </w:rPr>
        <w:footnoteReference w:customMarkFollows="1" w:id="35"/>
      </w:r>
      <w:r>
        <w:rPr>
          <w:rFonts w:ascii="Times New Roman" w:hAnsi="Times New Roman" w:cs="B Mitra" w:eastAsia="Times New Roman"/>
          <w:sz w:val="26"/>
          <w:szCs w:val="26"/>
          <w:vertAlign w:val="superscript"/>
          <w:lang w:val="en-US" w:bidi="fa-IR"/>
        </w:rPr>
        <w:t>۳۵</w:t>
      </w:r>
      <w:r>
        <w:rPr>
          <w:rFonts w:ascii="Times New Roman" w:hAnsi="Times New Roman" w:cs="B Mitra" w:eastAsia="Times New Roman"/>
          <w:sz w:val="26"/>
          <w:szCs w:val="26"/>
          <w:lang w:val="en-US" w:bidi="fa-IR"/>
        </w:rPr>
        <w:t xml:space="preserve">، ۲۰۲۰) انجام شد. در هیچ مرحله‌ای از میانگین یا مجموع گویه‌ها استفاده نشد و هر گویه تنها نشانگر متغیر پنهان خود بود. دو تعامل پنهان (بلوغ نظام اطلاعاتی × اجرای ماهوی و بلوغ نظام اطلاعاتی × فشار الزامی) با شاخص‌های حاصل‌ضرب جفت‌شده (مارش، ون و هائو</w:t>
      </w:r>
      <w:r>
        <w:rPr>
          <w:rStyle w:val="FootnoteReference"/>
          <w:rFonts w:ascii="Times New Roman" w:hAnsi="Times New Roman" w:cs="B Mitra" w:eastAsia="Times New Roman"/>
          <w:sz w:val="26"/>
          <w:szCs w:val="26"/>
          <w:vertAlign w:val="superscript"/>
          <w:lang w:val="en-US" w:bidi="fa-IR"/>
        </w:rPr>
        <w:footnoteReference w:customMarkFollows="1" w:id="36"/>
      </w:r>
      <w:r>
        <w:rPr>
          <w:rFonts w:ascii="Times New Roman" w:hAnsi="Times New Roman" w:cs="B Mitra" w:eastAsia="Times New Roman"/>
          <w:sz w:val="26"/>
          <w:szCs w:val="26"/>
          <w:vertAlign w:val="superscript"/>
          <w:lang w:val="en-US" w:bidi="fa-IR"/>
        </w:rPr>
        <w:t>۳۶</w:t>
      </w:r>
      <w:r>
        <w:rPr>
          <w:rFonts w:ascii="Times New Roman" w:hAnsi="Times New Roman" w:cs="B Mitra" w:eastAsia="Times New Roman"/>
          <w:sz w:val="26"/>
          <w:szCs w:val="26"/>
          <w:lang w:val="en-US" w:bidi="fa-IR"/>
        </w:rPr>
        <w:t xml:space="preserve">، ۲۰۰۴) ساخته و با شاخص‌های باقی‌مانده‌مرکزشده (لیتل، بووایرد و ویدمن</w:t>
      </w:r>
      <w:r>
        <w:rPr>
          <w:rStyle w:val="FootnoteReference"/>
          <w:rFonts w:ascii="Times New Roman" w:hAnsi="Times New Roman" w:cs="B Mitra" w:eastAsia="Times New Roman"/>
          <w:sz w:val="26"/>
          <w:szCs w:val="26"/>
          <w:vertAlign w:val="superscript"/>
          <w:lang w:val="en-US" w:bidi="fa-IR"/>
        </w:rPr>
        <w:footnoteReference w:customMarkFollows="1" w:id="37"/>
      </w:r>
      <w:r>
        <w:rPr>
          <w:rFonts w:ascii="Times New Roman" w:hAnsi="Times New Roman" w:cs="B Mitra" w:eastAsia="Times New Roman"/>
          <w:sz w:val="26"/>
          <w:szCs w:val="26"/>
          <w:vertAlign w:val="superscript"/>
          <w:lang w:val="en-US" w:bidi="fa-IR"/>
        </w:rPr>
        <w:t>۳۷</w:t>
      </w:r>
      <w:r>
        <w:rPr>
          <w:rFonts w:ascii="Times New Roman" w:hAnsi="Times New Roman" w:cs="B Mitra" w:eastAsia="Times New Roman"/>
          <w:sz w:val="26"/>
          <w:szCs w:val="26"/>
          <w:lang w:val="en-US" w:bidi="fa-IR"/>
        </w:rPr>
        <w:t xml:space="preserve">، ۲۰۰۶) بازبینی شدند. برازش مدل با شاخص‌های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و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 ۰٫۹۵)،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 ۰٫۰۶)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 ۰٫۰۸) (هو و بنتلر</w:t>
      </w:r>
      <w:r>
        <w:rPr>
          <w:rStyle w:val="FootnoteReference"/>
          <w:rFonts w:ascii="Times New Roman" w:hAnsi="Times New Roman" w:cs="B Mitra" w:eastAsia="Times New Roman"/>
          <w:sz w:val="26"/>
          <w:szCs w:val="26"/>
          <w:vertAlign w:val="superscript"/>
          <w:lang w:val="en-US" w:bidi="fa-IR"/>
        </w:rPr>
        <w:footnoteReference w:customMarkFollows="1" w:id="38"/>
      </w:r>
      <w:r>
        <w:rPr>
          <w:rFonts w:ascii="Times New Roman" w:hAnsi="Times New Roman" w:cs="B Mitra" w:eastAsia="Times New Roman"/>
          <w:sz w:val="26"/>
          <w:szCs w:val="26"/>
          <w:vertAlign w:val="superscript"/>
          <w:lang w:val="en-US" w:bidi="fa-IR"/>
        </w:rPr>
        <w:t>۳۸</w:t>
      </w:r>
      <w:r>
        <w:rPr>
          <w:rFonts w:ascii="Times New Roman" w:hAnsi="Times New Roman" w:cs="B Mitra" w:eastAsia="Times New Roman"/>
          <w:sz w:val="26"/>
          <w:szCs w:val="26"/>
          <w:lang w:val="en-US" w:bidi="fa-IR"/>
        </w:rPr>
        <w:t xml:space="preserve">، ۱۹۹۹) سنجیده شد. اثرهای غیرمستقیم و غیرمستقیم شرطی با ۲٬۰۰۰ نمونهٔ بوت‌استرپ و فاصلهٔ اطمینان صدکی (پریچر و هیز</w:t>
      </w:r>
      <w:r>
        <w:rPr>
          <w:rStyle w:val="FootnoteReference"/>
          <w:rFonts w:ascii="Times New Roman" w:hAnsi="Times New Roman" w:cs="B Mitra" w:eastAsia="Times New Roman"/>
          <w:sz w:val="26"/>
          <w:szCs w:val="26"/>
          <w:vertAlign w:val="superscript"/>
          <w:lang w:val="en-US" w:bidi="fa-IR"/>
        </w:rPr>
        <w:footnoteReference w:customMarkFollows="1" w:id="39"/>
      </w:r>
      <w:r>
        <w:rPr>
          <w:rFonts w:ascii="Times New Roman" w:hAnsi="Times New Roman" w:cs="B Mitra" w:eastAsia="Times New Roman"/>
          <w:sz w:val="26"/>
          <w:szCs w:val="26"/>
          <w:vertAlign w:val="superscript"/>
          <w:lang w:val="en-US" w:bidi="fa-IR"/>
        </w:rPr>
        <w:t>۳۹</w:t>
      </w:r>
      <w:r>
        <w:rPr>
          <w:rFonts w:ascii="Times New Roman" w:hAnsi="Times New Roman" w:cs="B Mitra" w:eastAsia="Times New Roman"/>
          <w:sz w:val="26"/>
          <w:szCs w:val="26"/>
          <w:lang w:val="en-US" w:bidi="fa-IR"/>
        </w:rPr>
        <w:t xml:space="preserve">، ۲۰۰۸) و شاخص میانجی‌گری تعدیل‌شده (هیز</w:t>
      </w:r>
      <w:r>
        <w:rPr>
          <w:rStyle w:val="FootnoteReference"/>
          <w:rFonts w:ascii="Times New Roman" w:hAnsi="Times New Roman" w:cs="B Mitra" w:eastAsia="Times New Roman"/>
          <w:sz w:val="26"/>
          <w:szCs w:val="26"/>
          <w:vertAlign w:val="superscript"/>
          <w:lang w:val="en-US" w:bidi="fa-IR"/>
        </w:rPr>
        <w:footnoteReference w:customMarkFollows="1" w:id="40"/>
      </w:r>
      <w:r>
        <w:rPr>
          <w:rFonts w:ascii="Times New Roman" w:hAnsi="Times New Roman" w:cs="B Mitra" w:eastAsia="Times New Roman"/>
          <w:sz w:val="26"/>
          <w:szCs w:val="26"/>
          <w:vertAlign w:val="superscript"/>
          <w:lang w:val="en-US" w:bidi="fa-IR"/>
        </w:rPr>
        <w:t>۴۰</w:t>
      </w:r>
      <w:r>
        <w:rPr>
          <w:rFonts w:ascii="Times New Roman" w:hAnsi="Times New Roman" w:cs="B Mitra" w:eastAsia="Times New Roman"/>
          <w:sz w:val="26"/>
          <w:szCs w:val="26"/>
          <w:lang w:val="en-US" w:bidi="fa-IR"/>
        </w:rPr>
        <w:t xml:space="preserve">، ۲۰۱۵) برآورد گردید. ضریب تعیین متغیرهای پنهان برابر یک منهای واریانس باقی‌مانده استاندارد است و اندازهٔ اثر تعامل از تغییر ضریب تعیین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به‌دست آمد. پنج ساختار رقیب با آزمون تفاضل کای‌دو و شاخص‌های برازش مقایسه شد.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یافته‌های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چولگی گویه‌ها بین ⁦−۰٫۶۲⁩ و ۰٫۴۰ و کشیدگی بین ⁦−۰٫۸۱⁩ و ⁦−۰٫۱۴⁩ بود که در دامنهٔ پذیرفتنی قرار دارد؛ شاخص کشیدگی چندمتغیرهٔ مردیا (۱۲۱۱ در برابر مقدار مورد انتظار ۱۲۲۴) انحراف اندکی از نرمال بودن چندمتغیره نشان داد و برای اطمینان، برآورد وزن‌دار حداقل مربعات قطری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نیز گزارش می‌شود.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اندازه‌گیری هشت‌عاملی برازش مطلوبی داشت: χ² برابر ۵۴۸٫۱ با ۴۹۹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۰٫۰۶۳؛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۰٫۹۹۰،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۰٫۹۸۹،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۰٫۰۱۷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۰٫۰۴۰. همهٔ بارهای عاملی استاندارد در دامنهٔ ۰٫۶۲ تا ۰٫۸۴ بودند. پایایی ترکیبی از ۰٫۸۱ تا ۰٫۸۷ و میانگین واریانس استخراج‌شده از ۰٫۵۱ تا ۰٫۶۰ متغیر بود (جدول ۲). بیشینهٔ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برابر ۰٫۵۲ و کمتر از ۰٫۸۵ بود و جذر </w:t>
      </w:r>
      <w:r>
        <w:rPr>
          <w:rFonts w:ascii="Times New Roman" w:hAnsi="Times New Roman" w:cs="Times New Roman" w:eastAsia="Times New Roman"/>
          <w:sz w:val="22"/>
          <w:szCs w:val="22"/>
          <w:lang w:val="en-US" w:bidi="fa-IR"/>
        </w:rPr>
        <w:t xml:space="preserve">AVE</w:t>
      </w:r>
      <w:r>
        <w:rPr>
          <w:rFonts w:ascii="Times New Roman" w:hAnsi="Times New Roman" w:cs="B Mitra" w:eastAsia="Times New Roman"/>
          <w:sz w:val="26"/>
          <w:szCs w:val="26"/>
          <w:lang w:val="en-US" w:bidi="fa-IR"/>
        </w:rPr>
        <w:t xml:space="preserve"> هر سازه از همبستگی‌های آن با سازه‌های دیگر بیشتر بود. نخستین عامل هارمن ۲۰٫۵ درصد واریانس را تبیین کرد؛ مدل تک‌عاملی برازش ضعیفی داشت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۰٫۳۳) و افزودن عامل مشترک پنهان تنها تغییر اندکی در برازش پدید آورد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۰٫۹۹۹؛ واریانس مشترک ۲۰ درصد). عامل تورم واریانس پنهان در همهٔ معادله‌ها کمتر از ۱٫۳۰ بود.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۲. پایایی و روایی همگرا</w:t>
      </w:r>
    </w:p>
    <w:tbl>
      <w:tblPr>
        <w:bidiVisual/>
        <w:tblW w:w="6800" w:type="dxa"/>
        <w:jc w:val="center"/>
        <w:tblLayout w:type="fixed"/>
        <w:tblCellMar>
          <w:left w:w="60" w:type="dxa"/>
          <w:right w:w="60" w:type="dxa"/>
        </w:tblCellMar>
      </w:tblPr>
      <w:tblGrid>
        <w:gridCol w:w="2500"/>
        <w:gridCol w:w="600"/>
        <w:gridCol w:w="800"/>
        <w:gridCol w:w="800"/>
        <w:gridCol w:w="800"/>
        <w:gridCol w:w="13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AVE</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بارها</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 (</w:t>
            </w:r>
            <w:r>
              <w:rPr>
                <w:rFonts w:ascii="Times New Roman" w:hAnsi="Times New Roman" w:cs="Times New Roman" w:eastAsia="Times New Roman"/>
                <w:sz w:val="16"/>
                <w:szCs w:val="16"/>
                <w:lang w:val="en-US" w:bidi="fa-IR"/>
              </w:rPr>
              <w:t xml:space="preserve">COE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۰٫۶۰</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۰٫۷۱–۰٫۸۴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 (</w:t>
            </w:r>
            <w:r>
              <w:rPr>
                <w:rFonts w:ascii="Times New Roman" w:hAnsi="Times New Roman" w:cs="Times New Roman" w:eastAsia="Times New Roman"/>
                <w:sz w:val="16"/>
                <w:szCs w:val="16"/>
                <w:lang w:val="en-US" w:bidi="fa-IR"/>
              </w:rPr>
              <w:t xml:space="preserve">NOR</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۰٫۶۲–۰٫۸۱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 (</w:t>
            </w:r>
            <w:r>
              <w:rPr>
                <w:rFonts w:ascii="Times New Roman" w:hAnsi="Times New Roman" w:cs="Times New Roman" w:eastAsia="Times New Roman"/>
                <w:sz w:val="16"/>
                <w:szCs w:val="16"/>
                <w:lang w:val="en-US" w:bidi="fa-IR"/>
              </w:rPr>
              <w:t xml:space="preserve">MIM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۰٫۸۰</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۰٫۸۱</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۰٫۵۱</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۰٫۶۶–۰٫۷۷</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 (</w:t>
            </w:r>
            <w:r>
              <w:rPr>
                <w:rFonts w:ascii="Times New Roman" w:hAnsi="Times New Roman" w:cs="Times New Roman" w:eastAsia="Times New Roman"/>
                <w:sz w:val="16"/>
                <w:szCs w:val="16"/>
                <w:lang w:val="en-US" w:bidi="fa-IR"/>
              </w:rPr>
              <w:t xml:space="preserve">SUB</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۰٫۶۵–۰٫۸۱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 (</w:t>
            </w:r>
            <w:r>
              <w:rPr>
                <w:rFonts w:ascii="Times New Roman" w:hAnsi="Times New Roman" w:cs="Times New Roman" w:eastAsia="Times New Roman"/>
                <w:sz w:val="16"/>
                <w:szCs w:val="16"/>
                <w:lang w:val="en-US" w:bidi="fa-IR"/>
              </w:rPr>
              <w:t xml:space="preserve">SYM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۰٫۶۷–۰٫۸۴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 (</w:t>
            </w:r>
            <w:r>
              <w:rPr>
                <w:rFonts w:ascii="Times New Roman" w:hAnsi="Times New Roman" w:cs="Times New Roman" w:eastAsia="Times New Roman"/>
                <w:sz w:val="16"/>
                <w:szCs w:val="16"/>
                <w:lang w:val="en-US" w:bidi="fa-IR"/>
              </w:rPr>
              <w:t xml:space="preserve">DIG</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۰٫۵۵</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۰٫۶۳–۰٫۸۳</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 (</w:t>
            </w:r>
            <w:r>
              <w:rPr>
                <w:rFonts w:ascii="Times New Roman" w:hAnsi="Times New Roman" w:cs="Times New Roman" w:eastAsia="Times New Roman"/>
                <w:sz w:val="16"/>
                <w:szCs w:val="16"/>
                <w:lang w:val="en-US" w:bidi="fa-IR"/>
              </w:rPr>
              <w:t xml:space="preserve">USE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۰٫۶۹–۰٫۸۲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 (</w:t>
            </w:r>
            <w:r>
              <w:rPr>
                <w:rFonts w:ascii="Times New Roman" w:hAnsi="Times New Roman" w:cs="Times New Roman" w:eastAsia="Times New Roman"/>
                <w:sz w:val="16"/>
                <w:szCs w:val="16"/>
                <w:lang w:val="en-US" w:bidi="fa-IR"/>
              </w:rPr>
              <w:t xml:space="preserve">ACC</w:t>
            </w:r>
            <w:r>
              <w:rPr>
                <w:rFonts w:ascii="Times New Roman" w:hAnsi="Times New Roman" w:cs="B Mitra" w:eastAsia="Times New Roman"/>
                <w:sz w:val="20"/>
                <w:szCs w:val="20"/>
                <w:lang w:val="en-US" w:bidi="fa-IR"/>
              </w:rPr>
              <w:t xml:space="preserve">)</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۰٫۷۳–۰٫۸۰</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ساختاری برازش مناسبی داشت: χ² برابر ۹۲۱٫۰ با ۸۳۰ درجهٔ آزادی،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۰٫۹۸۴،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۰٫۹۸۲،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۰٫۰۱۸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۰٫۰۴۳. جدول ۳ و شکل ۲ برآوردها را نشان می‌دهند.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۳. برآورد مسیرهای ساختاری</w:t>
      </w:r>
    </w:p>
    <w:tbl>
      <w:tblPr>
        <w:bidiVisual/>
        <w:tblW w:w="6800" w:type="dxa"/>
        <w:jc w:val="center"/>
        <w:tblLayout w:type="fixed"/>
        <w:tblCellMar>
          <w:left w:w="60" w:type="dxa"/>
          <w:right w:w="60" w:type="dxa"/>
        </w:tblCellMar>
      </w:tblPr>
      <w:tblGrid>
        <w:gridCol w:w="800"/>
        <w:gridCol w:w="2400"/>
        <w:gridCol w:w="650"/>
        <w:gridCol w:w="600"/>
        <w:gridCol w:w="650"/>
        <w:gridCol w:w="800"/>
        <w:gridCol w:w="900"/>
      </w:tblGrid>
      <w:tr>
        <w:trPr>
          <w:tblHeader/>
        </w:trPr>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فرض</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SE</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β</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نتیجه</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۰٫۳۱</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۳</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۶</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۷</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۸</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۹</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۰٫۰۰۵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۱۰</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اجرای 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۰٫۰۱۳</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۰٫۲۴۵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۰٫۵۴۲</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⁦−۰٫۲۹⁩</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سودمندی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bl>
    <w:p>
      <w:pPr>
        <w:bidi/>
        <w:spacing w:before="0" w:after="100" w:line="240" w:lineRule="auto"/>
        <w:ind w:firstLine="360"/>
        <w:jc w:val="both"/>
      </w:pPr>
    </w:p>
    <w:p>
      <w:pPr>
        <w:keepNext/>
        <w:jc w:val="center"/>
      </w:pPr>
      <w:r>
        <w:drawing>
          <wp:inline distT="0" distB="0" distL="0" distR="0">
            <wp:extent cx="4248000" cy="2507855"/>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۲. مدل برآوردشده (ضرایب استاندارد؛ ∗ معنادار در سطح ۰٫۰۵، ∗∗ سطح ۰٫۰۱، ∗∗∗ سطح ۰٫۰۰۱)</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فشار الزامی هم اجرای ماهوی (β برابر ۰٫۳۲،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هم انطباق نمادین (β برابر ۰٫۳۸،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را افزایش داد و فرضیه‌های ۱ و ۲ تأیید شدند. فشار هنجاری اجرای ماهوی را تقویت (β برابر ۰٫۳۷،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که فرضیه‌های ۳ و ۴ را تأیید می‌کند. فشار تقلیدی انطباق نمادین را افزایش داد (β برابر ۰٫۳۳،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۵) اما اثر معناداری بر اجرای ماهوی نداشت (β برابر ۰٫۰۷،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۰٫۲۴۵) که با تعبیر قالب‌گرایی سازگار است. اجرای ماهوی سودمندی اطلاعات را بالا برد (β برابر ۰٫۳۵،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آن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فرضیه‌های ۶ و ۷ تأیید شدند. اجرای ماهوی (β برابر ۰٫۲۸،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سودمندی اطلاعات (β برابر ۰٫۳۶،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پاسخگویی مالی را افزایش و انطباق نمادین آن را کاهش داد (β برابر ⁦⁦−۰⁩٫۱۷⁩،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۰٫۰۰۵)؛ فرضیه‌های ۸ تا ۱۰ تأیید شدند.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بلوغ نظام اطلاعاتی اثر اجرای ماهوی بر سودمندی اطلاعات را تقویت (β برابر ۰٫۱۶،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۰٫۰۱۳؛ فرضیهٔ ۱۱) و اثر فشار الزامی بر انطباق نمادین را تضعیف کرد (β برابر ⁦⁦−۰⁩٫۲۵⁩،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۱۲). اندازهٔ اثر تعامل‌ها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۰٫۱۰۳ برای انطباق نمادین و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۰٫۰۳۵ برای سودمندی اطلاعات بود. ضرایب تعیین برای اجرای ماهوی ۰٫۳۴، انطباق نمادین ۰٫۳۹، سودمندی اطلاعات ۰٫۳۲ و پاسخگویی مالی ۰٫۳۳ به‌دست آمد.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۴. اثرهای غیرمستقیم شرطی فشارهای نهادی بر پاسخگویی مالی (فاصلهٔ اطمینان ۹۵ درصد بوت‌استرپ)</w:t>
      </w:r>
    </w:p>
    <w:tbl>
      <w:tblPr>
        <w:bidiVisual/>
        <w:tblW w:w="6750" w:type="dxa"/>
        <w:jc w:val="center"/>
        <w:tblLayout w:type="fixed"/>
        <w:tblCellMar>
          <w:left w:w="60" w:type="dxa"/>
          <w:right w:w="60" w:type="dxa"/>
        </w:tblCellMar>
      </w:tblPr>
      <w:tblGrid>
        <w:gridCol w:w="2300"/>
        <w:gridCol w:w="1550"/>
        <w:gridCol w:w="1350"/>
        <w:gridCol w:w="1550"/>
      </w:tblGrid>
      <w:tr>
        <w:trPr>
          <w:tblHeader/>
        </w:trPr>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بلوغ: یک انحراف معیار پایین‌تر</w:t>
            </w:r>
          </w:p>
        </w:tc>
        <w:tc>
          <w:tcPr>
            <w:tcW w:w="13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میانگین</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یک انحراف معیار بالاتر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[۰٫۰۵, ۰٫۱۷]⁩</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⁦۰٫۱۲ [۰٫۰۷, ۰٫۱۹]⁩</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⁦۰٫۱۴ [۰٫۰۸, ۰٫۲۲]⁩</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[⁦−۰٫۲۴⁩,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[⁦−۰٫۱۴⁩, ⁦−۰٫۰۵⁩]⁩</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[⁦−۰٫۰۷⁩, ۰٫۰۱]⁩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 [⁦−۰٫۱۵⁩, ۰٫۰۵]⁩</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[⁦−۰٫۰۴⁩, ۰٫۱۱]⁩</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[۰٫۰۴, ۰٫۲۰]⁩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⁦۰٫۱۳ [۰٫۰۷, ۰٫۲۱]⁩</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[۰٫۰۹, ۰٫۲۳]⁩</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 [۰٫۱۱, ۰٫۲۵]⁩</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⁦۰٫۱۹ [۰٫۱۱, ۰٫۲۸]⁩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⁦۰٫۲۱ [۰٫۱۳, ۰٫۳۰]⁩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 [۰٫۱۵, ۰٫۳۳]⁩</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۰٫۰۹]⁩</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r>
      <w:tr>
        <w:trPr>
          <w:cantSplit/>
        </w:trPr>
        <w:tc>
          <w:tcPr>
            <w:tcW w:w="2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(اثر غیرمستقیم کل)</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[⁦−۰٫۱۳⁩, ۰٫۰۱]⁩</w:t>
            </w:r>
          </w:p>
        </w:tc>
        <w:tc>
          <w:tcPr>
            <w:tcW w:w="13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۰٫۰۲]⁩</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۰٫۰۳]⁩</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در سطح میانگین بلوغ، اثر غیرمستقیم فشار الزامی از مسیر اجرای ماهوی مثبت (⁦۰٫۱۲ [۰٫۰۷, ۰٫۱۹]⁩) و از مسیر انطباق نمادین منفی (⁦⁦−۰٫۰۹⁩ [⁦−۰٫۱۴⁩, ⁦−۰٫۰۵⁩]⁩) بود و دو اثر تا حد زیادی یکدیگر را خنثی کردند (اثر کل ⁦۰٫۰۳ [⁦−۰٫۰۴⁩, ۰٫۱۱]⁩). فشار هنجاری اثر کل مثبت و روشنی داشت (⁦۰٫۲۱ [۰٫۱۳, ۰٫۳۰]⁩) و فشار تقلیدی از مسیر انطباق نمادین اثر منفی داشت (⁦⁦−۰٫۰۹⁩ [⁦−۰٫۱۵⁩, ⁦−۰٫۰۴⁩]⁩) که اثر کل آن (⁦⁦−۰٫۰۵⁩ [⁦−۰٫۱۴⁩, ۰٫۰۲]⁩) از صفر متمایز نبود. فرضیهٔ ۱۳ تأیید شد. شاخص میانجی‌گری تعدیل‌شده برای بلوغ نظام اطلاعاتی در مسیر فشار الزامی ← انطباق نمادین ← پاسخگویی ⁦۰٫۰۶۱ [۰٫۰۲۴, ۰٫۱۱۶]⁩ و در مسیر اجرای ماهوی ← سودمندی ← پاسخگویی ⁦۰٫۰۵۲ [۰٫۰۰۷, ۰٫۱۱۷]⁩ بود؛ یعنی در نظام‌های بالغ‌تر، پیامد منفی الزام کمتر و پیامد مثبت اجرای ماهوی بیشتر است.</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۵. مقایسهٔ مدل پیشنهادی با ساختارهای رقیب</w:t>
      </w:r>
    </w:p>
    <w:tbl>
      <w:tblPr>
        <w:bidiVisual/>
        <w:tblW w:w="6900" w:type="dxa"/>
        <w:jc w:val="center"/>
        <w:tblLayout w:type="fixed"/>
        <w:tblCellMar>
          <w:left w:w="60" w:type="dxa"/>
          <w:right w:w="60" w:type="dxa"/>
        </w:tblCellMar>
      </w:tblPr>
      <w:tblGrid>
        <w:gridCol w:w="500"/>
        <w:gridCol w:w="2700"/>
        <w:gridCol w:w="600"/>
        <w:gridCol w:w="500"/>
        <w:gridCol w:w="650"/>
        <w:gridCol w:w="750"/>
        <w:gridCol w:w="600"/>
        <w:gridCol w:w="600"/>
      </w:tblGrid>
      <w:tr>
        <w:trPr>
          <w:tblHeader/>
        </w:trPr>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مدل</w:t>
            </w:r>
          </w:p>
        </w:tc>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ساختار</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χ²</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df</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CFI</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RMSEA</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AIC</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BIC</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۱</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مدل پیشنهادی (دو میانجی، سودمندی و دو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۹۲۱</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۸۳۰</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۲۲۷</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۶۶۹</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۲</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۹۴۴</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۲۲۲</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۶۵۸</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۳</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مسیر سودمندی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۹۵۰</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۰٫۹۷۹</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۰٫۰۲۱</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۴</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فقط اجرای ماهوی (بدون انطباق نمادین)</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۹۴۳</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۵</w:t>
            </w:r>
          </w:p>
        </w:tc>
        <w:tc>
          <w:tcPr>
            <w:tcW w:w="2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اثر مستقیم فشارها بر پاسخگویی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۹۱۹</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۸۲۷</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۲۳۳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۶۸۷</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پیشنهادی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۱) در مقایسه با مدل بدون تعدیل‌گری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۲؛ Δχ² برابر ۲۳٫۲ با ۲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&lt; ۰٫۰۰۱)، مدل بدون مسیر سودمندی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۳؛ Δχ² برابر ۲۹٫۲ با ۱ درجهٔ آزادی) و مدل فقط‑ماهوی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۴) برازش بهتری داشت. افزودن اثر مستقیم فشارها بر پاسخگویی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۵) برازش را به‌طور معناداری بهبود نداد (Δχ² برابر ۲٫۵ با ۳ درجهٔ آزادی) که با میانجی‌گری کامل سازگار است. مقادیر </w:t>
      </w:r>
      <w:r>
        <w:rPr>
          <w:rFonts w:ascii="Times New Roman" w:hAnsi="Times New Roman" w:cs="Times New Roman" w:eastAsia="Times New Roman"/>
          <w:sz w:val="22"/>
          <w:szCs w:val="22"/>
          <w:lang w:val="en-US" w:bidi="fa-IR"/>
        </w:rPr>
        <w:t xml:space="preserve">BIC</w:t>
      </w:r>
      <w:r>
        <w:rPr>
          <w:rFonts w:ascii="Times New Roman" w:hAnsi="Times New Roman" w:cs="B Mitra" w:eastAsia="Times New Roman"/>
          <w:sz w:val="26"/>
          <w:szCs w:val="26"/>
          <w:lang w:val="en-US" w:bidi="fa-IR"/>
        </w:rPr>
        <w:t xml:space="preserve"> گزارش‌شده خروجی بسته‌اند و تنها برای مقایسهٔ نسبی در همین جدول به‌کار می‌روند.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۶. استواری ضرایب استاندارد در برآوردها و زیرنمونه‌های جایگزین</w:t>
      </w:r>
    </w:p>
    <w:tbl>
      <w:tblPr>
        <w:bidiVisual/>
        <w:tblW w:w="6800" w:type="dxa"/>
        <w:jc w:val="center"/>
        <w:tblLayout w:type="fixed"/>
        <w:tblCellMar>
          <w:left w:w="60" w:type="dxa"/>
          <w:right w:w="60" w:type="dxa"/>
        </w:tblCellMar>
      </w:tblPr>
      <w:tblGrid>
        <w:gridCol w:w="1700"/>
        <w:gridCol w:w="650"/>
        <w:gridCol w:w="650"/>
        <w:gridCol w:w="1050"/>
        <w:gridCol w:w="1050"/>
        <w:gridCol w:w="800"/>
        <w:gridCol w:w="900"/>
      </w:tblGrid>
      <w:tr>
        <w:trPr>
          <w:tblHeader/>
        </w:trPr>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مبنا</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DWLS</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باقی‌مانده‌مرکزشده</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بازمشخص‌شده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حذف ۵ درصد</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باسابقه (۱۰ سال و بیشتر)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۰٫۴۳</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تقلیدی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نمادین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r>
      <w:tr>
        <w:trPr>
          <w:cantSplit/>
        </w:trPr>
        <w:tc>
          <w:tcPr>
            <w:tcW w:w="1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سودمندی ← پاسخگویی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نتایج در برآورد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در مدل با شاخص‌های باقی‌مانده‌مرکزشده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۰٫۹۹۷)، در مدل با افزودن چهار بزرگ‌ترین همبستگی خطای درون‌سازه‌ای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۰٫۹۸۷)، پس از حذف ۱۷ مشاهدهٔ دورافتادهٔ چندمتغیره و در زیرنمونهٔ ۲۳۳ نفرهٔ دارای ده سال سابقه یا بیشتر از نظر جهت و اندازه پایدار ماند (جدول ۶).</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نتیجه‌گیری و پیشنهادها</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نشان داد فشار نهادی یک «علت واحد» با پیامد واحد نیست. فشار الزامی دو چهره دارد: هم اجرای ماهوی را بر می‌انگیزد و هم انطباق نمادین را؛ فشار هنجاری حرفه‌ای تنها اثر سازنده دارد و فشار تقلیدی بیشتر قالب‌گرایی می‌آفریند. این الگو با دیدگاه مایر و روان (مایر و روان، ۱۹۷۷) و با تمایز میان پاسخ‌های راهبردی سازمان‌ها (الیور، ۱۹۹۱) سازگار است و نشان می‌دهد برای پیش‌بینی اثر اصلاحات باید «نوع پاسخ سازمان» را مدل کرد. یافتهٔ دوم آن است که پیوند میان اجرا و پاسخگویی از راه سودمندی اطلاعات می‌گذرد؛ این با ادبیات استفاده از اطلاعات عملکرد (موینیهان و پاندی، ۲۰۱۰؛ کرول، ۲۰۱۵) هم‌خوان است و نشان می‌دهد صرف تولید گزارش تعهدی یا عملکردی پاسخگویی نمی‌آورد. یافتهٔ سوم نقش دوگانهٔ زیرساخت اطلاعاتی است: بلوغ نظام اطلاعاتی هم بازده اجرای ماهوی را افزایش و هم پیامد الزام را به‌سوی ثبت قابل‌راستی‌آزمایی هدایت می‌کند؛ این یافته مفهوم «ردپای اطلاعاتی» را به ادبیات حکمرانی دیجیتال (دان‌لیوی و همکاران، ۲۰۰۶) می‌افزاید.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از نظر نظری، پژوهش با سنجش هم‌زمان اجرای ماهوی و انطباق نمادین به‌عنوان دو پیامد متمایز، چارچوب نهادی را از «پذیرش یا رد» به «کیفیت پذیرش» گسترش داده است. از نظر روش، استفاده از مدل‌سازی کاملاً پنهان با تعامل پنهان و بوت‌استرپ، برخلاف شاخص‌های ترکیبی، خطای اندازه‌گیری را مهار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بر پایهٔ یافته‌ها پیشنهادهای زیر ارائه می‌شود: (۱) نهادهای سیاست‌گذار و نظارتی افزون بر الزام قانونی، بر ترویج هنجارهای حرفه‌ای از راه آموزش، گواهی‌های حرفه‌ای و جوامع تبادل تجربه سرمایه‌گذاری کنند، زیرا فشار هنجاری بالاترین اثر کل را بر پاسخگویی داشت؛ (۲) نظارت بر اصلاحات از «تحویل به‌موقع گزارش» به «استفاده از گزارش در تصمیم» (برای نمونه سنجش به‌کارگیری بهای تمام‌شده در تخصیص اعتبار) تغییر یابد تا انگیزهٔ انطباق نمادین کاهش یابد؛ (۳) سرمایه‌گذاری در یکپارچگی سامانه‌های مالی، دسترسی برخط و ردپای حسابرسی به‌عنوان بخشی از طرح اصلاح در نظر گرفته شود، نه کاری جدا از آن؛ (۴) از الگوبرداری صرف از دستگاه‌های همتا و قالب‌های آمادهٔ مشاوران بدون بومی‌سازی پرهیز شود؛ (۵) سنجه‌های عملکردی با مقایسهٔ تاریخی و استاندارد بیرونی تعیین شوند تا شاخص‌های سهل‌الوصول کاهش یابد.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محدودیت‌هایی دارد. ماهیت مقطعی و خوداظهاری پاسخ‌دهندگان استنتاج علّی را محدود می‌کند و ممکن است سوگیری مطلوبیت اجتماعی بر گویه‌های انطباق نمادین اثر گذاشته باشد؛ هرچند آزمون‌های سوگیری روش مشترک مشکل جدی نشان ندادند. مقیاس‌های اجرای ماهوی، انطباق نمادین و پاسخگویی تازه‌ساخته‌اند و باید در نمونه‌های دیگر و با ناوردایی اندازه‌گیری میان انواع دستگاه‌ها بازآزمایی شوند. پژوهش‌های آینده می‌توانند با داده‌های ترکیبی مدیر و ناظر، داده‌های عینی (مانند میزان انحراف بودجه یا نتایج حسابرسی عملکرد)، طرح‌های طولی و روش‌های ترکیبی، سازوکار را دقیق‌تر بیازمایند و نقش رهبری، ظرفیت انسانی و فرهنگ سازمانی را در مدل بگنجانند.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منابع</w:t>
      </w:r>
    </w:p>
    <w:p>
      <w:pPr>
        <w:bidi/>
        <w:spacing w:before="0" w:after="40" w:line="240" w:lineRule="auto"/>
        <w:jc w:val="left"/>
      </w:pPr>
      <w:r>
        <w:rPr>
          <w:rFonts w:ascii="Times New Roman" w:hAnsi="Times New Roman" w:cs="B Mitra" w:eastAsia="Times New Roman"/>
          <w:b/>
          <w:bCs/>
          <w:sz w:val="24"/>
          <w:szCs w:val="24"/>
          <w:lang w:val="en-US" w:bidi="fa-IR"/>
        </w:rPr>
        <w:t xml:space="preserve">منابع فارسی</w:t>
      </w:r>
    </w:p>
    <w:p>
      <w:pPr>
        <w:bidi/>
        <w:spacing w:before="0" w:after="40" w:line="240" w:lineRule="auto"/>
        <w:jc w:val="both"/>
      </w:pPr>
      <w:r>
        <w:rPr>
          <w:rFonts w:ascii="Times New Roman" w:hAnsi="Times New Roman" w:cs="B Mitra" w:eastAsia="Times New Roman"/>
          <w:sz w:val="24"/>
          <w:szCs w:val="24"/>
          <w:lang w:val="en-US" w:bidi="fa-IR"/>
        </w:rPr>
        <w:t xml:space="preserve">احمدی، غلامرضا؛ ناظمی، امین و نمازی، نویدرضا (۱۴۰۲). شناسایی سازه‌های اثرگذار بر میزان اجرای بودجه‌ریزی مبتنی بر عملکرد با تأکید بر نظریهٔ شبکهٔ کنشگران. پیشرفت‌های حسابداری، ۱۴(۲)، ۱-۳۷.</w:t>
      </w:r>
    </w:p>
    <w:p>
      <w:pPr>
        <w:bidi/>
        <w:spacing w:before="0" w:after="40" w:line="240" w:lineRule="auto"/>
        <w:jc w:val="both"/>
      </w:pPr>
      <w:r>
        <w:rPr>
          <w:rFonts w:ascii="Times New Roman" w:hAnsi="Times New Roman" w:cs="B Mitra" w:eastAsia="Times New Roman"/>
          <w:sz w:val="24"/>
          <w:szCs w:val="24"/>
          <w:lang w:val="en-US" w:bidi="fa-IR"/>
        </w:rPr>
        <w:t xml:space="preserve">ناروئی، عبدالرحمان؛ مؤمنی، علیرضا و گرد، عزیز (۱۳۹۹). تدوین و ارزیابی مدل مطلوب نظام حسابداری تعهدی در بخش عمومی (مطالعهٔ موردی: مدیران و ذی‌حسابان دستگاه‌های اجرایی). حسابداری دولتی، ۶(۲)، ۴۷-۶۰.</w:t>
      </w:r>
    </w:p>
    <w:p>
      <w:pPr>
        <w:bidi/>
        <w:spacing w:before="0" w:after="40" w:line="240" w:lineRule="auto"/>
        <w:jc w:val="both"/>
      </w:pPr>
      <w:r>
        <w:rPr>
          <w:rFonts w:ascii="Times New Roman" w:hAnsi="Times New Roman" w:cs="B Mitra" w:eastAsia="Times New Roman"/>
          <w:sz w:val="24"/>
          <w:szCs w:val="24"/>
          <w:lang w:val="en-US" w:bidi="fa-IR"/>
        </w:rPr>
        <w:t xml:space="preserve">نورانی، حسین و اخلاقی یزدی‌نژاد، اسماعیل (۱۴۰۲). ارائهٔ الگوی رفع چالش‌ها و تنگناهای استانداردهای حسابداری بخش عمومی با استفاده از نظریهٔ داده‌بنیاد. حسابداری دولتی، ۹(۱۸)، ۱۵۱-۱۶۸.</w:t>
      </w:r>
    </w:p>
    <w:p>
      <w:pPr>
        <w:bidi/>
        <w:spacing w:before="0" w:after="40" w:line="240" w:lineRule="auto"/>
        <w:jc w:val="both"/>
      </w:pPr>
      <w:r>
        <w:rPr>
          <w:rFonts w:ascii="Times New Roman" w:hAnsi="Times New Roman" w:cs="B Mitra" w:eastAsia="Times New Roman"/>
          <w:sz w:val="24"/>
          <w:szCs w:val="24"/>
          <w:lang w:val="en-US" w:bidi="fa-IR"/>
        </w:rPr>
        <w:t xml:space="preserve">پورغفار، جواد؛ محمدزاده سالطه، حیدر؛ زینالی، مهدی و مهرانی، ساسان (۱۴۰۱). الگوی بودجه‌ریزی بر مبنای عملکرد با رویکرد گزارشگری مالی بهنگام در بخش عمومی ایران. حسابداری دولتی، ۸(۲)، ۲۱-۳۶.</w:t>
      </w:r>
    </w:p>
    <w:p>
      <w:pPr>
        <w:keepNext/>
        <w:bidi/>
        <w:spacing w:before="240" w:after="60" w:line="240" w:lineRule="auto"/>
        <w:jc w:val="left"/>
      </w:pPr>
      <w:r>
        <w:rPr>
          <w:rFonts w:ascii="Times New Roman" w:hAnsi="Times New Roman" w:cs="Times New Roman" w:eastAsia="Times New Roman"/>
          <w:b/>
          <w:bCs/>
          <w:sz w:val="21"/>
          <w:szCs w:val="21"/>
          <w:lang w:val="en-US" w:bidi="fa-IR"/>
        </w:rPr>
        <w:t xml:space="preserve">References</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Ahmadi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Nazemi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Namazi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R</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Identification of structures that affect performance-based budgeting with emphasis on actor network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Accounting Advances</w:t>
      </w:r>
      <w:r>
        <w:rPr>
          <w:rFonts w:ascii="Times New Roman" w:hAnsi="Times New Roman" w:cs="Times New Roman" w:eastAsia="Times New Roman"/>
          <w:i/>
          <w:iCs/>
          <w:sz w:val="22"/>
          <w:szCs w:val="22"/>
          <w:lang w:val="en-US" w:bidi="fa-IR"/>
        </w:rPr>
        <w:t xml:space="preserve">, 14</w:t>
      </w:r>
      <w:r>
        <w:rPr>
          <w:rFonts w:ascii="Times New Roman" w:hAnsi="Times New Roman" w:cs="Times New Roman" w:eastAsia="Times New Roman"/>
          <w:sz w:val="22"/>
          <w:szCs w:val="22"/>
          <w:lang w:val="en-US" w:bidi="fa-IR"/>
        </w:rPr>
        <w:t xml:space="preserve">(2), 1–37.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doi.org/10.22099/JAA.2023.45244.2286</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Bovens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(2007). </w:t>
      </w:r>
      <w:r>
        <w:rPr>
          <w:rFonts w:ascii="Times New Roman" w:hAnsi="Times New Roman" w:cs="Times New Roman" w:eastAsia="Times New Roman"/>
          <w:sz w:val="18"/>
          <w:szCs w:val="18"/>
          <w:lang w:val="en-US" w:bidi="fa-IR"/>
        </w:rPr>
        <w:t xml:space="preserve">Analysing and assessing accountability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conceptual framework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Law Journal</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447–468.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doi.org/10.1111/j.1468-0386.2007.00378.x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Bracci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Humphrey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Steccolini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Public sector accounting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accountability and austerity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More than balancing the books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Accounting</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Auditing &amp; Accountability Journal</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(6), 878–908.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doi.org/10.1108/AAAJ-06-2015-2089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Brignall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(2000). </w:t>
      </w:r>
      <w:r>
        <w:rPr>
          <w:rFonts w:ascii="Times New Roman" w:hAnsi="Times New Roman" w:cs="Times New Roman" w:eastAsia="Times New Roman"/>
          <w:sz w:val="18"/>
          <w:szCs w:val="18"/>
          <w:lang w:val="en-US" w:bidi="fa-IR"/>
        </w:rPr>
        <w:t xml:space="preserve">An institutional perspective on performance measurement and management in the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new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Management Accounting Research</w:t>
      </w:r>
      <w:r>
        <w:rPr>
          <w:rFonts w:ascii="Times New Roman" w:hAnsi="Times New Roman" w:cs="Times New Roman" w:eastAsia="Times New Roman"/>
          <w:i/>
          <w:iCs/>
          <w:sz w:val="22"/>
          <w:szCs w:val="22"/>
          <w:lang w:val="en-US" w:bidi="fa-IR"/>
        </w:rPr>
        <w:t xml:space="preserve">, 11</w:t>
      </w:r>
      <w:r>
        <w:rPr>
          <w:rFonts w:ascii="Times New Roman" w:hAnsi="Times New Roman" w:cs="Times New Roman" w:eastAsia="Times New Roman"/>
          <w:sz w:val="22"/>
          <w:szCs w:val="22"/>
          <w:lang w:val="en-US" w:bidi="fa-IR"/>
        </w:rPr>
        <w:t xml:space="preserve">(3), 281–306.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doi.org/10.1006/mare.2000.0136</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Bromley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(2012). </w:t>
      </w:r>
      <w:r>
        <w:rPr>
          <w:rFonts w:ascii="Times New Roman" w:hAnsi="Times New Roman" w:cs="Times New Roman" w:eastAsia="Times New Roman"/>
          <w:sz w:val="18"/>
          <w:szCs w:val="18"/>
          <w:lang w:val="en-US" w:bidi="fa-IR"/>
        </w:rPr>
        <w:t xml:space="preserve">From smoke and mirrors to walking the talk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Decoupling in the contemporary world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Annals</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483–530.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doi.org/10.5465/19416520.2012.684462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Chen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 F</w:t>
      </w:r>
      <w:r>
        <w:rPr>
          <w:rFonts w:ascii="Times New Roman" w:hAnsi="Times New Roman" w:cs="Times New Roman" w:eastAsia="Times New Roman"/>
          <w:sz w:val="22"/>
          <w:szCs w:val="22"/>
          <w:lang w:val="en-US" w:bidi="fa-IR"/>
        </w:rPr>
        <w:t xml:space="preserve">. (2007). </w:t>
      </w:r>
      <w:r>
        <w:rPr>
          <w:rFonts w:ascii="Times New Roman" w:hAnsi="Times New Roman" w:cs="Times New Roman" w:eastAsia="Times New Roman"/>
          <w:sz w:val="18"/>
          <w:szCs w:val="18"/>
          <w:lang w:val="en-US" w:bidi="fa-IR"/>
        </w:rPr>
        <w:t xml:space="preserve">Sensitivity of goodness of fit indexes to lack of measurement invariance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14</w:t>
      </w:r>
      <w:r>
        <w:rPr>
          <w:rFonts w:ascii="Times New Roman" w:hAnsi="Times New Roman" w:cs="Times New Roman" w:eastAsia="Times New Roman"/>
          <w:sz w:val="22"/>
          <w:szCs w:val="22"/>
          <w:lang w:val="en-US" w:bidi="fa-IR"/>
        </w:rPr>
        <w:t xml:space="preserve">(3), 464–504.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doi.org/10.1080/10705510701301834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Reyniers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Roll</w:t>
      </w:r>
      <w:r>
        <w:rPr>
          <w:rFonts w:ascii="Times New Roman" w:hAnsi="Times New Roman" w:cs="Times New Roman" w:eastAsia="Times New Roman"/>
          <w:sz w:val="22"/>
          <w:szCs w:val="22"/>
          <w:lang w:val="en-US" w:bidi="fa-IR"/>
        </w:rPr>
        <w:t xml:space="preserve">é,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Impact of IPSAS on reforming governmental financial information systems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comparative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76</w:t>
      </w:r>
      <w:r>
        <w:rPr>
          <w:rFonts w:ascii="Times New Roman" w:hAnsi="Times New Roman" w:cs="Times New Roman" w:eastAsia="Times New Roman"/>
          <w:sz w:val="22"/>
          <w:szCs w:val="22"/>
          <w:lang w:val="en-US" w:bidi="fa-IR"/>
        </w:rPr>
        <w:t xml:space="preserve">(3), 537–554.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doi.org/10.1177/0020852310372450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Vanhee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Manes-Rossi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Aversano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Van Cauwenberge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The effect of IPSAS on reforming governmental financial reporting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international comparison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81</w:t>
      </w:r>
      <w:r>
        <w:rPr>
          <w:rFonts w:ascii="Times New Roman" w:hAnsi="Times New Roman" w:cs="Times New Roman" w:eastAsia="Times New Roman"/>
          <w:sz w:val="22"/>
          <w:szCs w:val="22"/>
          <w:lang w:val="en-US" w:bidi="fa-IR"/>
        </w:rPr>
        <w:t xml:space="preserve">(1), 158–177.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doi.org/10.1177/0020852314546580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DeLone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McLean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 R</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The DeLone and McLean model of information systems success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ten-year update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Management Information Systems</w:t>
      </w:r>
      <w:r>
        <w:rPr>
          <w:rFonts w:ascii="Times New Roman" w:hAnsi="Times New Roman" w:cs="Times New Roman" w:eastAsia="Times New Roman"/>
          <w:i/>
          <w:iCs/>
          <w:sz w:val="22"/>
          <w:szCs w:val="22"/>
          <w:lang w:val="en-US" w:bidi="fa-IR"/>
        </w:rPr>
        <w:t xml:space="preserve">, 19</w:t>
      </w:r>
      <w:r>
        <w:rPr>
          <w:rFonts w:ascii="Times New Roman" w:hAnsi="Times New Roman" w:cs="Times New Roman" w:eastAsia="Times New Roman"/>
          <w:sz w:val="22"/>
          <w:szCs w:val="22"/>
          <w:lang w:val="en-US" w:bidi="fa-IR"/>
        </w:rPr>
        <w:t xml:space="preserve">(4), 9–30.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doi.org/10.1080/07421222.2003.11045748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DiMaggio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(1983). </w:t>
      </w:r>
      <w:r>
        <w:rPr>
          <w:rFonts w:ascii="Times New Roman" w:hAnsi="Times New Roman" w:cs="Times New Roman" w:eastAsia="Times New Roman"/>
          <w:sz w:val="18"/>
          <w:szCs w:val="18"/>
          <w:lang w:val="en-US" w:bidi="fa-IR"/>
        </w:rPr>
        <w:t xml:space="preserve">The iron cage revisited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Institutional isomorphism and collective rationality in organizational fields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Sociological Review</w:t>
      </w:r>
      <w:r>
        <w:rPr>
          <w:rFonts w:ascii="Times New Roman" w:hAnsi="Times New Roman" w:cs="Times New Roman" w:eastAsia="Times New Roman"/>
          <w:i/>
          <w:iCs/>
          <w:sz w:val="22"/>
          <w:szCs w:val="22"/>
          <w:lang w:val="en-US" w:bidi="fa-IR"/>
        </w:rPr>
        <w:t xml:space="preserve">, 48</w:t>
      </w:r>
      <w:r>
        <w:rPr>
          <w:rFonts w:ascii="Times New Roman" w:hAnsi="Times New Roman" w:cs="Times New Roman" w:eastAsia="Times New Roman"/>
          <w:sz w:val="22"/>
          <w:szCs w:val="22"/>
          <w:lang w:val="en-US" w:bidi="fa-IR"/>
        </w:rPr>
        <w:t xml:space="preserve">(2), 147–160.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doi.org/10.2307/2095101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Dunleavy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Margetts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Bastow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Tinkler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New public management is dead</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long live digital-era governance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(3), 467–494.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doi.org/10.1093/jopart/mui057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Fornell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Larcker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(1981). </w:t>
      </w:r>
      <w:r>
        <w:rPr>
          <w:rFonts w:ascii="Times New Roman" w:hAnsi="Times New Roman" w:cs="Times New Roman" w:eastAsia="Times New Roman"/>
          <w:sz w:val="18"/>
          <w:szCs w:val="18"/>
          <w:lang w:val="en-US" w:bidi="fa-IR"/>
        </w:rPr>
        <w:t xml:space="preserve">Evaluating structural equation models with unobservable variables and measurement error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Marketing Research</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(1), 39–50.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doi.org/10.1177/002224378101800104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An index and test of linear moderated mediation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Multivariate Behavioral Research</w:t>
      </w:r>
      <w:r>
        <w:rPr>
          <w:rFonts w:ascii="Times New Roman" w:hAnsi="Times New Roman" w:cs="Times New Roman" w:eastAsia="Times New Roman"/>
          <w:i/>
          <w:iCs/>
          <w:sz w:val="22"/>
          <w:szCs w:val="22"/>
          <w:lang w:val="en-US" w:bidi="fa-IR"/>
        </w:rPr>
        <w:t xml:space="preserve">, 50</w:t>
      </w:r>
      <w:r>
        <w:rPr>
          <w:rFonts w:ascii="Times New Roman" w:hAnsi="Times New Roman" w:cs="Times New Roman" w:eastAsia="Times New Roman"/>
          <w:sz w:val="22"/>
          <w:szCs w:val="22"/>
          <w:lang w:val="en-US" w:bidi="fa-IR"/>
        </w:rPr>
        <w:t xml:space="preserve">(1), 1–22.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doi.org/10.1080/00273171.2014.962683</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Henseler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Ringle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Sarstedt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 new criterion for assessing discriminant validity in variance-based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the Academy of Marketing Science</w:t>
      </w:r>
      <w:r>
        <w:rPr>
          <w:rFonts w:ascii="Times New Roman" w:hAnsi="Times New Roman" w:cs="Times New Roman" w:eastAsia="Times New Roman"/>
          <w:i/>
          <w:iCs/>
          <w:sz w:val="22"/>
          <w:szCs w:val="22"/>
          <w:lang w:val="en-US" w:bidi="fa-IR"/>
        </w:rPr>
        <w:t xml:space="preserve">, 43</w:t>
      </w:r>
      <w:r>
        <w:rPr>
          <w:rFonts w:ascii="Times New Roman" w:hAnsi="Times New Roman" w:cs="Times New Roman" w:eastAsia="Times New Roman"/>
          <w:sz w:val="22"/>
          <w:szCs w:val="22"/>
          <w:lang w:val="en-US" w:bidi="fa-IR"/>
        </w:rPr>
        <w:t xml:space="preserve">(1), 115–135.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doi.org/10.1007/s11747-014-0403-8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Hood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A public management for all seasons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Administration</w:t>
      </w:r>
      <w:r>
        <w:rPr>
          <w:rFonts w:ascii="Times New Roman" w:hAnsi="Times New Roman" w:cs="Times New Roman" w:eastAsia="Times New Roman"/>
          <w:i/>
          <w:iCs/>
          <w:sz w:val="22"/>
          <w:szCs w:val="22"/>
          <w:lang w:val="en-US" w:bidi="fa-IR"/>
        </w:rPr>
        <w:t xml:space="preserve">, 69</w:t>
      </w:r>
      <w:r>
        <w:rPr>
          <w:rFonts w:ascii="Times New Roman" w:hAnsi="Times New Roman" w:cs="Times New Roman" w:eastAsia="Times New Roman"/>
          <w:sz w:val="22"/>
          <w:szCs w:val="22"/>
          <w:lang w:val="en-US" w:bidi="fa-IR"/>
        </w:rPr>
        <w:t xml:space="preserve">(1), 3–19.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doi.org/10.1111/j.1467-9299.1991.tb00779.x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Bentler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(1999). </w:t>
      </w:r>
      <w:r>
        <w:rPr>
          <w:rFonts w:ascii="Times New Roman" w:hAnsi="Times New Roman" w:cs="Times New Roman" w:eastAsia="Times New Roman"/>
          <w:sz w:val="18"/>
          <w:szCs w:val="18"/>
          <w:lang w:val="en-US" w:bidi="fa-IR"/>
        </w:rPr>
        <w:t xml:space="preserve">Cutoff criteria for fit indexes in covariance structure analysis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Conventional criteria versus new alternatives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1–55.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doi.org/10.1080/10705519909540118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Igolkina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Meshcheryakov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semopy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Python package for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(6), 952–963.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doi.org/10.1080/10705511.2019.1704289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Kroll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Drivers of performance information use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Systematic literature review and directions for future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Performance &amp; Management Review</w:t>
      </w:r>
      <w:r>
        <w:rPr>
          <w:rFonts w:ascii="Times New Roman" w:hAnsi="Times New Roman" w:cs="Times New Roman" w:eastAsia="Times New Roman"/>
          <w:i/>
          <w:iCs/>
          <w:sz w:val="22"/>
          <w:szCs w:val="22"/>
          <w:lang w:val="en-US" w:bidi="fa-IR"/>
        </w:rPr>
        <w:t xml:space="preserve">, 38</w:t>
      </w:r>
      <w:r>
        <w:rPr>
          <w:rFonts w:ascii="Times New Roman" w:hAnsi="Times New Roman" w:cs="Times New Roman" w:eastAsia="Times New Roman"/>
          <w:sz w:val="22"/>
          <w:szCs w:val="22"/>
          <w:lang w:val="en-US" w:bidi="fa-IR"/>
        </w:rPr>
        <w:t xml:space="preserve">(3), 459–486.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doi.org/10.1080/15309576.2015.1006469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Lapsley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New public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The cruellest invention of the human spirit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Abacus</w:t>
      </w:r>
      <w:r>
        <w:rPr>
          <w:rFonts w:ascii="Times New Roman" w:hAnsi="Times New Roman" w:cs="Times New Roman" w:eastAsia="Times New Roman"/>
          <w:i/>
          <w:iCs/>
          <w:sz w:val="22"/>
          <w:szCs w:val="22"/>
          <w:lang w:val="en-US" w:bidi="fa-IR"/>
        </w:rPr>
        <w:t xml:space="preserve">, 45</w:t>
      </w:r>
      <w:r>
        <w:rPr>
          <w:rFonts w:ascii="Times New Roman" w:hAnsi="Times New Roman" w:cs="Times New Roman" w:eastAsia="Times New Roman"/>
          <w:sz w:val="22"/>
          <w:szCs w:val="22"/>
          <w:lang w:val="en-US" w:bidi="fa-IR"/>
        </w:rPr>
        <w:t xml:space="preserve">(1), 1–21.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doi.org/10.1111/j.1467-6281.2009.00275.x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Lawshe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H</w:t>
      </w:r>
      <w:r>
        <w:rPr>
          <w:rFonts w:ascii="Times New Roman" w:hAnsi="Times New Roman" w:cs="Times New Roman" w:eastAsia="Times New Roman"/>
          <w:sz w:val="22"/>
          <w:szCs w:val="22"/>
          <w:lang w:val="en-US" w:bidi="fa-IR"/>
        </w:rPr>
        <w:t xml:space="preserve">. (1975). </w:t>
      </w:r>
      <w:r>
        <w:rPr>
          <w:rFonts w:ascii="Times New Roman" w:hAnsi="Times New Roman" w:cs="Times New Roman" w:eastAsia="Times New Roman"/>
          <w:sz w:val="18"/>
          <w:szCs w:val="18"/>
          <w:lang w:val="en-US" w:bidi="fa-IR"/>
        </w:rPr>
        <w:t xml:space="preserve">A quantitative approach to content validity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Personnel Psychology</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(4), 563–575.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doi.org/10.1111/j.1744-6570.1975.tb01393.x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Little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 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Bovaird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Widaman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F</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On the merits of orthogonalizing powered and product terms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Implications for modeling interactions among latent variables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497–519.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doi.org/10.1207/s15328007sem1304</w:t>
      </w:r>
      <w:r>
        <w:rPr>
          <w:rFonts w:ascii="Times New Roman" w:hAnsi="Times New Roman" w:cs="Times New Roman" w:eastAsia="Times New Roman"/>
          <w:i/>
          <w:iCs/>
          <w:sz w:val="22"/>
          <w:szCs w:val="22"/>
          <w:lang w:val="en-US" w:bidi="fa-IR"/>
        </w:rPr>
        <w:t xml:space="preserve">_1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MacCallum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 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Browne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Sugawara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M</w:t>
      </w:r>
      <w:r>
        <w:rPr>
          <w:rFonts w:ascii="Times New Roman" w:hAnsi="Times New Roman" w:cs="Times New Roman" w:eastAsia="Times New Roman"/>
          <w:sz w:val="22"/>
          <w:szCs w:val="22"/>
          <w:lang w:val="en-US" w:bidi="fa-IR"/>
        </w:rPr>
        <w:t xml:space="preserve">. (1996). </w:t>
      </w:r>
      <w:r>
        <w:rPr>
          <w:rFonts w:ascii="Times New Roman" w:hAnsi="Times New Roman" w:cs="Times New Roman" w:eastAsia="Times New Roman"/>
          <w:sz w:val="18"/>
          <w:szCs w:val="18"/>
          <w:lang w:val="en-US" w:bidi="fa-IR"/>
        </w:rPr>
        <w:t xml:space="preserve">Power analysis and determination of sample size for covariance structure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1</w:t>
      </w:r>
      <w:r>
        <w:rPr>
          <w:rFonts w:ascii="Times New Roman" w:hAnsi="Times New Roman" w:cs="Times New Roman" w:eastAsia="Times New Roman"/>
          <w:sz w:val="22"/>
          <w:szCs w:val="22"/>
          <w:lang w:val="en-US" w:bidi="fa-IR"/>
        </w:rPr>
        <w:t xml:space="preserve">(2), 130–149.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doi.org/10.1037/1082-989X.1.2.130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Marsh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K.-T</w:t>
      </w:r>
      <w:r>
        <w:rPr>
          <w:rFonts w:ascii="Times New Roman" w:hAnsi="Times New Roman" w:cs="Times New Roman" w:eastAsia="Times New Roman"/>
          <w:sz w:val="22"/>
          <w:szCs w:val="22"/>
          <w:lang w:val="en-US" w:bidi="fa-IR"/>
        </w:rPr>
        <w:t xml:space="preserve">. (2004). </w:t>
      </w:r>
      <w:r>
        <w:rPr>
          <w:rFonts w:ascii="Times New Roman" w:hAnsi="Times New Roman" w:cs="Times New Roman" w:eastAsia="Times New Roman"/>
          <w:sz w:val="18"/>
          <w:szCs w:val="18"/>
          <w:lang w:val="en-US" w:bidi="fa-IR"/>
        </w:rPr>
        <w:t xml:space="preserve">Structural equation models of latent interactions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Evaluation of alternative estimation strategies and indicator construction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(3), 275–300.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doi.org/10.1037/1082-989X.9.3.275</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Meyer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Rowan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(1977). </w:t>
      </w:r>
      <w:r>
        <w:rPr>
          <w:rFonts w:ascii="Times New Roman" w:hAnsi="Times New Roman" w:cs="Times New Roman" w:eastAsia="Times New Roman"/>
          <w:sz w:val="18"/>
          <w:szCs w:val="18"/>
          <w:lang w:val="en-US" w:bidi="fa-IR"/>
        </w:rPr>
        <w:t xml:space="preserve">Institutionalized organizations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Formal structure as myth and ceremony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Journal of Sociology</w:t>
      </w:r>
      <w:r>
        <w:rPr>
          <w:rFonts w:ascii="Times New Roman" w:hAnsi="Times New Roman" w:cs="Times New Roman" w:eastAsia="Times New Roman"/>
          <w:i/>
          <w:iCs/>
          <w:sz w:val="22"/>
          <w:szCs w:val="22"/>
          <w:lang w:val="en-US" w:bidi="fa-IR"/>
        </w:rPr>
        <w:t xml:space="preserve">, 83</w:t>
      </w:r>
      <w:r>
        <w:rPr>
          <w:rFonts w:ascii="Times New Roman" w:hAnsi="Times New Roman" w:cs="Times New Roman" w:eastAsia="Times New Roman"/>
          <w:sz w:val="22"/>
          <w:szCs w:val="22"/>
          <w:lang w:val="en-US" w:bidi="fa-IR"/>
        </w:rPr>
        <w:t xml:space="preserve">(2), 340–363.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doi.org/10.1086/226550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Institutional research on performance measurement and management in the public sector accounting literature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review and assessment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Financial Accountability &amp; Management</w:t>
      </w:r>
      <w:r>
        <w:rPr>
          <w:rFonts w:ascii="Times New Roman" w:hAnsi="Times New Roman" w:cs="Times New Roman" w:eastAsia="Times New Roman"/>
          <w:i/>
          <w:iCs/>
          <w:sz w:val="22"/>
          <w:szCs w:val="22"/>
          <w:lang w:val="en-US" w:bidi="fa-IR"/>
        </w:rPr>
        <w:t xml:space="preserve">, 25</w:t>
      </w:r>
      <w:r>
        <w:rPr>
          <w:rFonts w:ascii="Times New Roman" w:hAnsi="Times New Roman" w:cs="Times New Roman" w:eastAsia="Times New Roman"/>
          <w:sz w:val="22"/>
          <w:szCs w:val="22"/>
          <w:lang w:val="en-US" w:bidi="fa-IR"/>
        </w:rPr>
        <w:t xml:space="preserve">(3), 277–303.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doi.org/10.1111/j.1468-0408.2009.00478.x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Moore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H</w:t>
      </w:r>
      <w:r>
        <w:rPr>
          <w:rFonts w:ascii="Times New Roman" w:hAnsi="Times New Roman" w:cs="Times New Roman" w:eastAsia="Times New Roman"/>
          <w:sz w:val="22"/>
          <w:szCs w:val="22"/>
          <w:lang w:val="en-US" w:bidi="fa-IR"/>
        </w:rPr>
        <w:t xml:space="preserve">. (1995). </w:t>
      </w:r>
      <w:r>
        <w:rPr>
          <w:rFonts w:ascii="Times New Roman" w:hAnsi="Times New Roman" w:cs="Times New Roman" w:eastAsia="Times New Roman"/>
          <w:i/>
          <w:iCs/>
          <w:sz w:val="18"/>
          <w:szCs w:val="18"/>
          <w:lang w:val="en-US" w:bidi="fa-IR"/>
        </w:rPr>
        <w:t xml:space="preserve">Creating public value</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Strategic management in government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Cambridge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Harvard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i/>
          <w:iCs/>
          <w:sz w:val="18"/>
          <w:szCs w:val="18"/>
          <w:lang w:val="en-US" w:bidi="fa-IR"/>
        </w:rPr>
        <w:t xml:space="preserve">The dynamics of performance management</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Constructing information and reform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Washington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Georgetown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Pandey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K</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The big question for performance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Why do managers use performance information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20</w:t>
      </w:r>
      <w:r>
        <w:rPr>
          <w:rFonts w:ascii="Times New Roman" w:hAnsi="Times New Roman" w:cs="Times New Roman" w:eastAsia="Times New Roman"/>
          <w:sz w:val="22"/>
          <w:szCs w:val="22"/>
          <w:lang w:val="en-US" w:bidi="fa-IR"/>
        </w:rPr>
        <w:t xml:space="preserve">(4), 849–866.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doi.org/10.1093/jopart/muq004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Naroui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Momeni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Gerd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Developing and evaluating an optimal model of the accrual accounting system in the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case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Managers and comptrollers of executive agencies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(2), 47–60.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doi.org/10.30473/gaa.2020.54322.1403</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Nourani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Akhlaghi Yazdinejad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Presenting a model for solving the challenges and bottlenecks of public sector accounting standards using grounded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(18), 151–168.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Oliver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Strategic responses to institutional processes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Review</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(1), 145–179.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doi.org/10.5465/amr.1991.4279002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Torres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Yetano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Accrual accounting in EU local governments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One method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several approaches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Accounting Review</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(4), 765–807.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doi.org/10.1080/09638180902863792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MacKenzie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B</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J.-Y</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P</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Common method biases in behavioral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critical review of the literature and recommended remedies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Applied Psychology</w:t>
      </w:r>
      <w:r>
        <w:rPr>
          <w:rFonts w:ascii="Times New Roman" w:hAnsi="Times New Roman" w:cs="Times New Roman" w:eastAsia="Times New Roman"/>
          <w:i/>
          <w:iCs/>
          <w:sz w:val="22"/>
          <w:szCs w:val="22"/>
          <w:lang w:val="en-US" w:bidi="fa-IR"/>
        </w:rPr>
        <w:t xml:space="preserve">, 88</w:t>
      </w:r>
      <w:r>
        <w:rPr>
          <w:rFonts w:ascii="Times New Roman" w:hAnsi="Times New Roman" w:cs="Times New Roman" w:eastAsia="Times New Roman"/>
          <w:sz w:val="22"/>
          <w:szCs w:val="22"/>
          <w:lang w:val="en-US" w:bidi="fa-IR"/>
        </w:rPr>
        <w:t xml:space="preserve">(5), 879–903.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doi.org/10.1037/0021-9010.88.5.879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Beck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T</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The content validity index</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Are you sure you know what's being reported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Critique and recommendations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Research in Nursing &amp; Health</w:t>
      </w:r>
      <w:r>
        <w:rPr>
          <w:rFonts w:ascii="Times New Roman" w:hAnsi="Times New Roman" w:cs="Times New Roman" w:eastAsia="Times New Roman"/>
          <w:i/>
          <w:iCs/>
          <w:sz w:val="22"/>
          <w:szCs w:val="22"/>
          <w:lang w:val="en-US" w:bidi="fa-IR"/>
        </w:rPr>
        <w:t xml:space="preserve">, 29</w:t>
      </w:r>
      <w:r>
        <w:rPr>
          <w:rFonts w:ascii="Times New Roman" w:hAnsi="Times New Roman" w:cs="Times New Roman" w:eastAsia="Times New Roman"/>
          <w:sz w:val="22"/>
          <w:szCs w:val="22"/>
          <w:lang w:val="en-US" w:bidi="fa-IR"/>
        </w:rPr>
        <w:t xml:space="preserve">(5), 489–497.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doi.org/10.1002/nur.20147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Pollitt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Bouckaert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(2017). </w:t>
      </w:r>
      <w:r>
        <w:rPr>
          <w:rFonts w:ascii="Times New Roman" w:hAnsi="Times New Roman" w:cs="Times New Roman" w:eastAsia="Times New Roman"/>
          <w:i/>
          <w:iCs/>
          <w:sz w:val="18"/>
          <w:szCs w:val="18"/>
          <w:lang w:val="en-US" w:bidi="fa-IR"/>
        </w:rPr>
        <w:t xml:space="preserve">Public management reform</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 comparative analysis</w:t>
      </w:r>
      <w:r>
        <w:rPr>
          <w:rFonts w:ascii="Times New Roman" w:hAnsi="Times New Roman" w:cs="Times New Roman" w:eastAsia="Times New Roman"/>
          <w:i/>
          <w:iCs/>
          <w:sz w:val="22"/>
          <w:szCs w:val="22"/>
          <w:lang w:val="en-US" w:bidi="fa-IR"/>
        </w:rPr>
        <w:t xml:space="preserve"> – </w:t>
      </w:r>
      <w:r>
        <w:rPr>
          <w:rFonts w:ascii="Times New Roman" w:hAnsi="Times New Roman" w:cs="Times New Roman" w:eastAsia="Times New Roman"/>
          <w:i/>
          <w:iCs/>
          <w:sz w:val="18"/>
          <w:szCs w:val="18"/>
          <w:lang w:val="en-US" w:bidi="fa-IR"/>
        </w:rPr>
        <w:t xml:space="preserve">into the age of austerity</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UK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Pourghaffar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Mohammadzadeh Salteh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Zeinali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Mehrani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(2022). </w:t>
      </w:r>
      <w:r>
        <w:rPr>
          <w:rFonts w:ascii="Times New Roman" w:hAnsi="Times New Roman" w:cs="Times New Roman" w:eastAsia="Times New Roman"/>
          <w:sz w:val="18"/>
          <w:szCs w:val="18"/>
          <w:lang w:val="en-US" w:bidi="fa-IR"/>
        </w:rPr>
        <w:t xml:space="preserve">Performance-based budgeting model with a real time financial reporting approach in Iran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8</w:t>
      </w:r>
      <w:r>
        <w:rPr>
          <w:rFonts w:ascii="Times New Roman" w:hAnsi="Times New Roman" w:cs="Times New Roman" w:eastAsia="Times New Roman"/>
          <w:sz w:val="22"/>
          <w:szCs w:val="22"/>
          <w:lang w:val="en-US" w:bidi="fa-IR"/>
        </w:rPr>
        <w:t xml:space="preserve">(2), 21–36.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doi.org/10.30473/gaa.2022.61861.1528</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Preacher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sz w:val="18"/>
          <w:szCs w:val="18"/>
          <w:lang w:val="en-US" w:bidi="fa-IR"/>
        </w:rPr>
        <w:t xml:space="preserve">Asymptotic and resampling strategies for assessing and comparing indirect effects in multiple mediator models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Behavior Research Methods</w:t>
      </w:r>
      <w:r>
        <w:rPr>
          <w:rFonts w:ascii="Times New Roman" w:hAnsi="Times New Roman" w:cs="Times New Roman" w:eastAsia="Times New Roman"/>
          <w:i/>
          <w:iCs/>
          <w:sz w:val="22"/>
          <w:szCs w:val="22"/>
          <w:lang w:val="en-US" w:bidi="fa-IR"/>
        </w:rPr>
        <w:t xml:space="preserve">, 40</w:t>
      </w:r>
      <w:r>
        <w:rPr>
          <w:rFonts w:ascii="Times New Roman" w:hAnsi="Times New Roman" w:cs="Times New Roman" w:eastAsia="Times New Roman"/>
          <w:sz w:val="22"/>
          <w:szCs w:val="22"/>
          <w:lang w:val="en-US" w:bidi="fa-IR"/>
        </w:rPr>
        <w:t xml:space="preserve">(3), 879–891.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doi.org/10.3758/BRM.40.3.879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Scott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R</w:t>
      </w:r>
      <w:r>
        <w:rPr>
          <w:rFonts w:ascii="Times New Roman" w:hAnsi="Times New Roman" w:cs="Times New Roman" w:eastAsia="Times New Roman"/>
          <w:sz w:val="22"/>
          <w:szCs w:val="22"/>
          <w:lang w:val="en-US" w:bidi="fa-IR"/>
        </w:rPr>
        <w:t xml:space="preserve">. (2014). </w:t>
      </w:r>
      <w:r>
        <w:rPr>
          <w:rFonts w:ascii="Times New Roman" w:hAnsi="Times New Roman" w:cs="Times New Roman" w:eastAsia="Times New Roman"/>
          <w:i/>
          <w:iCs/>
          <w:sz w:val="18"/>
          <w:szCs w:val="18"/>
          <w:lang w:val="en-US" w:bidi="fa-IR"/>
        </w:rPr>
        <w:t xml:space="preserve">Institutions and organizations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Ideas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interests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and identities</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Thousand Oaks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Sage</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Teo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K</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Benbasat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Predicting intention to adopt interorganizational linkages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institutional perspective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MIS Quarterly</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(1), 19–49.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doi.org/10.2307/30036518</w:t>
      </w:r>
    </w:p>
    <w:p>
      <w:pPr>
        <w:spacing w:before="240" w:after="100" w:line="240" w:lineRule="auto"/>
        <w:jc w:val="center"/>
      </w:pPr>
      <w:r>
        <w:rPr>
          <w:rFonts w:ascii="Times New Roman" w:hAnsi="Times New Roman" w:cs="Times New Roman" w:eastAsia="Times New Roman"/>
          <w:b/>
          <w:bCs/>
          <w:i/>
          <w:iCs/>
          <w:sz w:val="24"/>
          <w:szCs w:val="24"/>
          <w:lang w:val="en-US" w:bidi="fa-IR"/>
        </w:rPr>
        <w:t xml:space="preserve">Form or Substance</w:t>
      </w:r>
      <w:r>
        <w:rPr>
          <w:rFonts w:ascii="Times New Roman" w:hAnsi="Times New Roman" w:cs="Arial" w:eastAsia="Times New Roman"/>
          <w:b/>
          <w:bCs/>
          <w:i/>
          <w:iCs/>
          <w:sz w:val="28"/>
          <w:szCs w:val="28"/>
          <w:lang w:val="en-US" w:bidi="fa-IR"/>
        </w:rPr>
        <w:t xml:space="preserve">? </w:t>
      </w:r>
      <w:r>
        <w:rPr>
          <w:rFonts w:ascii="Times New Roman" w:hAnsi="Times New Roman" w:cs="Times New Roman" w:eastAsia="Times New Roman"/>
          <w:b/>
          <w:bCs/>
          <w:i/>
          <w:iCs/>
          <w:sz w:val="24"/>
          <w:szCs w:val="24"/>
          <w:lang w:val="en-US" w:bidi="fa-IR"/>
        </w:rPr>
        <w:t xml:space="preserve">Institutional Pressures and Accountability in Public-Sector Financial Reforms</w:t>
      </w:r>
    </w:p>
    <w:p>
      <w:pPr>
        <w:spacing w:before="0" w:after="60" w:line="240" w:lineRule="auto"/>
        <w:jc w:val="both"/>
      </w:pPr>
      <w:r>
        <w:rPr>
          <w:rFonts w:ascii="Times New Roman" w:hAnsi="Times New Roman" w:cs="Times New Roman" w:eastAsia="Times New Roman"/>
          <w:b/>
          <w:bCs/>
          <w:sz w:val="16"/>
          <w:szCs w:val="16"/>
          <w:lang w:val="en-US" w:bidi="fa-IR"/>
        </w:rPr>
        <w:t xml:space="preserve">Abstract</w:t>
      </w:r>
      <w:r>
        <w:rPr>
          <w:rFonts w:ascii="Times New Roman" w:hAnsi="Times New Roman" w:cs="B Mitra" w:eastAsia="Times New Roman"/>
          <w:b/>
          <w:bCs/>
          <w:sz w:val="18"/>
          <w:szCs w:val="18"/>
          <w:lang w:val="en-US" w:bidi="fa-IR"/>
        </w:rPr>
        <w:t xml:space="preser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Purpose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This study examines how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coercive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normative and mimetic</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steer executive agencies towards substantive implementation or symbolic compliance with performance-based budgeting and accrual accounting</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how these two responses affect financial accountability through the perceived usefulness of reported information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whether the maturity of the financial information system conditions these relationships. Design/methodology/approach</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is applied and survey-based. Data were collected with a questionnaire from 336 financial managers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comptrollers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budget experts and accountants of executive agencies and analysed with covariance-based structural equation modelling using fully latent variables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 item composites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latent interaction terms and 2</w:t>
      </w:r>
      <w:r>
        <w:rPr>
          <w:rFonts w:ascii="Times New Roman" w:hAnsi="Times New Roman" w:cs="B Mitra" w:eastAsia="Times New Roman"/>
          <w:sz w:val="18"/>
          <w:szCs w:val="18"/>
          <w:lang w:val="en-US" w:bidi="fa-IR"/>
        </w:rPr>
        <w:t xml:space="preserve">,000-</w:t>
      </w:r>
      <w:r>
        <w:rPr>
          <w:rFonts w:ascii="Times New Roman" w:hAnsi="Times New Roman" w:cs="Times New Roman" w:eastAsia="Times New Roman"/>
          <w:sz w:val="16"/>
          <w:szCs w:val="16"/>
          <w:lang w:val="en-US" w:bidi="fa-IR"/>
        </w:rPr>
        <w:t xml:space="preserve">draw bootstrap estimation of indirect and conditional indirect effects. Convergent and discriminant validity</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common-method bias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competing models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DWLS estimation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residual-centred product indicators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 respecified model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outlier trimming and an experienced-respondent subsample were used as checks. Findings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measurement model fitted well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CFI</w:t>
      </w:r>
      <w:r>
        <w:rPr>
          <w:rFonts w:ascii="Times New Roman" w:hAnsi="Times New Roman" w:cs="B Mitra" w:eastAsia="Times New Roman"/>
          <w:sz w:val="18"/>
          <w:szCs w:val="18"/>
          <w:lang w:val="en-US" w:bidi="fa-IR"/>
        </w:rPr>
        <w:t xml:space="preserve"> = 0.990; </w:t>
      </w:r>
      <w:r>
        <w:rPr>
          <w:rFonts w:ascii="Times New Roman" w:hAnsi="Times New Roman" w:cs="Times New Roman" w:eastAsia="Times New Roman"/>
          <w:sz w:val="16"/>
          <w:szCs w:val="16"/>
          <w:lang w:val="en-US" w:bidi="fa-IR"/>
        </w:rPr>
        <w:t xml:space="preserve">RMSEA</w:t>
      </w:r>
      <w:r>
        <w:rPr>
          <w:rFonts w:ascii="Times New Roman" w:hAnsi="Times New Roman" w:cs="B Mitra" w:eastAsia="Times New Roman"/>
          <w:sz w:val="18"/>
          <w:szCs w:val="18"/>
          <w:lang w:val="en-US" w:bidi="fa-IR"/>
        </w:rPr>
        <w:t xml:space="preserve"> = 0.017), </w:t>
      </w:r>
      <w:r>
        <w:rPr>
          <w:rFonts w:ascii="Times New Roman" w:hAnsi="Times New Roman" w:cs="Times New Roman" w:eastAsia="Times New Roman"/>
          <w:sz w:val="16"/>
          <w:szCs w:val="16"/>
          <w:lang w:val="en-US" w:bidi="fa-IR"/>
        </w:rPr>
        <w:t xml:space="preserve">composite reliability ranged from 0.81 to 0.87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the highest HTMT was 0.52. Coercive pressure increased both substantive implementation</w:t>
      </w:r>
      <w:r>
        <w:rPr>
          <w:rFonts w:ascii="Times New Roman" w:hAnsi="Times New Roman" w:cs="B Mitra" w:eastAsia="Times New Roman"/>
          <w:sz w:val="18"/>
          <w:szCs w:val="18"/>
          <w:lang w:val="en-US" w:bidi="fa-IR"/>
        </w:rPr>
        <w:t xml:space="preserve"> (β = 0.32) </w:t>
      </w:r>
      <w:r>
        <w:rPr>
          <w:rFonts w:ascii="Times New Roman" w:hAnsi="Times New Roman" w:cs="Times New Roman" w:eastAsia="Times New Roman"/>
          <w:sz w:val="16"/>
          <w:szCs w:val="16"/>
          <w:lang w:val="en-US" w:bidi="fa-IR"/>
        </w:rPr>
        <w:t xml:space="preserve">and symbolic compliance</w:t>
      </w:r>
      <w:r>
        <w:rPr>
          <w:rFonts w:ascii="Times New Roman" w:hAnsi="Times New Roman" w:cs="B Mitra" w:eastAsia="Times New Roman"/>
          <w:sz w:val="18"/>
          <w:szCs w:val="18"/>
          <w:lang w:val="en-US" w:bidi="fa-IR"/>
        </w:rPr>
        <w:t xml:space="preserve"> (β = 0.38); </w:t>
      </w:r>
      <w:r>
        <w:rPr>
          <w:rFonts w:ascii="Times New Roman" w:hAnsi="Times New Roman" w:cs="Times New Roman" w:eastAsia="Times New Roman"/>
          <w:sz w:val="16"/>
          <w:szCs w:val="16"/>
          <w:lang w:val="en-US" w:bidi="fa-IR"/>
        </w:rPr>
        <w:t xml:space="preserve">normative pressure strengthened substantive implementation</w:t>
      </w:r>
      <w:r>
        <w:rPr>
          <w:rFonts w:ascii="Times New Roman" w:hAnsi="Times New Roman" w:cs="B Mitra" w:eastAsia="Times New Roman"/>
          <w:sz w:val="18"/>
          <w:szCs w:val="18"/>
          <w:lang w:val="en-US" w:bidi="fa-IR"/>
        </w:rPr>
        <w:t xml:space="preserve"> (β = 0.37) </w:t>
      </w:r>
      <w:r>
        <w:rPr>
          <w:rFonts w:ascii="Times New Roman" w:hAnsi="Times New Roman" w:cs="Times New Roman" w:eastAsia="Times New Roman"/>
          <w:sz w:val="16"/>
          <w:szCs w:val="16"/>
          <w:lang w:val="en-US" w:bidi="fa-IR"/>
        </w:rPr>
        <w:t xml:space="preserve">and weakened symbolic compliance</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mimetic pressure increased symbolic compliance</w:t>
      </w:r>
      <w:r>
        <w:rPr>
          <w:rFonts w:ascii="Times New Roman" w:hAnsi="Times New Roman" w:cs="B Mitra" w:eastAsia="Times New Roman"/>
          <w:sz w:val="18"/>
          <w:szCs w:val="18"/>
          <w:lang w:val="en-US" w:bidi="fa-IR"/>
        </w:rPr>
        <w:t xml:space="preserve"> (β = 0.33) </w:t>
      </w:r>
      <w:r>
        <w:rPr>
          <w:rFonts w:ascii="Times New Roman" w:hAnsi="Times New Roman" w:cs="Times New Roman" w:eastAsia="Times New Roman"/>
          <w:sz w:val="16"/>
          <w:szCs w:val="16"/>
          <w:lang w:val="en-US" w:bidi="fa-IR"/>
        </w:rPr>
        <w:t xml:space="preserve">but had no significant effect on substantive implementation. Substantive implementation raised the usefulness of information</w:t>
      </w:r>
      <w:r>
        <w:rPr>
          <w:rFonts w:ascii="Times New Roman" w:hAnsi="Times New Roman" w:cs="B Mitra" w:eastAsia="Times New Roman"/>
          <w:sz w:val="18"/>
          <w:szCs w:val="18"/>
          <w:lang w:val="en-US" w:bidi="fa-IR"/>
        </w:rPr>
        <w:t xml:space="preserve"> (β = 0.35) </w:t>
      </w:r>
      <w:r>
        <w:rPr>
          <w:rFonts w:ascii="Times New Roman" w:hAnsi="Times New Roman" w:cs="Times New Roman" w:eastAsia="Times New Roman"/>
          <w:sz w:val="16"/>
          <w:szCs w:val="16"/>
          <w:lang w:val="en-US" w:bidi="fa-IR"/>
        </w:rPr>
        <w:t xml:space="preserve">and financial accountability</w:t>
      </w:r>
      <w:r>
        <w:rPr>
          <w:rFonts w:ascii="Times New Roman" w:hAnsi="Times New Roman" w:cs="B Mitra" w:eastAsia="Times New Roman"/>
          <w:sz w:val="18"/>
          <w:szCs w:val="18"/>
          <w:lang w:val="en-US" w:bidi="fa-IR"/>
        </w:rPr>
        <w:t xml:space="preserve"> (β = 0.28), </w:t>
      </w:r>
      <w:r>
        <w:rPr>
          <w:rFonts w:ascii="Times New Roman" w:hAnsi="Times New Roman" w:cs="Times New Roman" w:eastAsia="Times New Roman"/>
          <w:sz w:val="16"/>
          <w:szCs w:val="16"/>
          <w:lang w:val="en-US" w:bidi="fa-IR"/>
        </w:rPr>
        <w:t xml:space="preserve">whereas symbolic compliance reduced both</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and -0.17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 turn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improved accountability</w:t>
      </w:r>
      <w:r>
        <w:rPr>
          <w:rFonts w:ascii="Times New Roman" w:hAnsi="Times New Roman" w:cs="B Mitra" w:eastAsia="Times New Roman"/>
          <w:sz w:val="18"/>
          <w:szCs w:val="18"/>
          <w:lang w:val="en-US" w:bidi="fa-IR"/>
        </w:rPr>
        <w:t xml:space="preserve"> (β = 0.36). </w:t>
      </w:r>
      <w:r>
        <w:rPr>
          <w:rFonts w:ascii="Times New Roman" w:hAnsi="Times New Roman" w:cs="Times New Roman" w:eastAsia="Times New Roman"/>
          <w:sz w:val="16"/>
          <w:szCs w:val="16"/>
          <w:lang w:val="en-US" w:bidi="fa-IR"/>
        </w:rPr>
        <w:t xml:space="preserve">Information-system maturity strengthened the effect of substantive implementation on usefulness</w:t>
      </w:r>
      <w:r>
        <w:rPr>
          <w:rFonts w:ascii="Times New Roman" w:hAnsi="Times New Roman" w:cs="B Mitra" w:eastAsia="Times New Roman"/>
          <w:sz w:val="18"/>
          <w:szCs w:val="18"/>
          <w:lang w:val="en-US" w:bidi="fa-IR"/>
        </w:rPr>
        <w:t xml:space="preserve"> (β = 0.16) </w:t>
      </w:r>
      <w:r>
        <w:rPr>
          <w:rFonts w:ascii="Times New Roman" w:hAnsi="Times New Roman" w:cs="Times New Roman" w:eastAsia="Times New Roman"/>
          <w:sz w:val="16"/>
          <w:szCs w:val="16"/>
          <w:lang w:val="en-US" w:bidi="fa-IR"/>
        </w:rPr>
        <w:t xml:space="preserve">and weakened the effect of coercive pressure on symbolic compliance</w:t>
      </w:r>
      <w:r>
        <w:rPr>
          <w:rFonts w:ascii="Times New Roman" w:hAnsi="Times New Roman" w:cs="B Mitra" w:eastAsia="Times New Roman"/>
          <w:sz w:val="18"/>
          <w:szCs w:val="18"/>
          <w:lang w:val="en-US" w:bidi="fa-IR"/>
        </w:rPr>
        <w:t xml:space="preserve"> (β = -0.25). </w:t>
      </w:r>
      <w:r>
        <w:rPr>
          <w:rFonts w:ascii="Times New Roman" w:hAnsi="Times New Roman" w:cs="Times New Roman" w:eastAsia="Times New Roman"/>
          <w:sz w:val="16"/>
          <w:szCs w:val="16"/>
          <w:lang w:val="en-US" w:bidi="fa-IR"/>
        </w:rPr>
        <w:t xml:space="preserve">The total indirect effect of coercive pressure was small because its constructive and ceremonial routes largely offset each other</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whereas that of normative pressure was clearly positive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indirect effect</w:t>
      </w:r>
      <w:r>
        <w:rPr>
          <w:rFonts w:ascii="Times New Roman" w:hAnsi="Times New Roman" w:cs="B Mitra" w:eastAsia="Times New Roman"/>
          <w:sz w:val="18"/>
          <w:szCs w:val="18"/>
          <w:lang w:val="en-US" w:bidi="fa-IR"/>
        </w:rPr>
        <w:t xml:space="preserve"> = 0.21, 95% </w:t>
      </w:r>
      <w:r>
        <w:rPr>
          <w:rFonts w:ascii="Times New Roman" w:hAnsi="Times New Roman" w:cs="Times New Roman" w:eastAsia="Times New Roman"/>
          <w:sz w:val="16"/>
          <w:szCs w:val="16"/>
          <w:lang w:val="en-US" w:bidi="fa-IR"/>
        </w:rPr>
        <w:t xml:space="preserve">CI</w:t>
      </w:r>
      <w:r>
        <w:rPr>
          <w:rFonts w:ascii="Times New Roman" w:hAnsi="Times New Roman" w:cs="B Mitra" w:eastAsia="Times New Roman"/>
          <w:sz w:val="18"/>
          <w:szCs w:val="18"/>
          <w:lang w:val="en-US" w:bidi="fa-IR"/>
        </w:rPr>
        <w:t xml:space="preserve"> [0.13, 0.30]). </w:t>
      </w:r>
      <w:r>
        <w:rPr>
          <w:rFonts w:ascii="Times New Roman" w:hAnsi="Times New Roman" w:cs="Times New Roman" w:eastAsia="Times New Roman"/>
          <w:sz w:val="16"/>
          <w:szCs w:val="16"/>
          <w:lang w:val="en-US" w:bidi="fa-IR"/>
        </w:rPr>
        <w:t xml:space="preserve">Full mediation was supported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because adding direct paths from pressures to accountability did not improve fit. Conclusions and implications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effect of financial reforms depends less on the intensity of mandates than on the type of organisational response to them and on the information infrastructure that makes this response visible and usable. Strengthening professional norms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monitoring the use rather than the submission of reports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investing in integrated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real-time and auditable systems are likely to be more productive than additional legal requirements alone. Originality/value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separates substantive and symbolic responses to the same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links them to accountability through information 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identifies the conditioning role of system maturity in the Iranian public sector</w:t>
      </w:r>
      <w:r>
        <w:rPr>
          <w:rFonts w:ascii="Times New Roman" w:hAnsi="Times New Roman" w:cs="B Mitra" w:eastAsia="Times New Roman"/>
          <w:sz w:val="18"/>
          <w:szCs w:val="18"/>
          <w:lang w:val="en-US" w:bidi="fa-IR"/>
        </w:rPr>
        <w:t xml:space="preserve">.</w:t>
      </w:r>
    </w:p>
    <w:p>
      <w:pPr>
        <w:spacing w:before="0" w:after="0" w:line="240" w:lineRule="auto"/>
        <w:jc w:val="left"/>
      </w:pPr>
      <w:r>
        <w:rPr>
          <w:rFonts w:ascii="Times New Roman" w:hAnsi="Times New Roman" w:cs="Times New Roman" w:eastAsia="Times New Roman"/>
          <w:b/>
          <w:bCs/>
          <w:sz w:val="16"/>
          <w:szCs w:val="16"/>
          <w:lang w:val="en-US" w:bidi="fa-IR"/>
        </w:rPr>
        <w:t xml:space="preserve">Keywords</w:t>
      </w:r>
      <w:r>
        <w:rPr>
          <w:rFonts w:ascii="Times New Roman" w:hAnsi="Times New Roman" w:cs="B Mitra" w:eastAsia="Times New Roman"/>
          <w:b/>
          <w:bCs/>
          <w:sz w:val="16"/>
          <w:szCs w:val="16"/>
          <w:lang w:val="en-US" w:bidi="fa-IR"/>
        </w:rPr>
        <w:t xml:space="preserve">:</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Financial accountability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Information system maturity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Institutional pressures</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Substantive implementation</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Symbolic compliance</w:t>
      </w:r>
    </w:p>
    <w:sectPr>
      <w:headerReference w:type="even" r:id="rIdHe"/>
      <w:headerReference w:type="default" r:id="rIdHd"/>
      <w:pgSz w:w="11906" w:h="16838"/>
      <w:pgMar w:top="450" w:right="2552" w:bottom="3033" w:left="2552" w:header="0" w:footer="0" w:gutter="0"/>
      <w:pgNumType w:start="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18"/>
          <w:szCs w:val="18"/>
        </w:rPr>
        <w:t xml:space="preserve">۱. </w:t>
      </w:r>
      <w:r>
        <w:rPr>
          <w:rFonts w:ascii="Times New Roman" w:hAnsi="Times New Roman" w:cs="Times New Roman"/>
          <w:sz w:val="18"/>
          <w:szCs w:val="18"/>
        </w:rPr>
        <w:t xml:space="preserve">Hood</w:t>
      </w:r>
    </w:p>
  </w:footnote>
  <w:footnote w:id="2">
    <w:p>
      <w:pPr>
        <w:bidi w:val="0"/>
        <w:spacing w:after="0" w:line="240" w:lineRule="auto"/>
        <w:jc w:val="left"/>
      </w:pPr>
      <w:r>
        <w:rPr>
          <w:rFonts w:ascii="Times New Roman" w:hAnsi="Times New Roman" w:cs="Times New Roman"/>
          <w:sz w:val="18"/>
          <w:szCs w:val="18"/>
        </w:rPr>
        <w:t xml:space="preserve">۲. </w:t>
      </w:r>
      <w:r>
        <w:rPr>
          <w:rFonts w:ascii="Times New Roman" w:hAnsi="Times New Roman" w:cs="Times New Roman"/>
          <w:sz w:val="18"/>
          <w:szCs w:val="18"/>
        </w:rPr>
        <w:t xml:space="preserve">Lapsley</w:t>
      </w:r>
    </w:p>
  </w:footnote>
  <w:footnote w:id="3">
    <w:p>
      <w:pPr>
        <w:bidi w:val="0"/>
        <w:spacing w:after="0" w:line="240" w:lineRule="auto"/>
        <w:jc w:val="left"/>
      </w:pPr>
      <w:r>
        <w:rPr>
          <w:rFonts w:ascii="Times New Roman" w:hAnsi="Times New Roman" w:cs="Times New Roman"/>
          <w:sz w:val="18"/>
          <w:szCs w:val="18"/>
        </w:rPr>
        <w:t xml:space="preserve">۳. </w:t>
      </w:r>
      <w:r>
        <w:rPr>
          <w:rFonts w:ascii="Times New Roman" w:hAnsi="Times New Roman" w:cs="Times New Roman"/>
          <w:sz w:val="18"/>
          <w:szCs w:val="18"/>
        </w:rPr>
        <w:t xml:space="preserve">Performance-based budgeting</w:t>
      </w:r>
    </w:p>
  </w:footnote>
  <w:footnote w:id="4">
    <w:p>
      <w:pPr>
        <w:bidi w:val="0"/>
        <w:spacing w:after="0" w:line="240" w:lineRule="auto"/>
        <w:jc w:val="left"/>
      </w:pPr>
      <w:r>
        <w:rPr>
          <w:rFonts w:ascii="Times New Roman" w:hAnsi="Times New Roman" w:cs="Times New Roman"/>
          <w:sz w:val="18"/>
          <w:szCs w:val="18"/>
        </w:rPr>
        <w:t xml:space="preserve">۴. </w:t>
      </w:r>
      <w:r>
        <w:rPr>
          <w:rFonts w:ascii="Times New Roman" w:hAnsi="Times New Roman" w:cs="Times New Roman"/>
          <w:sz w:val="18"/>
          <w:szCs w:val="18"/>
        </w:rPr>
        <w:t xml:space="preserve">Accrual basis</w:t>
      </w:r>
    </w:p>
  </w:footnote>
  <w:footnote w:id="5">
    <w:p>
      <w:pPr>
        <w:bidi w:val="0"/>
        <w:spacing w:after="0" w:line="240" w:lineRule="auto"/>
        <w:jc w:val="left"/>
      </w:pPr>
      <w:r>
        <w:rPr>
          <w:rFonts w:ascii="Times New Roman" w:hAnsi="Times New Roman" w:cs="Times New Roman"/>
          <w:sz w:val="18"/>
          <w:szCs w:val="18"/>
        </w:rPr>
        <w:t xml:space="preserve">۵. </w:t>
      </w:r>
      <w:r>
        <w:rPr>
          <w:rFonts w:ascii="Times New Roman" w:hAnsi="Times New Roman" w:cs="Times New Roman"/>
          <w:sz w:val="18"/>
          <w:szCs w:val="18"/>
        </w:rPr>
        <w:t xml:space="preserve">Pollitt &amp; Bouckaert</w:t>
      </w:r>
    </w:p>
  </w:footnote>
  <w:footnote w:id="6">
    <w:p>
      <w:pPr>
        <w:bidi w:val="0"/>
        <w:spacing w:after="0" w:line="240" w:lineRule="auto"/>
        <w:jc w:val="left"/>
      </w:pPr>
      <w:r>
        <w:rPr>
          <w:rFonts w:ascii="Times New Roman" w:hAnsi="Times New Roman" w:cs="Times New Roman"/>
          <w:sz w:val="18"/>
          <w:szCs w:val="18"/>
        </w:rPr>
        <w:t xml:space="preserve">۶. </w:t>
      </w:r>
      <w:r>
        <w:rPr>
          <w:rFonts w:ascii="Times New Roman" w:hAnsi="Times New Roman" w:cs="Times New Roman"/>
          <w:sz w:val="18"/>
          <w:szCs w:val="18"/>
        </w:rPr>
        <w:t xml:space="preserve">Christiaens et al.</w:t>
      </w:r>
    </w:p>
  </w:footnote>
  <w:footnote w:id="7">
    <w:p>
      <w:pPr>
        <w:bidi w:val="0"/>
        <w:spacing w:after="0" w:line="240" w:lineRule="auto"/>
        <w:jc w:val="left"/>
      </w:pPr>
      <w:r>
        <w:rPr>
          <w:rFonts w:ascii="Times New Roman" w:hAnsi="Times New Roman" w:cs="Times New Roman"/>
          <w:sz w:val="18"/>
          <w:szCs w:val="18"/>
        </w:rPr>
        <w:t xml:space="preserve">۷. </w:t>
      </w:r>
      <w:r>
        <w:rPr>
          <w:rFonts w:ascii="Times New Roman" w:hAnsi="Times New Roman" w:cs="Times New Roman"/>
          <w:sz w:val="18"/>
          <w:szCs w:val="18"/>
        </w:rPr>
        <w:t xml:space="preserve">Ahmadi, Nazemi, &amp; Namazi</w:t>
      </w:r>
    </w:p>
  </w:footnote>
  <w:footnote w:id="8">
    <w:p>
      <w:pPr>
        <w:bidi w:val="0"/>
        <w:spacing w:after="0" w:line="240" w:lineRule="auto"/>
        <w:jc w:val="left"/>
      </w:pPr>
      <w:r>
        <w:rPr>
          <w:rFonts w:ascii="Times New Roman" w:hAnsi="Times New Roman" w:cs="Times New Roman"/>
          <w:sz w:val="18"/>
          <w:szCs w:val="18"/>
        </w:rPr>
        <w:t xml:space="preserve">۸. </w:t>
      </w:r>
      <w:r>
        <w:rPr>
          <w:rFonts w:ascii="Times New Roman" w:hAnsi="Times New Roman" w:cs="Times New Roman"/>
          <w:sz w:val="18"/>
          <w:szCs w:val="18"/>
        </w:rPr>
        <w:t xml:space="preserve">Nourani &amp; Akhlaghi Yazdinejad</w:t>
      </w:r>
    </w:p>
  </w:footnote>
  <w:footnote w:id="9">
    <w:p>
      <w:pPr>
        <w:bidi w:val="0"/>
        <w:spacing w:after="0" w:line="240" w:lineRule="auto"/>
        <w:jc w:val="left"/>
      </w:pPr>
      <w:r>
        <w:rPr>
          <w:rFonts w:ascii="Times New Roman" w:hAnsi="Times New Roman" w:cs="Times New Roman"/>
          <w:sz w:val="18"/>
          <w:szCs w:val="18"/>
        </w:rPr>
        <w:t xml:space="preserve">۹. </w:t>
      </w:r>
      <w:r>
        <w:rPr>
          <w:rFonts w:ascii="Times New Roman" w:hAnsi="Times New Roman" w:cs="Times New Roman"/>
          <w:sz w:val="18"/>
          <w:szCs w:val="18"/>
        </w:rPr>
        <w:t xml:space="preserve">Meyer &amp; Rowan</w:t>
      </w:r>
    </w:p>
  </w:footnote>
  <w:footnote w:id="10">
    <w:p>
      <w:pPr>
        <w:bidi w:val="0"/>
        <w:spacing w:after="0" w:line="240" w:lineRule="auto"/>
        <w:jc w:val="left"/>
      </w:pPr>
      <w:r>
        <w:rPr>
          <w:rFonts w:ascii="Times New Roman" w:hAnsi="Times New Roman" w:cs="Times New Roman"/>
          <w:sz w:val="18"/>
          <w:szCs w:val="18"/>
        </w:rPr>
        <w:t xml:space="preserve">۱۰. </w:t>
      </w:r>
      <w:r>
        <w:rPr>
          <w:rFonts w:ascii="Times New Roman" w:hAnsi="Times New Roman" w:cs="Times New Roman"/>
          <w:sz w:val="18"/>
          <w:szCs w:val="18"/>
        </w:rPr>
        <w:t xml:space="preserve">Bromley &amp; Powell</w:t>
      </w:r>
    </w:p>
  </w:footnote>
  <w:footnote w:id="11">
    <w:p>
      <w:pPr>
        <w:bidi w:val="0"/>
        <w:spacing w:after="0" w:line="240" w:lineRule="auto"/>
        <w:jc w:val="left"/>
      </w:pPr>
      <w:r>
        <w:rPr>
          <w:rFonts w:ascii="Times New Roman" w:hAnsi="Times New Roman" w:cs="Times New Roman"/>
          <w:sz w:val="18"/>
          <w:szCs w:val="18"/>
        </w:rPr>
        <w:t xml:space="preserve">۱۱. </w:t>
      </w:r>
      <w:r>
        <w:rPr>
          <w:rFonts w:ascii="Times New Roman" w:hAnsi="Times New Roman" w:cs="Times New Roman"/>
          <w:sz w:val="18"/>
          <w:szCs w:val="18"/>
        </w:rPr>
        <w:t xml:space="preserve">Brignall &amp; Modell</w:t>
      </w:r>
    </w:p>
  </w:footnote>
  <w:footnote w:id="12">
    <w:p>
      <w:pPr>
        <w:bidi w:val="0"/>
        <w:spacing w:after="0" w:line="240" w:lineRule="auto"/>
        <w:jc w:val="left"/>
      </w:pPr>
      <w:r>
        <w:rPr>
          <w:rFonts w:ascii="Times New Roman" w:hAnsi="Times New Roman" w:cs="Times New Roman"/>
          <w:sz w:val="18"/>
          <w:szCs w:val="18"/>
        </w:rPr>
        <w:t xml:space="preserve">۱۲. </w:t>
      </w:r>
      <w:r>
        <w:rPr>
          <w:rFonts w:ascii="Times New Roman" w:hAnsi="Times New Roman" w:cs="Times New Roman"/>
          <w:sz w:val="18"/>
          <w:szCs w:val="18"/>
        </w:rPr>
        <w:t xml:space="preserve">Modell</w:t>
      </w:r>
    </w:p>
  </w:footnote>
  <w:footnote w:id="13">
    <w:p>
      <w:pPr>
        <w:bidi w:val="0"/>
        <w:spacing w:after="0" w:line="240" w:lineRule="auto"/>
        <w:jc w:val="left"/>
      </w:pPr>
      <w:r>
        <w:rPr>
          <w:rFonts w:ascii="Times New Roman" w:hAnsi="Times New Roman" w:cs="Times New Roman"/>
          <w:sz w:val="18"/>
          <w:szCs w:val="18"/>
        </w:rPr>
        <w:t xml:space="preserve">۱۳. </w:t>
      </w:r>
      <w:r>
        <w:rPr>
          <w:rFonts w:ascii="Times New Roman" w:hAnsi="Times New Roman" w:cs="Times New Roman"/>
          <w:sz w:val="18"/>
          <w:szCs w:val="18"/>
        </w:rPr>
        <w:t xml:space="preserve">Bovens</w:t>
      </w:r>
    </w:p>
  </w:footnote>
  <w:footnote w:id="14">
    <w:p>
      <w:pPr>
        <w:bidi w:val="0"/>
        <w:spacing w:after="0" w:line="240" w:lineRule="auto"/>
        <w:jc w:val="left"/>
      </w:pPr>
      <w:r>
        <w:rPr>
          <w:rFonts w:ascii="Times New Roman" w:hAnsi="Times New Roman" w:cs="Times New Roman"/>
          <w:sz w:val="18"/>
          <w:szCs w:val="18"/>
        </w:rPr>
        <w:t xml:space="preserve">۱۴. </w:t>
      </w:r>
      <w:r>
        <w:rPr>
          <w:rFonts w:ascii="Times New Roman" w:hAnsi="Times New Roman" w:cs="Times New Roman"/>
          <w:sz w:val="18"/>
          <w:szCs w:val="18"/>
        </w:rPr>
        <w:t xml:space="preserve">Moore</w:t>
      </w:r>
    </w:p>
  </w:footnote>
  <w:footnote w:id="15">
    <w:p>
      <w:pPr>
        <w:bidi w:val="0"/>
        <w:spacing w:after="0" w:line="240" w:lineRule="auto"/>
        <w:jc w:val="left"/>
      </w:pPr>
      <w:r>
        <w:rPr>
          <w:rFonts w:ascii="Times New Roman" w:hAnsi="Times New Roman" w:cs="Times New Roman"/>
          <w:sz w:val="18"/>
          <w:szCs w:val="18"/>
        </w:rPr>
        <w:t xml:space="preserve">۱۵. </w:t>
      </w:r>
      <w:r>
        <w:rPr>
          <w:rFonts w:ascii="Times New Roman" w:hAnsi="Times New Roman" w:cs="Times New Roman"/>
          <w:sz w:val="18"/>
          <w:szCs w:val="18"/>
        </w:rPr>
        <w:t xml:space="preserve">DiMaggio &amp; Powell</w:t>
      </w:r>
    </w:p>
  </w:footnote>
  <w:footnote w:id="16">
    <w:p>
      <w:pPr>
        <w:bidi w:val="0"/>
        <w:spacing w:after="0" w:line="240" w:lineRule="auto"/>
        <w:jc w:val="left"/>
      </w:pPr>
      <w:r>
        <w:rPr>
          <w:rFonts w:ascii="Times New Roman" w:hAnsi="Times New Roman" w:cs="Times New Roman"/>
          <w:sz w:val="18"/>
          <w:szCs w:val="18"/>
        </w:rPr>
        <w:t xml:space="preserve">۱۶. </w:t>
      </w:r>
      <w:r>
        <w:rPr>
          <w:rFonts w:ascii="Times New Roman" w:hAnsi="Times New Roman" w:cs="Times New Roman"/>
          <w:sz w:val="18"/>
          <w:szCs w:val="18"/>
        </w:rPr>
        <w:t xml:space="preserve">Scott</w:t>
      </w:r>
    </w:p>
  </w:footnote>
  <w:footnote w:id="17">
    <w:p>
      <w:pPr>
        <w:bidi w:val="0"/>
        <w:spacing w:after="0" w:line="240" w:lineRule="auto"/>
        <w:jc w:val="left"/>
      </w:pPr>
      <w:r>
        <w:rPr>
          <w:rFonts w:ascii="Times New Roman" w:hAnsi="Times New Roman" w:cs="Times New Roman"/>
          <w:sz w:val="18"/>
          <w:szCs w:val="18"/>
        </w:rPr>
        <w:t xml:space="preserve">۱۷. </w:t>
      </w:r>
      <w:r>
        <w:rPr>
          <w:rFonts w:ascii="Times New Roman" w:hAnsi="Times New Roman" w:cs="Times New Roman"/>
          <w:sz w:val="18"/>
          <w:szCs w:val="18"/>
        </w:rPr>
        <w:t xml:space="preserve">Oliver</w:t>
      </w:r>
    </w:p>
  </w:footnote>
  <w:footnote w:id="18">
    <w:p>
      <w:pPr>
        <w:bidi w:val="0"/>
        <w:spacing w:after="0" w:line="240" w:lineRule="auto"/>
        <w:jc w:val="left"/>
      </w:pPr>
      <w:r>
        <w:rPr>
          <w:rFonts w:ascii="Times New Roman" w:hAnsi="Times New Roman" w:cs="Times New Roman"/>
          <w:sz w:val="18"/>
          <w:szCs w:val="18"/>
        </w:rPr>
        <w:t xml:space="preserve">۱۸. </w:t>
      </w:r>
      <w:r>
        <w:rPr>
          <w:rFonts w:ascii="Times New Roman" w:hAnsi="Times New Roman" w:cs="Times New Roman"/>
          <w:sz w:val="18"/>
          <w:szCs w:val="18"/>
        </w:rPr>
        <w:t xml:space="preserve">Moynihan</w:t>
      </w:r>
    </w:p>
  </w:footnote>
  <w:footnote w:id="19">
    <w:p>
      <w:pPr>
        <w:bidi w:val="0"/>
        <w:spacing w:after="0" w:line="240" w:lineRule="auto"/>
        <w:jc w:val="left"/>
      </w:pPr>
      <w:r>
        <w:rPr>
          <w:rFonts w:ascii="Times New Roman" w:hAnsi="Times New Roman" w:cs="Times New Roman"/>
          <w:sz w:val="18"/>
          <w:szCs w:val="18"/>
        </w:rPr>
        <w:t xml:space="preserve">۱۹. </w:t>
      </w:r>
      <w:r>
        <w:rPr>
          <w:rFonts w:ascii="Times New Roman" w:hAnsi="Times New Roman" w:cs="Times New Roman"/>
          <w:sz w:val="18"/>
          <w:szCs w:val="18"/>
        </w:rPr>
        <w:t xml:space="preserve">Moynihan &amp; Pandey</w:t>
      </w:r>
    </w:p>
  </w:footnote>
  <w:footnote w:id="20">
    <w:p>
      <w:pPr>
        <w:bidi w:val="0"/>
        <w:spacing w:after="0" w:line="240" w:lineRule="auto"/>
        <w:jc w:val="left"/>
      </w:pPr>
      <w:r>
        <w:rPr>
          <w:rFonts w:ascii="Times New Roman" w:hAnsi="Times New Roman" w:cs="Times New Roman"/>
          <w:sz w:val="18"/>
          <w:szCs w:val="18"/>
        </w:rPr>
        <w:t xml:space="preserve">۲۰. </w:t>
      </w:r>
      <w:r>
        <w:rPr>
          <w:rFonts w:ascii="Times New Roman" w:hAnsi="Times New Roman" w:cs="Times New Roman"/>
          <w:sz w:val="18"/>
          <w:szCs w:val="18"/>
        </w:rPr>
        <w:t xml:space="preserve">Kroll</w:t>
      </w:r>
    </w:p>
  </w:footnote>
  <w:footnote w:id="21">
    <w:p>
      <w:pPr>
        <w:bidi w:val="0"/>
        <w:spacing w:after="0" w:line="240" w:lineRule="auto"/>
        <w:jc w:val="left"/>
      </w:pPr>
      <w:r>
        <w:rPr>
          <w:rFonts w:ascii="Times New Roman" w:hAnsi="Times New Roman" w:cs="Times New Roman"/>
          <w:sz w:val="18"/>
          <w:szCs w:val="18"/>
        </w:rPr>
        <w:t xml:space="preserve">۲۱. </w:t>
      </w:r>
      <w:r>
        <w:rPr>
          <w:rFonts w:ascii="Times New Roman" w:hAnsi="Times New Roman" w:cs="Times New Roman"/>
          <w:sz w:val="18"/>
          <w:szCs w:val="18"/>
        </w:rPr>
        <w:t xml:space="preserve">Pina, Torres, &amp; Yetano</w:t>
      </w:r>
    </w:p>
  </w:footnote>
  <w:footnote w:id="22">
    <w:p>
      <w:pPr>
        <w:bidi w:val="0"/>
        <w:spacing w:after="0" w:line="240" w:lineRule="auto"/>
        <w:jc w:val="left"/>
      </w:pPr>
      <w:r>
        <w:rPr>
          <w:rFonts w:ascii="Times New Roman" w:hAnsi="Times New Roman" w:cs="Times New Roman"/>
          <w:sz w:val="18"/>
          <w:szCs w:val="18"/>
        </w:rPr>
        <w:t xml:space="preserve">۲۲. </w:t>
      </w:r>
      <w:r>
        <w:rPr>
          <w:rFonts w:ascii="Times New Roman" w:hAnsi="Times New Roman" w:cs="Times New Roman"/>
          <w:sz w:val="18"/>
          <w:szCs w:val="18"/>
        </w:rPr>
        <w:t xml:space="preserve">Christiaens, Reyniers, &amp; Rollé</w:t>
      </w:r>
    </w:p>
  </w:footnote>
  <w:footnote w:id="23">
    <w:p>
      <w:pPr>
        <w:bidi w:val="0"/>
        <w:spacing w:after="0" w:line="240" w:lineRule="auto"/>
        <w:jc w:val="left"/>
      </w:pPr>
      <w:r>
        <w:rPr>
          <w:rFonts w:ascii="Times New Roman" w:hAnsi="Times New Roman" w:cs="Times New Roman"/>
          <w:sz w:val="18"/>
          <w:szCs w:val="18"/>
        </w:rPr>
        <w:t xml:space="preserve">۲۳. </w:t>
      </w:r>
      <w:r>
        <w:rPr>
          <w:rFonts w:ascii="Times New Roman" w:hAnsi="Times New Roman" w:cs="Times New Roman"/>
          <w:sz w:val="18"/>
          <w:szCs w:val="18"/>
        </w:rPr>
        <w:t xml:space="preserve">Bracci, Humphrey, Moll, &amp; Steccolini</w:t>
      </w:r>
    </w:p>
  </w:footnote>
  <w:footnote w:id="24">
    <w:p>
      <w:pPr>
        <w:bidi w:val="0"/>
        <w:spacing w:after="0" w:line="240" w:lineRule="auto"/>
        <w:jc w:val="left"/>
      </w:pPr>
      <w:r>
        <w:rPr>
          <w:rFonts w:ascii="Times New Roman" w:hAnsi="Times New Roman" w:cs="Times New Roman"/>
          <w:sz w:val="18"/>
          <w:szCs w:val="18"/>
        </w:rPr>
        <w:t xml:space="preserve">۲۴. </w:t>
      </w:r>
      <w:r>
        <w:rPr>
          <w:rFonts w:ascii="Times New Roman" w:hAnsi="Times New Roman" w:cs="Times New Roman"/>
          <w:sz w:val="18"/>
          <w:szCs w:val="18"/>
        </w:rPr>
        <w:t xml:space="preserve">DeLone &amp; McLean</w:t>
      </w:r>
    </w:p>
  </w:footnote>
  <w:footnote w:id="25">
    <w:p>
      <w:pPr>
        <w:bidi w:val="0"/>
        <w:spacing w:after="0" w:line="240" w:lineRule="auto"/>
        <w:jc w:val="left"/>
      </w:pPr>
      <w:r>
        <w:rPr>
          <w:rFonts w:ascii="Times New Roman" w:hAnsi="Times New Roman" w:cs="Times New Roman"/>
          <w:sz w:val="18"/>
          <w:szCs w:val="18"/>
        </w:rPr>
        <w:t xml:space="preserve">۲۵. </w:t>
      </w:r>
      <w:r>
        <w:rPr>
          <w:rFonts w:ascii="Times New Roman" w:hAnsi="Times New Roman" w:cs="Times New Roman"/>
          <w:sz w:val="18"/>
          <w:szCs w:val="18"/>
        </w:rPr>
        <w:t xml:space="preserve">Dunleavy et al.</w:t>
      </w:r>
    </w:p>
  </w:footnote>
  <w:footnote w:id="26">
    <w:p>
      <w:pPr>
        <w:bidi w:val="0"/>
        <w:spacing w:after="0" w:line="240" w:lineRule="auto"/>
        <w:jc w:val="left"/>
      </w:pPr>
      <w:r>
        <w:rPr>
          <w:rFonts w:ascii="Times New Roman" w:hAnsi="Times New Roman" w:cs="Times New Roman"/>
          <w:sz w:val="18"/>
          <w:szCs w:val="18"/>
        </w:rPr>
        <w:t xml:space="preserve">۲۶. </w:t>
      </w:r>
      <w:r>
        <w:rPr>
          <w:rFonts w:ascii="Times New Roman" w:hAnsi="Times New Roman" w:cs="Times New Roman"/>
          <w:sz w:val="18"/>
          <w:szCs w:val="18"/>
        </w:rPr>
        <w:t xml:space="preserve">Naroui, Momeni, &amp; Gerd</w:t>
      </w:r>
    </w:p>
  </w:footnote>
  <w:footnote w:id="27">
    <w:p>
      <w:pPr>
        <w:bidi w:val="0"/>
        <w:spacing w:after="0" w:line="240" w:lineRule="auto"/>
        <w:jc w:val="left"/>
      </w:pPr>
      <w:r>
        <w:rPr>
          <w:rFonts w:ascii="Times New Roman" w:hAnsi="Times New Roman" w:cs="Times New Roman"/>
          <w:sz w:val="18"/>
          <w:szCs w:val="18"/>
        </w:rPr>
        <w:t xml:space="preserve">۲۷. </w:t>
      </w:r>
      <w:r>
        <w:rPr>
          <w:rFonts w:ascii="Times New Roman" w:hAnsi="Times New Roman" w:cs="Times New Roman"/>
          <w:sz w:val="18"/>
          <w:szCs w:val="18"/>
        </w:rPr>
        <w:t xml:space="preserve">Pourghaffar et al.</w:t>
      </w:r>
    </w:p>
  </w:footnote>
  <w:footnote w:id="28">
    <w:p>
      <w:pPr>
        <w:bidi w:val="0"/>
        <w:spacing w:after="0" w:line="240" w:lineRule="auto"/>
        <w:jc w:val="left"/>
      </w:pPr>
      <w:r>
        <w:rPr>
          <w:rFonts w:ascii="Times New Roman" w:hAnsi="Times New Roman" w:cs="Times New Roman"/>
          <w:sz w:val="18"/>
          <w:szCs w:val="18"/>
        </w:rPr>
        <w:t xml:space="preserve">۲۸. </w:t>
      </w:r>
      <w:r>
        <w:rPr>
          <w:rFonts w:ascii="Times New Roman" w:hAnsi="Times New Roman" w:cs="Times New Roman"/>
          <w:sz w:val="18"/>
          <w:szCs w:val="18"/>
        </w:rPr>
        <w:t xml:space="preserve">MacCallum, Browne, &amp; Sugawara</w:t>
      </w:r>
    </w:p>
  </w:footnote>
  <w:footnote w:id="29">
    <w:p>
      <w:pPr>
        <w:bidi w:val="0"/>
        <w:spacing w:after="0" w:line="240" w:lineRule="auto"/>
        <w:jc w:val="left"/>
      </w:pPr>
      <w:r>
        <w:rPr>
          <w:rFonts w:ascii="Times New Roman" w:hAnsi="Times New Roman" w:cs="Times New Roman"/>
          <w:sz w:val="18"/>
          <w:szCs w:val="18"/>
        </w:rPr>
        <w:t xml:space="preserve">۲۹. </w:t>
      </w:r>
      <w:r>
        <w:rPr>
          <w:rFonts w:ascii="Times New Roman" w:hAnsi="Times New Roman" w:cs="Times New Roman"/>
          <w:sz w:val="18"/>
          <w:szCs w:val="18"/>
        </w:rPr>
        <w:t xml:space="preserve">Teo, Wei, &amp; Benbasat</w:t>
      </w:r>
    </w:p>
  </w:footnote>
  <w:footnote w:id="30">
    <w:p>
      <w:pPr>
        <w:bidi w:val="0"/>
        <w:spacing w:after="0" w:line="240" w:lineRule="auto"/>
        <w:jc w:val="left"/>
      </w:pPr>
      <w:r>
        <w:rPr>
          <w:rFonts w:ascii="Times New Roman" w:hAnsi="Times New Roman" w:cs="Times New Roman"/>
          <w:sz w:val="18"/>
          <w:szCs w:val="18"/>
        </w:rPr>
        <w:t xml:space="preserve">۳۰. </w:t>
      </w:r>
      <w:r>
        <w:rPr>
          <w:rFonts w:ascii="Times New Roman" w:hAnsi="Times New Roman" w:cs="Times New Roman"/>
          <w:sz w:val="18"/>
          <w:szCs w:val="18"/>
        </w:rPr>
        <w:t xml:space="preserve">Lawshe</w:t>
      </w:r>
    </w:p>
  </w:footnote>
  <w:footnote w:id="31">
    <w:p>
      <w:pPr>
        <w:bidi w:val="0"/>
        <w:spacing w:after="0" w:line="240" w:lineRule="auto"/>
        <w:jc w:val="left"/>
      </w:pPr>
      <w:r>
        <w:rPr>
          <w:rFonts w:ascii="Times New Roman" w:hAnsi="Times New Roman" w:cs="Times New Roman"/>
          <w:sz w:val="18"/>
          <w:szCs w:val="18"/>
        </w:rPr>
        <w:t xml:space="preserve">۳۱. </w:t>
      </w:r>
      <w:r>
        <w:rPr>
          <w:rFonts w:ascii="Times New Roman" w:hAnsi="Times New Roman" w:cs="Times New Roman"/>
          <w:sz w:val="18"/>
          <w:szCs w:val="18"/>
        </w:rPr>
        <w:t xml:space="preserve">Polit &amp; Beck</w:t>
      </w:r>
    </w:p>
  </w:footnote>
  <w:footnote w:id="32">
    <w:p>
      <w:pPr>
        <w:bidi w:val="0"/>
        <w:spacing w:after="0" w:line="240" w:lineRule="auto"/>
        <w:jc w:val="left"/>
      </w:pPr>
      <w:r>
        <w:rPr>
          <w:rFonts w:ascii="Times New Roman" w:hAnsi="Times New Roman" w:cs="Times New Roman"/>
          <w:sz w:val="18"/>
          <w:szCs w:val="18"/>
        </w:rPr>
        <w:t xml:space="preserve">۳۲. </w:t>
      </w:r>
      <w:r>
        <w:rPr>
          <w:rFonts w:ascii="Times New Roman" w:hAnsi="Times New Roman" w:cs="Times New Roman"/>
          <w:sz w:val="18"/>
          <w:szCs w:val="18"/>
        </w:rPr>
        <w:t xml:space="preserve">Fornell &amp; Larcker</w:t>
      </w:r>
    </w:p>
  </w:footnote>
  <w:footnote w:id="33">
    <w:p>
      <w:pPr>
        <w:bidi w:val="0"/>
        <w:spacing w:after="0" w:line="240" w:lineRule="auto"/>
        <w:jc w:val="left"/>
      </w:pPr>
      <w:r>
        <w:rPr>
          <w:rFonts w:ascii="Times New Roman" w:hAnsi="Times New Roman" w:cs="Times New Roman"/>
          <w:sz w:val="18"/>
          <w:szCs w:val="18"/>
        </w:rPr>
        <w:t xml:space="preserve">۳۳. </w:t>
      </w:r>
      <w:r>
        <w:rPr>
          <w:rFonts w:ascii="Times New Roman" w:hAnsi="Times New Roman" w:cs="Times New Roman"/>
          <w:sz w:val="18"/>
          <w:szCs w:val="18"/>
        </w:rPr>
        <w:t xml:space="preserve">Henseler, Ringle, &amp; Sarstedt</w:t>
      </w:r>
    </w:p>
  </w:footnote>
  <w:footnote w:id="34">
    <w:p>
      <w:pPr>
        <w:bidi w:val="0"/>
        <w:spacing w:after="0" w:line="240" w:lineRule="auto"/>
        <w:jc w:val="left"/>
      </w:pPr>
      <w:r>
        <w:rPr>
          <w:rFonts w:ascii="Times New Roman" w:hAnsi="Times New Roman" w:cs="Times New Roman"/>
          <w:sz w:val="18"/>
          <w:szCs w:val="18"/>
        </w:rPr>
        <w:t xml:space="preserve">۳۴. </w:t>
      </w:r>
      <w:r>
        <w:rPr>
          <w:rFonts w:ascii="Times New Roman" w:hAnsi="Times New Roman" w:cs="Times New Roman"/>
          <w:sz w:val="18"/>
          <w:szCs w:val="18"/>
        </w:rPr>
        <w:t xml:space="preserve">Podsakoff et al.</w:t>
      </w:r>
    </w:p>
  </w:footnote>
  <w:footnote w:id="35">
    <w:p>
      <w:pPr>
        <w:bidi w:val="0"/>
        <w:spacing w:after="0" w:line="240" w:lineRule="auto"/>
        <w:jc w:val="left"/>
      </w:pPr>
      <w:r>
        <w:rPr>
          <w:rFonts w:ascii="Times New Roman" w:hAnsi="Times New Roman" w:cs="Times New Roman"/>
          <w:sz w:val="18"/>
          <w:szCs w:val="18"/>
        </w:rPr>
        <w:t xml:space="preserve">۳۵. </w:t>
      </w:r>
      <w:r>
        <w:rPr>
          <w:rFonts w:ascii="Times New Roman" w:hAnsi="Times New Roman" w:cs="Times New Roman"/>
          <w:sz w:val="18"/>
          <w:szCs w:val="18"/>
        </w:rPr>
        <w:t xml:space="preserve">Igolkina &amp; Meshcheryakov</w:t>
      </w:r>
    </w:p>
  </w:footnote>
  <w:footnote w:id="36">
    <w:p>
      <w:pPr>
        <w:bidi w:val="0"/>
        <w:spacing w:after="0" w:line="240" w:lineRule="auto"/>
        <w:jc w:val="left"/>
      </w:pPr>
      <w:r>
        <w:rPr>
          <w:rFonts w:ascii="Times New Roman" w:hAnsi="Times New Roman" w:cs="Times New Roman"/>
          <w:sz w:val="18"/>
          <w:szCs w:val="18"/>
        </w:rPr>
        <w:t xml:space="preserve">۳۶. </w:t>
      </w:r>
      <w:r>
        <w:rPr>
          <w:rFonts w:ascii="Times New Roman" w:hAnsi="Times New Roman" w:cs="Times New Roman"/>
          <w:sz w:val="18"/>
          <w:szCs w:val="18"/>
        </w:rPr>
        <w:t xml:space="preserve">Marsh, Wen, &amp; Hau</w:t>
      </w:r>
    </w:p>
  </w:footnote>
  <w:footnote w:id="37">
    <w:p>
      <w:pPr>
        <w:bidi w:val="0"/>
        <w:spacing w:after="0" w:line="240" w:lineRule="auto"/>
        <w:jc w:val="left"/>
      </w:pPr>
      <w:r>
        <w:rPr>
          <w:rFonts w:ascii="Times New Roman" w:hAnsi="Times New Roman" w:cs="Times New Roman"/>
          <w:sz w:val="18"/>
          <w:szCs w:val="18"/>
        </w:rPr>
        <w:t xml:space="preserve">۳۷. </w:t>
      </w:r>
      <w:r>
        <w:rPr>
          <w:rFonts w:ascii="Times New Roman" w:hAnsi="Times New Roman" w:cs="Times New Roman"/>
          <w:sz w:val="18"/>
          <w:szCs w:val="18"/>
        </w:rPr>
        <w:t xml:space="preserve">Little, Bovaird, &amp; Widaman</w:t>
      </w:r>
    </w:p>
  </w:footnote>
  <w:footnote w:id="38">
    <w:p>
      <w:pPr>
        <w:bidi w:val="0"/>
        <w:spacing w:after="0" w:line="240" w:lineRule="auto"/>
        <w:jc w:val="left"/>
      </w:pPr>
      <w:r>
        <w:rPr>
          <w:rFonts w:ascii="Times New Roman" w:hAnsi="Times New Roman" w:cs="Times New Roman"/>
          <w:sz w:val="18"/>
          <w:szCs w:val="18"/>
        </w:rPr>
        <w:t xml:space="preserve">۳۸. </w:t>
      </w:r>
      <w:r>
        <w:rPr>
          <w:rFonts w:ascii="Times New Roman" w:hAnsi="Times New Roman" w:cs="Times New Roman"/>
          <w:sz w:val="18"/>
          <w:szCs w:val="18"/>
        </w:rPr>
        <w:t xml:space="preserve">Hu &amp; Bentler</w:t>
      </w:r>
    </w:p>
  </w:footnote>
  <w:footnote w:id="39">
    <w:p>
      <w:pPr>
        <w:bidi w:val="0"/>
        <w:spacing w:after="0" w:line="240" w:lineRule="auto"/>
        <w:jc w:val="left"/>
      </w:pPr>
      <w:r>
        <w:rPr>
          <w:rFonts w:ascii="Times New Roman" w:hAnsi="Times New Roman" w:cs="Times New Roman"/>
          <w:sz w:val="18"/>
          <w:szCs w:val="18"/>
        </w:rPr>
        <w:t xml:space="preserve">۳۹. </w:t>
      </w:r>
      <w:r>
        <w:rPr>
          <w:rFonts w:ascii="Times New Roman" w:hAnsi="Times New Roman" w:cs="Times New Roman"/>
          <w:sz w:val="18"/>
          <w:szCs w:val="18"/>
        </w:rPr>
        <w:t xml:space="preserve">Preacher &amp; Hayes</w:t>
      </w:r>
    </w:p>
  </w:footnote>
  <w:footnote w:id="40">
    <w:p>
      <w:pPr>
        <w:bidi w:val="0"/>
        <w:spacing w:after="0" w:line="240" w:lineRule="auto"/>
        <w:jc w:val="left"/>
      </w:pPr>
      <w:r>
        <w:rPr>
          <w:rFonts w:ascii="Times New Roman" w:hAnsi="Times New Roman" w:cs="Times New Roman"/>
          <w:sz w:val="18"/>
          <w:szCs w:val="18"/>
        </w:rPr>
        <w:t xml:space="preserve">۴۰. </w:t>
      </w:r>
      <w:r>
        <w:rPr>
          <w:rFonts w:ascii="Times New Roman" w:hAnsi="Times New Roman" w:cs="Times New Roman"/>
          <w:sz w:val="18"/>
          <w:szCs w:val="18"/>
        </w:rPr>
        <w:t xml:space="preserve">Hayes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ind w:end="0"/>
      <w:jc w:val="start"/>
      <w:rPr>
        <w:rFonts w:cs="B Mitra"/>
        <w:b/>
        <w:bCs/>
        <w:sz w:val="20"/>
        <w:szCs w:val="20"/>
      </w:rPr>
    </w:pPr>
    <w:r>
      <w:rPr>
        <w:rFonts w:cs="B Mitra"/>
        <w:b/>
        <w:bCs/>
        <w:sz w:val="20"/>
        <w:szCs w:val="20"/>
        <w:rtl w:val="true"/>
      </w:rPr>
      <w:fldChar w:fldCharType="begin"/>
    </w:r>
    <w:r>
      <w:rPr>
        <w:rtl w:val="true"/>
        <w:sz w:val="20"/>
        <w:b/>
        <w:szCs w:val="20"/>
        <w:bCs/>
        <w:rFonts w:cs="B Mitra"/>
      </w:rPr>
      <w:instrText xml:space="preserve"> PAGE </w:instrText>
    </w:r>
    <w:r>
      <w:rPr>
        <w:rtl w:val="true"/>
        <w:sz w:val="20"/>
        <w:b/>
        <w:szCs w:val="20"/>
        <w:bCs/>
        <w:rFonts w:cs="B Mitra"/>
      </w:rPr>
      <w:fldChar w:fldCharType="separate"/>
    </w:r>
    <w:r>
      <w:rPr>
        <w:rtl w:val="true"/>
        <w:sz w:val="20"/>
        <w:b/>
        <w:szCs w:val="20"/>
        <w:bCs/>
        <w:rFonts w:cs="B Mitra"/>
      </w:rPr>
      <w:t>10</w:t>
    </w:r>
    <w:r>
      <w:rPr>
        <w:rtl w:val="true"/>
        <w:sz w:val="20"/>
        <w:b/>
        <w:szCs w:val="20"/>
        <w:bCs/>
        <w:rFonts w:cs="B Mitra"/>
      </w:rPr>
      <w:fldChar w:fldCharType="end"/>
    </w:r>
    <w:r>
      <w:rPr>
        <w:rFonts w:cs="Times New Roman"/>
        <w:b/>
        <w:bCs/>
        <w:sz w:val="20"/>
        <w:szCs w:val="20"/>
        <w:rtl w:val="true"/>
      </w:rPr>
      <w:t xml:space="preserve">  </w:t>
    </w:r>
    <w:r>
      <w:rPr>
        <w:rFonts w:cs="B Mitra"/>
        <w:b/>
        <w:bCs/>
        <w:sz w:val="20"/>
        <w:szCs w:val="20"/>
        <w:rtl w:val="true"/>
      </w:rPr>
      <w:tab/>
    </w:r>
  </w:p>
  <w:p>
    <w:pPr>
      <w:pStyle w:val="Header"/>
      <w:ind w:end="0"/>
      <w:jc w:val="start"/>
      <w:rPr>
        <w:rFonts w:cs="B Mitra"/>
        <w:b/>
        <w:bCs/>
        <w:sz w:val="20"/>
        <w:szCs w:val="20"/>
      </w:rPr>
    </w:pPr>
    <w:r>
      <w:rPr>
        <w:rFonts w:cs="B Mitra"/>
        <w:b/>
        <w:bCs/>
        <w:sz w:val="20"/>
        <w:szCs w:val="20"/>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spacing w:lineRule="auto" w:line="216"/>
      <w:ind w:hanging="2467" w:end="0"/>
      <w:jc w:val="start"/>
      <w:rPr/>
    </w:pPr>
    <w:r>
      <w:rPr>
        <w:rtl w:val="true"/>
        <w:lang w:val="en-US" w:eastAsia="en-US" w:bidi="ar-SA"/>
      </w:rPr>
      <w:drawing>
        <wp:inline distT="0" distB="0" distL="0" distR="0">
          <wp:extent cx="7509510" cy="1045845"/>
          <wp:effectExtent l="0" t="0" r="0" b="0"/>
          <wp:docPr id="1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title=""/>
                  <pic:cNvPicPr>
                    <a:picLocks noChangeAspect="1" noChangeArrowheads="1"/>
                  </pic:cNvPicPr>
                </pic:nvPicPr>
                <pic:blipFill>
                  <a:blip r:embed="rId1"/>
                  <a:srcRect l="-3" t="-24" r="-3" b="-24"/>
                  <a:stretch>
                    <a:fillRect/>
                  </a:stretch>
                </pic:blipFill>
                <pic:spPr bwMode="auto">
                  <a:xfrm>
                    <a:off x="0" y="0"/>
                    <a:ext cx="7509510" cy="1045845"/>
                  </a:xfrm>
                  <a:prstGeom prst="rect">
                    <a:avLst/>
                  </a:prstGeom>
                </pic:spPr>
              </pic:pic>
            </a:graphicData>
          </a:graphic>
        </wp:inline>
      </w:drawing>
    </w:r>
    <w:r>
      <w:rPr>
        <w:rFonts w:cs="B Mitra"/>
        <w:b/>
        <w:bCs/>
        <w:sz w:val="16"/>
        <w:szCs w:val="20"/>
        <w:rtl w:val="true"/>
      </w:rPr>
      <w:tab/>
    </w:r>
  </w:p>
</w:hdr>
</file>

<file path=word/settings.xml><?xml version="1.0" encoding="utf-8"?>
<w:settings xmlns:w="http://schemas.openxmlformats.org/wordprocessingml/2006/main">
  <w:zoom w:percent="100"/>
  <w:defaultTabStop w:val="709"/>
  <w:evenAndOddHeaders/>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Mitra"/>
        <w:sz w:val="26"/>
        <w:szCs w:val="26"/>
        <w:lang w:val="en-US" w:bidi="fa-IR"/>
      </w:rPr>
    </w:rPrDefault>
    <w:pPrDefault>
      <w:pPr>
        <w:bidi/>
      </w:pPr>
    </w:pPrDefault>
  </w:docDefaults>
  <w:style w:type="paragraph" w:default="1" w:styleId="Normal">
    <w:name w:val="Normal"/>
  </w:style>
  <w:style w:type="paragraph" w:styleId="Header">
    <w:name w:val="header"/>
    <w:basedOn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He" Type="http://schemas.openxmlformats.org/officeDocument/2006/relationships/header" Target="header1.xml"/><Relationship Id="rIdHd" Type="http://schemas.openxmlformats.org/officeDocument/2006/relationships/header" Target="header2.xml"/><Relationship Id="rIdImg1" Type="http://schemas.openxmlformats.org/officeDocument/2006/relationships/image" Target="media/image1.png"/><Relationship Id="rIdImg2" Type="http://schemas.openxmlformats.org/officeDocument/2006/relationships/image" Target="media/image2.png"/></Relationships>
</file>

<file path=word/_rels/header2.xml.rels><?xml version="1.0" encoding="UTF-8" standalone="yes"?><Relationships xmlns="http://schemas.openxmlformats.org/package/2006/relationships"><Relationship Id="rId1" Type="http://schemas.openxmlformats.org/officeDocument/2006/relationships/image" Target="media/banner.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ظاهر یا ماهیت؟ فشارهای نهادی و پاسخگویی در اصلاحات مالی دستگاه‌های اجرایی</dc:title>
  <dc:language>fa-IR</dc:language>
</cp:coreProperties>
</file>