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60"/>
        <w:jc w:val="center"/>
        <w:rPr/>
      </w:pPr>
      <w:r>
        <w:rPr>
          <w:rFonts w:eastAsia="Times New Roman" w:cs="Times New Roman"/>
          <w:b/>
          <w:bCs/>
          <w:sz w:val="32"/>
          <w:szCs w:val="32"/>
          <w:lang w:val="en-US" w:bidi="fa-IR"/>
        </w:rPr>
        <w:t>Why Do Auditors Stay Silent? Time-Budget Pressure, Moral Disengagement and the Role of Professional Conscience</w:t>
      </w:r>
    </w:p>
    <w:p>
      <w:pPr>
        <w:pStyle w:val="Normal"/>
        <w:spacing w:lineRule="auto" w:line="276" w:before="0" w:after="100"/>
        <w:jc w:val="center"/>
        <w:rPr/>
      </w:pPr>
      <w:r>
        <w:rPr>
          <w:rFonts w:eastAsia="Times New Roman" w:cs="Times New Roman"/>
          <w:b/>
          <w:bCs/>
          <w:sz w:val="26"/>
          <w:szCs w:val="26"/>
          <w:lang w:val="en-US" w:bidi="fa-IR"/>
        </w:rPr>
        <w:t>Extended Abstract</w:t>
      </w:r>
    </w:p>
    <w:p>
      <w:pPr>
        <w:pStyle w:val="Normal"/>
        <w:keepNext w:val="true"/>
        <w:spacing w:lineRule="auto" w:line="276" w:before="100" w:after="30"/>
        <w:jc w:val="left"/>
        <w:rPr/>
      </w:pPr>
      <w:r>
        <w:rPr>
          <w:rFonts w:eastAsia="Times New Roman" w:cs="Times New Roman"/>
          <w:b/>
          <w:bCs/>
          <w:sz w:val="24"/>
          <w:szCs w:val="24"/>
          <w:lang w:val="en-US" w:bidi="fa-IR"/>
        </w:rPr>
        <w:t>Background and problem</w:t>
      </w:r>
    </w:p>
    <w:p>
      <w:pPr>
        <w:pStyle w:val="Normal"/>
        <w:spacing w:lineRule="auto" w:line="276" w:before="0" w:after="60"/>
        <w:ind w:firstLine="425"/>
        <w:jc w:val="both"/>
        <w:rPr/>
      </w:pPr>
      <w:r>
        <w:rPr>
          <w:rFonts w:eastAsia="Times New Roman" w:cs="Times New Roman"/>
          <w:sz w:val="24"/>
          <w:szCs w:val="24"/>
          <w:lang w:val="en-US" w:bidi="fa-IR"/>
        </w:rPr>
        <w:t>Auditors regularly meet irregularities that, if left unraised, can undermine the credibility of a report. The choice between raising a concern and staying silent is ethical before it is technical. Iranian studies link time-budget pressure to audit-quality-reducing behaviour and organisational silence to several organisational causes, but the cognitive mechanism that converts pressure into silence has been little tested.</w:t>
      </w:r>
    </w:p>
    <w:p>
      <w:pPr>
        <w:pStyle w:val="Normal"/>
        <w:keepNext w:val="true"/>
        <w:spacing w:lineRule="auto" w:line="276" w:before="100" w:after="30"/>
        <w:jc w:val="left"/>
        <w:rPr/>
      </w:pPr>
      <w:r>
        <w:rPr>
          <w:rFonts w:eastAsia="Times New Roman" w:cs="Times New Roman"/>
          <w:b/>
          <w:bCs/>
          <w:sz w:val="24"/>
          <w:szCs w:val="24"/>
          <w:lang w:val="en-US" w:bidi="fa-IR"/>
        </w:rPr>
        <w:t>Objective and questions</w:t>
      </w:r>
    </w:p>
    <w:p>
      <w:pPr>
        <w:pStyle w:val="Normal"/>
        <w:spacing w:lineRule="auto" w:line="276" w:before="0" w:after="60"/>
        <w:ind w:firstLine="425"/>
        <w:jc w:val="both"/>
        <w:rPr/>
      </w:pPr>
      <w:r>
        <w:rPr>
          <w:rFonts w:eastAsia="Times New Roman" w:cs="Times New Roman"/>
          <w:sz w:val="24"/>
          <w:szCs w:val="24"/>
          <w:lang w:val="en-US" w:bidi="fa-IR"/>
        </w:rPr>
        <w:t>The study tests a parsimonious five-variable model: time-budget pressure and ethical climate → moral disengagement → silence about a detected irregularity, with professional conscience as a moderator. Does moral disengagement mediate the effects of pressure and climate on silence, and does professional conscience weaken the links of this chain?</w:t>
      </w:r>
    </w:p>
    <w:p>
      <w:pPr>
        <w:pStyle w:val="Normal"/>
        <w:keepNext w:val="true"/>
        <w:spacing w:lineRule="auto" w:line="276" w:before="100" w:after="30"/>
        <w:jc w:val="left"/>
        <w:rPr/>
      </w:pPr>
      <w:r>
        <w:rPr>
          <w:rFonts w:eastAsia="Times New Roman" w:cs="Times New Roman"/>
          <w:b/>
          <w:bCs/>
          <w:sz w:val="24"/>
          <w:szCs w:val="24"/>
          <w:lang w:val="en-US" w:bidi="fa-IR"/>
        </w:rPr>
        <w:t>Theory</w:t>
      </w:r>
    </w:p>
    <w:p>
      <w:pPr>
        <w:pStyle w:val="Normal"/>
        <w:spacing w:lineRule="auto" w:line="276" w:before="0" w:after="60"/>
        <w:ind w:firstLine="425"/>
        <w:jc w:val="both"/>
        <w:rPr/>
      </w:pPr>
      <w:r>
        <w:rPr>
          <w:rFonts w:eastAsia="Times New Roman" w:cs="Times New Roman"/>
          <w:sz w:val="24"/>
          <w:szCs w:val="24"/>
          <w:lang w:val="en-US" w:bidi="fa-IR"/>
        </w:rPr>
        <w:t>Behavioral ethics, ethical fading and moral disengagement (moral justification, euphemistic labelling, advantageous comparison, displacement and diffusion of responsibility) provide the foundations. Ethical climate narrows what can be justified; silence (acquiescent and defensive) is the end point. Professional conscience, defined as internalised ethical and professional values such as trusteeship and accountability to one's conscience, is expected to act as a restraining force. Eight hypotheses were derived.</w:t>
      </w:r>
    </w:p>
    <w:p>
      <w:pPr>
        <w:pStyle w:val="Normal"/>
        <w:keepNext w:val="true"/>
        <w:spacing w:lineRule="auto" w:line="276" w:before="100" w:after="30"/>
        <w:jc w:val="left"/>
        <w:rPr/>
      </w:pPr>
      <w:r>
        <w:rPr>
          <w:rFonts w:eastAsia="Times New Roman" w:cs="Times New Roman"/>
          <w:b/>
          <w:bCs/>
          <w:sz w:val="24"/>
          <w:szCs w:val="24"/>
          <w:lang w:val="en-US" w:bidi="fa-IR"/>
        </w:rPr>
        <w:t>Method</w:t>
      </w:r>
    </w:p>
    <w:p>
      <w:pPr>
        <w:pStyle w:val="Normal"/>
        <w:spacing w:lineRule="auto" w:line="276" w:before="0" w:after="60"/>
        <w:ind w:firstLine="425"/>
        <w:jc w:val="both"/>
        <w:rPr/>
      </w:pPr>
      <w:r>
        <w:rPr>
          <w:rFonts w:eastAsia="Times New Roman" w:cs="Times New Roman"/>
          <w:sz w:val="24"/>
          <w:szCs w:val="24"/>
          <w:lang w:val="en-US" w:bidi="fa-IR"/>
        </w:rPr>
        <w:t>A survey of 364 auditors with a 22-item questionnaire (five constructs) was analysed with covariance-based SEM using fully latent variables (no item sums or means), two latent interactions, a 2,000-draw bootstrap, and five competing models.</w:t>
      </w:r>
    </w:p>
    <w:p>
      <w:pPr>
        <w:pStyle w:val="Normal"/>
        <w:keepNext w:val="true"/>
        <w:spacing w:lineRule="auto" w:line="276" w:before="100" w:after="30"/>
        <w:jc w:val="left"/>
        <w:rPr/>
      </w:pPr>
      <w:r>
        <w:rPr>
          <w:rFonts w:eastAsia="Times New Roman" w:cs="Times New Roman"/>
          <w:b/>
          <w:bCs/>
          <w:sz w:val="24"/>
          <w:szCs w:val="24"/>
          <w:lang w:val="en-US" w:bidi="fa-IR"/>
        </w:rPr>
        <w:t>Findings</w:t>
      </w:r>
    </w:p>
    <w:p>
      <w:pPr>
        <w:pStyle w:val="Normal"/>
        <w:spacing w:lineRule="auto" w:line="276" w:before="0" w:after="60"/>
        <w:ind w:firstLine="425"/>
        <w:jc w:val="both"/>
        <w:rPr/>
      </w:pPr>
      <w:r>
        <w:rPr>
          <w:rFonts w:eastAsia="Times New Roman" w:cs="Times New Roman"/>
          <w:sz w:val="24"/>
          <w:szCs w:val="24"/>
          <w:lang w:val="en-US" w:bidi="fa-IR"/>
        </w:rPr>
        <w:t>The measurement model fitted well (CFI = 0.977; RMSEA = 0.033; CR 0.80–0.86; max HTMT = 0.61). Time pressure increased moral disengagement (β = 0.54) and ethical climate reduced it (β = -0.23). Moral disengagement was the strongest predictor of silence (β = 0.43); climate had a direct negative effect (β = -0.14) whereas the direct effect of time pressure was not significant (β = 0.13). Professional conscience weakened both the pressure→disengagement path (β = -0.20) and the disengagement→silence path (β = -0.19); the indirect effect of time pressure on silence fell from 0.47 to 0.10 between low and high conscience. The model explained 46% of the variance in silence. Results were robust; a reverse-path model fitted almost equally well, so causal direction rests on theory.</w:t>
      </w:r>
    </w:p>
    <w:p>
      <w:pPr>
        <w:pStyle w:val="Normal"/>
        <w:keepNext w:val="true"/>
        <w:spacing w:lineRule="auto" w:line="276" w:before="100" w:after="30"/>
        <w:jc w:val="left"/>
        <w:rPr/>
      </w:pPr>
      <w:r>
        <w:rPr>
          <w:rFonts w:eastAsia="Times New Roman" w:cs="Times New Roman"/>
          <w:b/>
          <w:bCs/>
          <w:sz w:val="24"/>
          <w:szCs w:val="24"/>
          <w:lang w:val="en-US" w:bidi="fa-IR"/>
        </w:rPr>
        <w:t>Conclusions and implications</w:t>
      </w:r>
    </w:p>
    <w:p>
      <w:pPr>
        <w:pStyle w:val="Normal"/>
        <w:spacing w:lineRule="auto" w:line="276" w:before="0" w:after="60"/>
        <w:ind w:firstLine="425"/>
        <w:jc w:val="both"/>
        <w:rPr/>
      </w:pPr>
      <w:r>
        <w:rPr>
          <w:rFonts w:eastAsia="Times New Roman" w:cs="Times New Roman"/>
          <w:sz w:val="24"/>
          <w:szCs w:val="24"/>
          <w:lang w:val="en-US" w:bidi="fa-IR"/>
        </w:rPr>
        <w:t>Silence is less a decision to conceal than the end of a chain of pressure and justification. Protected time for unusual findings, training that exposes justification mechanisms, ethical leadership, safe channels for raising concerns and the selection and development of internalised professional values are the main recommendations.</w:t>
      </w:r>
    </w:p>
    <w:p>
      <w:pPr>
        <w:pStyle w:val="Normal"/>
        <w:keepNext w:val="true"/>
        <w:spacing w:lineRule="auto" w:line="276" w:before="100" w:after="30"/>
        <w:jc w:val="left"/>
        <w:rPr/>
      </w:pPr>
      <w:r>
        <w:rPr>
          <w:rFonts w:eastAsia="Times New Roman" w:cs="Times New Roman"/>
          <w:b/>
          <w:bCs/>
          <w:sz w:val="24"/>
          <w:szCs w:val="24"/>
          <w:lang w:val="en-US" w:bidi="fa-IR"/>
        </w:rPr>
        <w:t>Limitations</w:t>
      </w:r>
    </w:p>
    <w:p>
      <w:pPr>
        <w:pStyle w:val="Normal"/>
        <w:spacing w:lineRule="auto" w:line="276" w:before="0" w:after="60"/>
        <w:ind w:firstLine="425"/>
        <w:jc w:val="both"/>
        <w:rPr/>
      </w:pPr>
      <w:r>
        <w:rPr>
          <w:rFonts w:eastAsia="Times New Roman" w:cs="Times New Roman"/>
          <w:sz w:val="24"/>
          <w:szCs w:val="24"/>
          <w:lang w:val="en-US" w:bidi="fa-IR"/>
        </w:rPr>
        <w:t>Cross-sectional, self-reported data on a sensitive topic, two new scales and the equivalence of the reverse model. Experimental vignettes, diary or longitudinal designs and objective indicators are recommended.</w:t>
      </w:r>
    </w:p>
    <w:p>
      <w:pPr>
        <w:pStyle w:val="Normal"/>
        <w:spacing w:lineRule="auto" w:line="276" w:before="80" w:after="80"/>
        <w:jc w:val="both"/>
        <w:rPr/>
      </w:pPr>
      <w:r>
        <w:rPr>
          <w:rFonts w:eastAsia="Times New Roman" w:cs="Times New Roman"/>
          <w:b/>
          <w:bCs/>
          <w:sz w:val="24"/>
          <w:szCs w:val="24"/>
          <w:lang w:val="en-US" w:bidi="fa-IR"/>
        </w:rPr>
        <w:t>Keywords:</w:t>
      </w:r>
      <w:r>
        <w:rPr>
          <w:rFonts w:eastAsia="Times New Roman" w:cs="Times New Roman"/>
          <w:sz w:val="24"/>
          <w:szCs w:val="24"/>
          <w:lang w:val="en-US" w:bidi="fa-IR"/>
        </w:rPr>
        <w:t xml:space="preserve"> Ethical climate; auditing; moral disengagement; silence; time-budget pressure; professional conscience</w:t>
      </w:r>
    </w:p>
    <w:sectPr>
      <w:footerReference w:type="even" r:id="rId2"/>
      <w:footerReference w:type="default" r:id="rId3"/>
      <w:footerReference w:type="first" r:id="rId4"/>
      <w:type w:val="nextPage"/>
      <w:pgSz w:w="11906" w:h="16838"/>
      <w:pgMar w:left="1417" w:right="1417" w:gutter="0" w:header="0" w:top="1417" w:footer="708"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w:t>
    </w:r>
    <w:r>
      <w:rPr/>
      <w:fldChar w:fldCharType="end"/>
    </w:r>
  </w:p>
</w:ftr>
</file>

<file path=word/settings.xml><?xml version="1.0" encoding="utf-8"?>
<w:settings xmlns:w="http://schemas.openxmlformats.org/wordprocessingml/2006/main">
  <w:view w:val="print"/>
  <w:zoom w:percent="100"/>
  <w:defaultTabStop w:val="720"/>
  <w:autoHyphenation w:val="true"/>
  <w:compat>
    <w:compatSetting w:name="compatibilityMode" w:uri="http://schemas.microsoft.com/office/word" w:val="15"/>
  </w:compat>
  <w:themeFontLang w:val="en-US" w:eastAsia="" w:bidi="fa-I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Times New Roman"/>
        <w:sz w:val="24"/>
        <w:szCs w:val="24"/>
        <w:lang w:val="en-US" w:eastAsia="zh-CN" w:bidi="fa-IR"/>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WenQuanYi Zen Hei" w:cs="Times New Roman"/>
      <w:color w:val="auto"/>
      <w:kern w:val="0"/>
      <w:sz w:val="24"/>
      <w:szCs w:val="24"/>
      <w:lang w:val="en-US" w:eastAsia="zh-CN" w:bidi="fa-IR"/>
    </w:rPr>
  </w:style>
  <w:style w:type="character" w:styleId="FootnoteCharacters">
    <w:name w:val="Footnote Characters"/>
    <w:qFormat/>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pacing w:lineRule="auto" w:line="240" w:before="0" w:after="0"/>
    </w:pPr>
    <w:rPr>
      <w:sz w:val="18"/>
      <w:szCs w:val="18"/>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Extended Abstract</dc:title>
</cp:coreProperties>
</file>