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9.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240" w:before="0" w:after="200"/>
        <w:jc w:val="center"/>
        <w:rPr/>
      </w:pPr>
      <w:r>
        <w:rPr>
          <w:rFonts w:ascii="Times New Roman" w:hAnsi="Times New Roman" w:eastAsia="Times New Roman" w:cs="B Zar"/>
          <w:b/>
          <w:b/>
          <w:bCs/>
          <w:sz w:val="24"/>
          <w:sz w:val="24"/>
          <w:szCs w:val="24"/>
          <w:rtl w:val="true"/>
          <w:lang w:val="en-US" w:bidi="fa-IR"/>
        </w:rPr>
        <w:t>چرا حسابرسان سکوت می‌کنند؟ فشار زمانی، رفع تعهد اخلاقی و نقش وجدان حرفه‌ای</w:t>
      </w:r>
    </w:p>
    <w:p>
      <w:pPr>
        <w:pStyle w:val="Normal"/>
        <w:bidi w:val="1"/>
        <w:spacing w:lineRule="auto" w:line="240" w:before="0" w:after="60"/>
        <w:jc w:val="both"/>
        <w:rPr/>
      </w:pPr>
      <w:r>
        <w:rPr>
          <w:rFonts w:ascii="Times New Roman" w:hAnsi="Times New Roman" w:eastAsia="Times New Roman"/>
          <w:b/>
          <w:b/>
          <w:bCs/>
          <w:sz w:val="22"/>
          <w:sz w:val="22"/>
          <w:szCs w:val="22"/>
          <w:rtl w:val="true"/>
          <w:lang w:val="en-US" w:bidi="fa-IR"/>
        </w:rPr>
        <w:t>چکیده</w:t>
      </w:r>
      <w:r>
        <w:rPr>
          <w:rFonts w:eastAsia="Times New Roman" w:cs="B Nazanin"/>
          <w:b/>
          <w:bCs/>
          <w:sz w:val="22"/>
          <w:szCs w:val="22"/>
          <w:rtl w:val="true"/>
          <w:lang w:val="en-US" w:bidi="fa-IR"/>
        </w:rPr>
        <w:t>:</w:t>
      </w:r>
      <w:r>
        <w:rPr>
          <w:rFonts w:eastAsia="Times New Roman" w:cs="B Nazanin"/>
          <w:sz w:val="22"/>
          <w:szCs w:val="22"/>
          <w:rtl w:val="true"/>
          <w:lang w:val="en-US" w:bidi="fa-IR"/>
        </w:rPr>
        <w:t xml:space="preserve"> </w:t>
      </w:r>
      <w:r>
        <w:rPr>
          <w:rFonts w:ascii="Times New Roman" w:hAnsi="Times New Roman" w:eastAsia="Times New Roman"/>
          <w:b/>
          <w:b/>
          <w:bCs/>
          <w:sz w:val="22"/>
          <w:sz w:val="22"/>
          <w:szCs w:val="22"/>
          <w:rtl w:val="true"/>
          <w:lang w:val="en-US" w:bidi="fa-IR"/>
        </w:rPr>
        <w:t>هدف</w:t>
      </w:r>
      <w:r>
        <w:rPr>
          <w:rFonts w:eastAsia="Times New Roman" w:cs="B Nazanin"/>
          <w:b/>
          <w:bCs/>
          <w:sz w:val="22"/>
          <w:szCs w:val="22"/>
          <w:rtl w:val="true"/>
          <w:lang w:val="en-US" w:bidi="fa-IR"/>
        </w:rPr>
        <w:t>:</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بررسی این‌که فشار بودجهٔ زمانی و جو اخلاقی مؤسسه چگونه از راه رفع تعهد اخلاقی بر سکوت حسابرسان دربارهٔ ناهنجاری مشاهده‌شده اثر می‌گذارند و وجدان حرفه‌ای این فرایند را چگونه تعدیل می‌کند</w:t>
      </w:r>
      <w:r>
        <w:rPr>
          <w:rFonts w:eastAsia="Times New Roman" w:cs="B Nazanin"/>
          <w:sz w:val="22"/>
          <w:szCs w:val="22"/>
          <w:rtl w:val="true"/>
          <w:lang w:val="en-US" w:bidi="fa-IR"/>
        </w:rPr>
        <w:t xml:space="preserve">. </w:t>
      </w:r>
      <w:r>
        <w:rPr>
          <w:rFonts w:ascii="Times New Roman" w:hAnsi="Times New Roman" w:eastAsia="Times New Roman"/>
          <w:b/>
          <w:b/>
          <w:bCs/>
          <w:sz w:val="22"/>
          <w:sz w:val="22"/>
          <w:szCs w:val="22"/>
          <w:rtl w:val="true"/>
          <w:lang w:val="en-US" w:bidi="fa-IR"/>
        </w:rPr>
        <w:t>روش</w:t>
      </w:r>
      <w:r>
        <w:rPr>
          <w:rFonts w:eastAsia="Times New Roman" w:cs="B Nazanin"/>
          <w:b/>
          <w:bCs/>
          <w:sz w:val="22"/>
          <w:szCs w:val="22"/>
          <w:rtl w:val="true"/>
          <w:lang w:val="en-US" w:bidi="fa-IR"/>
        </w:rPr>
        <w:t>:</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پیمایش </w:t>
      </w:r>
      <w:r>
        <w:rPr>
          <w:rFonts w:ascii="Times New Roman" w:hAnsi="Times New Roman" w:eastAsia="Times New Roman"/>
          <w:sz w:val="22"/>
          <w:sz w:val="22"/>
          <w:szCs w:val="22"/>
          <w:lang w:val="en-US" w:bidi="fa-IR"/>
        </w:rPr>
        <w:t>۳۶۴</w:t>
      </w:r>
      <w:r>
        <w:rPr>
          <w:rFonts w:ascii="Times New Roman" w:hAnsi="Times New Roman" w:eastAsia="Times New Roman"/>
          <w:sz w:val="22"/>
          <w:sz w:val="22"/>
          <w:szCs w:val="22"/>
          <w:rtl w:val="true"/>
          <w:lang w:val="en-US" w:bidi="fa-IR"/>
        </w:rPr>
        <w:t xml:space="preserve"> حسابرس شاغل در سازمان حسابرسی و مؤسسات حسابرسی؛ تحلیل با معادلات ساختاری مبتنی بر کوواریانس با متغیرهای پنهان کامل، اثر متقابل پنهان و بوت‌استرپ</w:t>
      </w:r>
      <w:r>
        <w:rPr>
          <w:rFonts w:eastAsia="Times New Roman" w:cs="B Nazanin"/>
          <w:sz w:val="22"/>
          <w:szCs w:val="22"/>
          <w:rtl w:val="true"/>
          <w:lang w:val="en-US" w:bidi="fa-IR"/>
        </w:rPr>
        <w:t xml:space="preserve">. </w:t>
      </w:r>
      <w:r>
        <w:rPr>
          <w:rFonts w:ascii="Times New Roman" w:hAnsi="Times New Roman" w:eastAsia="Times New Roman"/>
          <w:b/>
          <w:b/>
          <w:bCs/>
          <w:sz w:val="22"/>
          <w:sz w:val="22"/>
          <w:szCs w:val="22"/>
          <w:rtl w:val="true"/>
          <w:lang w:val="en-US" w:bidi="fa-IR"/>
        </w:rPr>
        <w:t>یافته‌ها</w:t>
      </w:r>
      <w:r>
        <w:rPr>
          <w:rFonts w:eastAsia="Times New Roman" w:cs="B Nazanin"/>
          <w:b/>
          <w:bCs/>
          <w:sz w:val="22"/>
          <w:szCs w:val="22"/>
          <w:rtl w:val="true"/>
          <w:lang w:val="en-US" w:bidi="fa-IR"/>
        </w:rPr>
        <w:t>:</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فشار زمانی رفع تعهد اخلاقی را افزایش </w:t>
      </w:r>
      <w:r>
        <w:rPr>
          <w:rFonts w:eastAsia="Times New Roman" w:cs="B Nazanin"/>
          <w:sz w:val="22"/>
          <w:szCs w:val="22"/>
          <w:rtl w:val="true"/>
          <w:lang w:val="en-US" w:bidi="fa-IR"/>
        </w:rPr>
        <w:t>(</w:t>
      </w:r>
      <w:r>
        <w:rPr>
          <w:rFonts w:eastAsia="Times New Roman" w:cs="B Nazanin"/>
          <w:sz w:val="22"/>
          <w:szCs w:val="22"/>
          <w:lang w:val="en-US" w:bidi="fa-IR"/>
        </w:rPr>
        <w:t>β</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برابر </w:t>
      </w:r>
      <w:r>
        <w:rPr>
          <w:rFonts w:ascii="Times New Roman" w:hAnsi="Times New Roman" w:eastAsia="Times New Roman"/>
          <w:sz w:val="22"/>
          <w:sz w:val="22"/>
          <w:szCs w:val="22"/>
          <w:lang w:val="en-US" w:bidi="fa-IR"/>
        </w:rPr>
        <w:t>۰٫۵۴</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و جو اخلاقی آن را کاهش داد </w:t>
      </w:r>
      <w:r>
        <w:rPr>
          <w:rFonts w:eastAsia="Times New Roman" w:cs="B Nazanin"/>
          <w:sz w:val="22"/>
          <w:szCs w:val="22"/>
          <w:rtl w:val="true"/>
          <w:lang w:val="en-US" w:bidi="fa-IR"/>
        </w:rPr>
        <w:t>(</w:t>
      </w:r>
      <w:r>
        <w:rPr>
          <w:rFonts w:eastAsia="Times New Roman" w:cs="B Nazanin"/>
          <w:sz w:val="22"/>
          <w:szCs w:val="22"/>
          <w:lang w:val="en-US" w:bidi="fa-IR"/>
        </w:rPr>
        <w:t>β</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برابر </w:t>
      </w:r>
      <w:r>
        <w:rPr>
          <w:rFonts w:ascii="Times New Roman" w:hAnsi="Times New Roman" w:eastAsia="Times New Roman"/>
          <w:sz w:val="22"/>
          <w:sz w:val="22"/>
          <w:szCs w:val="22"/>
          <w:lang w:val="en-US" w:bidi="fa-IR"/>
        </w:rPr>
        <w:t>‎‎−۰‎٫۲۳‎</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رفع تعهد اخلاقی قوی‌ترین پیش‌بین سکوت بود </w:t>
      </w:r>
      <w:r>
        <w:rPr>
          <w:rFonts w:eastAsia="Times New Roman" w:cs="B Nazanin"/>
          <w:sz w:val="22"/>
          <w:szCs w:val="22"/>
          <w:rtl w:val="true"/>
          <w:lang w:val="en-US" w:bidi="fa-IR"/>
        </w:rPr>
        <w:t>(</w:t>
      </w:r>
      <w:r>
        <w:rPr>
          <w:rFonts w:eastAsia="Times New Roman" w:cs="B Nazanin"/>
          <w:sz w:val="22"/>
          <w:szCs w:val="22"/>
          <w:lang w:val="en-US" w:bidi="fa-IR"/>
        </w:rPr>
        <w:t>β</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برابر </w:t>
      </w:r>
      <w:r>
        <w:rPr>
          <w:rFonts w:ascii="Times New Roman" w:hAnsi="Times New Roman" w:eastAsia="Times New Roman"/>
          <w:sz w:val="22"/>
          <w:sz w:val="22"/>
          <w:szCs w:val="22"/>
          <w:lang w:val="en-US" w:bidi="fa-IR"/>
        </w:rPr>
        <w:t>۰٫۴۳</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و اثر فشار زمانی بر سکوت عمدتاً از راه آن می‌گذشت</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وجدان حرفه‌ای هم اثر فشار زمانی بر رفع تعهد و هم اثر رفع تعهد بر سکوت را تضعیف کرد؛ اثر غیرمستقیم فشار زمانی بر سکوت از </w:t>
      </w:r>
      <w:r>
        <w:rPr>
          <w:rFonts w:ascii="Times New Roman" w:hAnsi="Times New Roman" w:eastAsia="Times New Roman"/>
          <w:sz w:val="22"/>
          <w:sz w:val="22"/>
          <w:szCs w:val="22"/>
          <w:lang w:val="en-US" w:bidi="fa-IR"/>
        </w:rPr>
        <w:t>۰٫۴۷</w:t>
      </w:r>
      <w:r>
        <w:rPr>
          <w:rFonts w:ascii="Times New Roman" w:hAnsi="Times New Roman" w:eastAsia="Times New Roman"/>
          <w:sz w:val="22"/>
          <w:sz w:val="22"/>
          <w:szCs w:val="22"/>
          <w:rtl w:val="true"/>
          <w:lang w:val="en-US" w:bidi="fa-IR"/>
        </w:rPr>
        <w:t xml:space="preserve"> در وجدان پایین به </w:t>
      </w:r>
      <w:r>
        <w:rPr>
          <w:rFonts w:ascii="Times New Roman" w:hAnsi="Times New Roman" w:eastAsia="Times New Roman"/>
          <w:sz w:val="22"/>
          <w:sz w:val="22"/>
          <w:szCs w:val="22"/>
          <w:lang w:val="en-US" w:bidi="fa-IR"/>
        </w:rPr>
        <w:t>۰٫۱۰</w:t>
      </w:r>
      <w:r>
        <w:rPr>
          <w:rFonts w:ascii="Times New Roman" w:hAnsi="Times New Roman" w:eastAsia="Times New Roman"/>
          <w:sz w:val="22"/>
          <w:sz w:val="22"/>
          <w:szCs w:val="22"/>
          <w:rtl w:val="true"/>
          <w:lang w:val="en-US" w:bidi="fa-IR"/>
        </w:rPr>
        <w:t xml:space="preserve"> در وجدان بالا کاهش یافت</w:t>
      </w:r>
      <w:r>
        <w:rPr>
          <w:rFonts w:eastAsia="Times New Roman" w:cs="B Nazanin"/>
          <w:sz w:val="22"/>
          <w:szCs w:val="22"/>
          <w:rtl w:val="true"/>
          <w:lang w:val="en-US" w:bidi="fa-IR"/>
        </w:rPr>
        <w:t xml:space="preserve">. </w:t>
      </w:r>
      <w:r>
        <w:rPr>
          <w:rFonts w:ascii="Times New Roman" w:hAnsi="Times New Roman" w:eastAsia="Times New Roman"/>
          <w:b/>
          <w:b/>
          <w:bCs/>
          <w:sz w:val="22"/>
          <w:sz w:val="22"/>
          <w:szCs w:val="22"/>
          <w:rtl w:val="true"/>
          <w:lang w:val="en-US" w:bidi="fa-IR"/>
        </w:rPr>
        <w:t>نتیجه‌گیری</w:t>
      </w:r>
      <w:r>
        <w:rPr>
          <w:rFonts w:eastAsia="Times New Roman" w:cs="B Nazanin"/>
          <w:b/>
          <w:bCs/>
          <w:sz w:val="22"/>
          <w:szCs w:val="22"/>
          <w:rtl w:val="true"/>
          <w:lang w:val="en-US" w:bidi="fa-IR"/>
        </w:rPr>
        <w:t>:</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سکوت حسابرس بیش از آن‌که تصمیمی آگاهانه برای پنهان‌کاری باشد، پیامد فرایند توجیه‌سازی است که فشار زمانی آن را تسهیل و جو اخلاقی و وجدان حرفه‌ای آن را مهار می‌کند</w:t>
      </w:r>
      <w:r>
        <w:rPr>
          <w:rFonts w:eastAsia="Times New Roman" w:cs="B Nazanin"/>
          <w:sz w:val="22"/>
          <w:szCs w:val="22"/>
          <w:rtl w:val="true"/>
          <w:lang w:val="en-US" w:bidi="fa-IR"/>
        </w:rPr>
        <w:t xml:space="preserve">. </w:t>
      </w:r>
      <w:r>
        <w:rPr>
          <w:rFonts w:ascii="Times New Roman" w:hAnsi="Times New Roman" w:eastAsia="Times New Roman"/>
          <w:b/>
          <w:b/>
          <w:bCs/>
          <w:sz w:val="22"/>
          <w:sz w:val="22"/>
          <w:szCs w:val="22"/>
          <w:rtl w:val="true"/>
          <w:lang w:val="en-US" w:bidi="fa-IR"/>
        </w:rPr>
        <w:t>اصالت</w:t>
      </w:r>
      <w:r>
        <w:rPr>
          <w:rFonts w:eastAsia="Times New Roman" w:cs="B Nazanin"/>
          <w:b/>
          <w:bCs/>
          <w:sz w:val="22"/>
          <w:szCs w:val="22"/>
          <w:rtl w:val="true"/>
          <w:lang w:val="en-US" w:bidi="fa-IR"/>
        </w:rPr>
        <w:t>:</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پژوهش سکوت را به‌جای رفتار منفرد، پایانهٔ زنجیرهٔ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فشار ← توجیه ← سکوت</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نشان می‌دهد و نقش بازدارندهٔ وجدان حرفه‌ای را در دو حلقهٔ آن آزمون می‌کند</w:t>
      </w:r>
      <w:r>
        <w:rPr>
          <w:rFonts w:eastAsia="Times New Roman" w:cs="B Nazanin"/>
          <w:sz w:val="22"/>
          <w:szCs w:val="22"/>
          <w:rtl w:val="true"/>
          <w:lang w:val="en-US" w:bidi="fa-IR"/>
        </w:rPr>
        <w:t>.</w:t>
      </w:r>
    </w:p>
    <w:p>
      <w:pPr>
        <w:pStyle w:val="Normal"/>
        <w:bidi w:val="1"/>
        <w:spacing w:lineRule="auto" w:line="240" w:before="0" w:after="80"/>
        <w:jc w:val="left"/>
        <w:rPr/>
      </w:pPr>
      <w:r>
        <w:rPr>
          <w:rFonts w:ascii="Times New Roman" w:hAnsi="Times New Roman" w:eastAsia="Times New Roman"/>
          <w:b/>
          <w:b/>
          <w:bCs/>
          <w:sz w:val="20"/>
          <w:sz w:val="20"/>
          <w:szCs w:val="20"/>
          <w:rtl w:val="true"/>
          <w:lang w:val="en-US" w:bidi="fa-IR"/>
        </w:rPr>
        <w:t>واژه‌های کلیدی</w:t>
      </w:r>
      <w:r>
        <w:rPr>
          <w:rFonts w:eastAsia="Times New Roman" w:cs="B Nazanin"/>
          <w:b/>
          <w:bCs/>
          <w:sz w:val="20"/>
          <w:szCs w:val="20"/>
          <w:rtl w:val="true"/>
          <w:lang w:val="en-US" w:bidi="fa-IR"/>
        </w:rPr>
        <w:t>:</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جو اخلاقی، حسابرسی، رفع تعهد اخلاقی، سکوت، فشار بودجهٔ زمانی، وجدان حرفه‌ای</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مقدمه</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حسابرس در مرحلهٔ اجرای کار گاه به ناهنجاری‌هایی برمی‌خورد که شاید جدی نباشد، اما نادیده‌گرفتن آن می‌تواند به بی‌اعتباری گزارش بینجامد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تصمیم او میان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طرح موضوع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سکوت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پیش از آن‌که فنی باشد، اخلاقی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ترونیو، ویور و رینولدز</w:t>
      </w:r>
      <w:r>
        <w:rPr>
          <w:rStyle w:val="FootnoteReference"/>
          <w:rtl w:val="true"/>
        </w:rPr>
        <w:footnoteReference w:id="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۲۰۰۶</w:t>
      </w:r>
      <w:r>
        <w:rPr>
          <w:rFonts w:ascii="Times New Roman" w:hAnsi="Times New Roman" w:eastAsia="Times New Roman"/>
          <w:sz w:val="26"/>
          <w:sz w:val="26"/>
          <w:szCs w:val="26"/>
          <w:rtl w:val="true"/>
          <w:lang w:val="en-US" w:bidi="fa-IR"/>
        </w:rPr>
        <w:t>؛ بازرمن و جینو</w:t>
      </w:r>
      <w:r>
        <w:rPr>
          <w:rStyle w:val="FootnoteReference"/>
          <w:rtl w:val="true"/>
        </w:rPr>
        <w:footnoteReference w:id="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پژوهش‌های داخلی نشان داده‌اند که فشار بودجهٔ زمانی با رفتارهای کاهندهٔ کیفیت حسابرسی همراه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مهرانی و نعیمی</w:t>
      </w:r>
      <w:r>
        <w:rPr>
          <w:rStyle w:val="FootnoteReference"/>
          <w:rtl w:val="true"/>
        </w:rPr>
        <w:footnoteReference w:id="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۱۳۸۲</w:t>
      </w:r>
      <w:r>
        <w:rPr>
          <w:rFonts w:ascii="Times New Roman" w:hAnsi="Times New Roman" w:eastAsia="Times New Roman"/>
          <w:sz w:val="26"/>
          <w:sz w:val="26"/>
          <w:szCs w:val="26"/>
          <w:rtl w:val="true"/>
          <w:lang w:val="en-US" w:bidi="fa-IR"/>
        </w:rPr>
        <w:t>؛ نویسندگان بررسی‌های حسابداری و حسابرسی</w:t>
      </w:r>
      <w:r>
        <w:rPr>
          <w:rStyle w:val="FootnoteReference"/>
          <w:rtl w:val="true"/>
        </w:rPr>
        <w:footnoteReference w:id="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۱۴۰۱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سکوت سازمانی حسابرسان داخلی از سازوکارهای متعددی تغذیه می‌کند ابراهیمی، صفری گرایلی و ولیان</w:t>
      </w:r>
      <w:r>
        <w:rPr>
          <w:rStyle w:val="FootnoteReference"/>
          <w:rtl w:val="true"/>
        </w:rPr>
        <w:footnoteReference w:id="6"/>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۱۴۰۱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اما کمتر روشن شده است که فشار چگونه به سکوت می‌رسد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آیا حسابرس آگاهانه پنهان می‌کند، یا نخست خود را قانع می‌کند که موضوع مهم نیست؟</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پاسخ این مقاله از اخلاق رفتاری می‌آید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تنبرانسل و مسیک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تنبرانسل و مسیک</w:t>
      </w:r>
      <w:r>
        <w:rPr>
          <w:rStyle w:val="FootnoteReference"/>
          <w:rtl w:val="true"/>
        </w:rPr>
        <w:footnoteReference w:id="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دادند در شرایط فشار، بُعد اخلاقی تصمیم از دید فرد محو می‌شود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ریزش اخلاقی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بندورا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بندورا</w:t>
      </w:r>
      <w:r>
        <w:rPr>
          <w:rStyle w:val="FootnoteReference"/>
          <w:rtl w:val="true"/>
        </w:rPr>
        <w:footnoteReference w:id="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سازوکارهای شناختی رفع تعهد اخلاقی را معرفی کرد که فرد با آن‌ها رفتار پرسش‌برانگیز را توجیه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فرضیهٔ مرکزی ما آن است که فشار زمانی از راه رفع تعهد اخلاقی به سکوت می‌انجامد؛ جو اخلاقی مؤسسه این توجیه‌سازی را دشوار می‌کند و وجدان حرفه‌ای، که در ادبیات اخلاق اسلامی در حسابداری با مفاهیمی چون امانت‌داری و پاسخگویی در برابر وجدان بازگو شده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لوئیس</w:t>
      </w:r>
      <w:r>
        <w:rPr>
          <w:rStyle w:val="FootnoteReference"/>
          <w:rtl w:val="true"/>
        </w:rPr>
        <w:footnoteReference w:id="9"/>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۲۰۰۱</w:t>
      </w:r>
      <w:r>
        <w:rPr>
          <w:rFonts w:ascii="Times New Roman" w:hAnsi="Times New Roman" w:eastAsia="Times New Roman"/>
          <w:sz w:val="26"/>
          <w:sz w:val="26"/>
          <w:szCs w:val="26"/>
          <w:rtl w:val="true"/>
          <w:lang w:val="en-US" w:bidi="fa-IR"/>
        </w:rPr>
        <w:t>؛ بیدون و ویلت</w:t>
      </w:r>
      <w:r>
        <w:rPr>
          <w:rStyle w:val="FootnoteReference"/>
          <w:rtl w:val="true"/>
        </w:rPr>
        <w:footnoteReference w:id="1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۲۰۰۰</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آن را تضعیف می‌کند</w:t>
      </w:r>
      <w:r>
        <w:rPr>
          <w:rFonts w:eastAsia="Times New Roman" w:cs="B Nazanin"/>
          <w:sz w:val="26"/>
          <w:szCs w:val="26"/>
          <w:rtl w:val="true"/>
          <w:lang w:val="en-US" w:bidi="fa-IR"/>
        </w:rPr>
        <w:t>.</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هدف پژوهش آزمون این مدل ساده با </w:t>
      </w:r>
      <w:r>
        <w:rPr>
          <w:rFonts w:ascii="Times New Roman" w:hAnsi="Times New Roman" w:eastAsia="Times New Roman"/>
          <w:b/>
          <w:b/>
          <w:bCs/>
          <w:sz w:val="26"/>
          <w:sz w:val="26"/>
          <w:szCs w:val="26"/>
          <w:rtl w:val="true"/>
          <w:lang w:val="en-US" w:bidi="fa-IR"/>
        </w:rPr>
        <w:t>پنج متغیر</w:t>
      </w:r>
      <w:r>
        <w:rPr>
          <w:rFonts w:ascii="Times New Roman" w:hAnsi="Times New Roman" w:eastAsia="Times New Roman"/>
          <w:sz w:val="26"/>
          <w:sz w:val="26"/>
          <w:szCs w:val="26"/>
          <w:rtl w:val="true"/>
          <w:lang w:val="en-US" w:bidi="fa-IR"/>
        </w:rPr>
        <w:t xml:space="preserve">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فشار بودجهٔ زمانی، جو اخلاقی سازمان، رفع تعهد اخلاقی، وجدان حرفه‌ای و سکوت دربارهٔ تخلف کشف‌شده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پرسش‌ها</w:t>
      </w:r>
      <w:r>
        <w:rPr>
          <w:rFonts w:eastAsia="Times New Roman" w:cs="B Nazanin"/>
          <w:sz w:val="26"/>
          <w:szCs w:val="26"/>
          <w:rtl w:val="true"/>
          <w:lang w:val="en-US" w:bidi="fa-IR"/>
        </w:rPr>
        <w:t>: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فشار زمانی و جو اخلاقی چه اثری بر رفع تعهد اخلاقی و سکوت دارند؟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آیا رفع تعهد اخلاقی میانجی این اثرهاست؟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آیا وجدان حرفه‌ای حلقه‌های این زنجیره را تضعیف می‌کند؟</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مبانی نظری و پیشینه پژوهش</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اخلاق رفتاری، ریزش اخلاقی و رفع تعهد اخلاقی</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اخلاق رفتاری می‌پرسد افراد در عمل چگونه تصمیم اخلاقی می‌گیرند، نه چگونه باید بگیرند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ترونیو، ویور و رینولدز، </w:t>
      </w:r>
      <w:r>
        <w:rPr>
          <w:rFonts w:ascii="Times New Roman" w:hAnsi="Times New Roman" w:eastAsia="Times New Roman"/>
          <w:sz w:val="26"/>
          <w:sz w:val="26"/>
          <w:szCs w:val="26"/>
          <w:lang w:val="en-US" w:bidi="fa-IR"/>
        </w:rPr>
        <w:t>۲۰۰۶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فرایند تصمیم‌گیری اخلاقی از شناخت مسئلهٔ اخلاقی آغاز می‌شود و شدت اخلاقی موضوع در آن نقش دارد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جونز</w:t>
      </w:r>
      <w:r>
        <w:rPr>
          <w:rStyle w:val="FootnoteReference"/>
          <w:rtl w:val="true"/>
        </w:rPr>
        <w:footnoteReference w:id="1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وقتی موضوع در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قاب</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اخلاقی دیده نشود، قضاوت اخلاقی هرگز فعال نمی‌شود؛ ریزش اخلاقی همین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تنبرانسل و مسیک، </w:t>
      </w:r>
      <w:r>
        <w:rPr>
          <w:rFonts w:ascii="Times New Roman" w:hAnsi="Times New Roman" w:eastAsia="Times New Roman"/>
          <w:sz w:val="26"/>
          <w:sz w:val="26"/>
          <w:szCs w:val="26"/>
          <w:lang w:val="en-US" w:bidi="fa-IR"/>
        </w:rPr>
        <w:t>۲۰۰۴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رفع تعهد اخلاقی مجموعهٔ سازوکارهایی است که در آن‌ها فرد استانداردهای درونی خود را موقتاً از رفتار جدا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توجیه اخلاقی، برچسب‌زنی تلطیف‌شده، مقایسهٔ سودمند، جابه‌جایی و پخش مسئولیت، تحریف پیامدها و سرزنش قربانی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بندورا، </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فراتحلیل‌ها و مطالعات میدانی نشان می‌دهند این گرایش از پیش‌بین‌های قوی رفتار غیراخلاقی در سازمان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مور و همکاران</w:t>
      </w:r>
      <w:r>
        <w:rPr>
          <w:rStyle w:val="FootnoteReference"/>
          <w:rtl w:val="true"/>
        </w:rPr>
        <w:footnoteReference w:id="1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۲۰۱۲</w:t>
      </w:r>
      <w:r>
        <w:rPr>
          <w:rFonts w:ascii="Times New Roman" w:hAnsi="Times New Roman" w:eastAsia="Times New Roman"/>
          <w:sz w:val="26"/>
          <w:sz w:val="26"/>
          <w:szCs w:val="26"/>
          <w:rtl w:val="true"/>
          <w:lang w:val="en-US" w:bidi="fa-IR"/>
        </w:rPr>
        <w:t>؛ دترت، ترونیو و سوایتزر</w:t>
      </w:r>
      <w:r>
        <w:rPr>
          <w:rStyle w:val="FootnoteReference"/>
          <w:rtl w:val="true"/>
        </w:rPr>
        <w:footnoteReference w:id="1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ascii="Times New Roman" w:hAnsi="Times New Roman" w:eastAsia="Times New Roman"/>
          <w:sz w:val="26"/>
          <w:sz w:val="26"/>
          <w:szCs w:val="26"/>
          <w:rtl w:val="true"/>
          <w:lang w:val="en-US" w:bidi="fa-IR"/>
        </w:rPr>
        <w:t>؛ کیش‌گفارت، هریسون و ترونیو</w:t>
      </w:r>
      <w:r>
        <w:rPr>
          <w:rStyle w:val="FootnoteReference"/>
          <w:rtl w:val="true"/>
        </w:rPr>
        <w:footnoteReference w:id="1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۲۰۱۰</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فشار زمانی و جو اخلاقی</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فشار بودجهٔ زمانی در حسابرسی از دیرباز با رفتارهای کاهندهٔ کیفیت همراه دانسته شده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دیزورت و لرد</w:t>
      </w:r>
      <w:r>
        <w:rPr>
          <w:rStyle w:val="FootnoteReference"/>
          <w:rtl w:val="true"/>
        </w:rPr>
        <w:footnoteReference w:id="1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۱۹۹۷</w:t>
      </w:r>
      <w:r>
        <w:rPr>
          <w:rFonts w:ascii="Times New Roman" w:hAnsi="Times New Roman" w:eastAsia="Times New Roman"/>
          <w:sz w:val="26"/>
          <w:sz w:val="26"/>
          <w:szCs w:val="26"/>
          <w:rtl w:val="true"/>
          <w:lang w:val="en-US" w:bidi="fa-IR"/>
        </w:rPr>
        <w:t>؛ مالون و رابرتس</w:t>
      </w:r>
      <w:r>
        <w:rPr>
          <w:rStyle w:val="FootnoteReference"/>
          <w:rtl w:val="true"/>
        </w:rPr>
        <w:footnoteReference w:id="1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۱۹۹۶</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مهرانی و نعیمی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مهرانی و نعیمی، </w:t>
      </w:r>
      <w:r>
        <w:rPr>
          <w:rFonts w:ascii="Times New Roman" w:hAnsi="Times New Roman" w:eastAsia="Times New Roman"/>
          <w:sz w:val="26"/>
          <w:sz w:val="26"/>
          <w:szCs w:val="26"/>
          <w:lang w:val="en-US" w:bidi="fa-IR"/>
        </w:rPr>
        <w:t>۱۳۸۲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رابطه را در چارچوب نظریهٔ اخلاقی بررسی کرده‌اند و پژوهش‌های بعدی میانجی‌گری استرس شغلی را نیز نشان داده‌اند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نویسندگان بررسی‌های حسابداری و حسابرسی، </w:t>
      </w:r>
      <w:r>
        <w:rPr>
          <w:rFonts w:ascii="Times New Roman" w:hAnsi="Times New Roman" w:eastAsia="Times New Roman"/>
          <w:sz w:val="26"/>
          <w:sz w:val="26"/>
          <w:szCs w:val="26"/>
          <w:lang w:val="en-US" w:bidi="fa-IR"/>
        </w:rPr>
        <w:t>۱۴۰۱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فشار زمانی با کاهش ظرفیت شناختی و افزایش هزینهٔ توقف،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بهانه‌ای آماده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برای توجیه فراهم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چون وقت نیست، مسئله کوچک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جو اخلاقی سازمان، یعنی برداشت مشترک اعضا از آن‌چه رفتار درست در سازمان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ویکتور و کالن</w:t>
      </w:r>
      <w:r>
        <w:rPr>
          <w:rStyle w:val="FootnoteReference"/>
          <w:rtl w:val="true"/>
        </w:rPr>
        <w:footnoteReference w:id="1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۱۹۸۸</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آن‌چه توجیه‌پذیر شناخته شود را محدود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مؤسسه‌ای که توجه به ذی‌نفعان، رعایت قاعده و امنیت طرح نگرانی هنجار است، توجیه تلطیف‌شده کمتر پذیرفته می‌شود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سکوت و وجدان حرفه‌ای</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سکوت سازمانی نگه‌داشتن اطلاعات یا نگرانی‌هایی است که می‌توانست به بهبود کمک کند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موریسون و میلیکن</w:t>
      </w:r>
      <w:r>
        <w:rPr>
          <w:rStyle w:val="FootnoteReference"/>
          <w:rtl w:val="true"/>
        </w:rPr>
        <w:footnoteReference w:id="1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ون‌داین و همکاران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ون‌داین، آنگ و بوترو</w:t>
      </w:r>
      <w:r>
        <w:rPr>
          <w:rStyle w:val="FootnoteReference"/>
          <w:rtl w:val="true"/>
        </w:rPr>
        <w:footnoteReference w:id="19"/>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سکوت تسلیم‌شده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از سر ناامیدی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سکوت دفاعی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از سر ترس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را از هم جدا می‌کنند؛ و در ادبیات افشاگری، سکوت پیش‌درآمد کنار گذاشتن مسئولیت اخلاقی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نیر و میسلی</w:t>
      </w:r>
      <w:r>
        <w:rPr>
          <w:rStyle w:val="FootnoteReference"/>
          <w:rtl w:val="true"/>
        </w:rPr>
        <w:footnoteReference w:id="2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حسابرسی ایران، ابراهیمی و همکاران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ابراهیمی، صفری گرایلی و ولیان، </w:t>
      </w:r>
      <w:r>
        <w:rPr>
          <w:rFonts w:ascii="Times New Roman" w:hAnsi="Times New Roman" w:eastAsia="Times New Roman"/>
          <w:sz w:val="26"/>
          <w:sz w:val="26"/>
          <w:szCs w:val="26"/>
          <w:lang w:val="en-US" w:bidi="fa-IR"/>
        </w:rPr>
        <w:t>۱۴۰۱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علل تقویت‌کنندهٔ سکوت حسابرسان داخلی را مدل کرده‌اند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اما دربارهٔ نیروی بازدارنده، دین‌داری و تعهد حرفه‌ای در پژوهش‌های ایرانی با کیفیت حسابرسی رابطهٔ مثبت نشان داده‌اند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مهدوی، بهمنی و نمازی</w:t>
      </w:r>
      <w:r>
        <w:rPr>
          <w:rStyle w:val="FootnoteReference"/>
          <w:rtl w:val="true"/>
        </w:rPr>
        <w:footnoteReference w:id="2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۱۴۰۰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ما وجدان حرفه‌ای را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درونی‌سازی ارزش‌های اخلاقی و حرفه‌ای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امانت‌داری، پاسخگویی در برابر وجدان، تقدم نفع عمومی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تعریف می‌کنیم و انتظار داریم رفع تعهد را سخت‌تر 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کسی که امانت‌داری را وظیفهٔ وجدانی می‌داند، توجیه‌های رفع تعهد را کمتر می‌پذیرد، و حتی اگر بپذیرد، کمتر به سکوت تن می‌دهد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مدل مفهومی و فرضیه‌ها</w:t>
      </w:r>
    </w:p>
    <w:p>
      <w:pPr>
        <w:pStyle w:val="Normal"/>
        <w:bidi w:val="1"/>
        <w:spacing w:lineRule="auto" w:line="240" w:before="0" w:after="6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فشار بودجهٔ زمانی بر رفع تعهد اخلاقی اثر مثبت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۲</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جو اخلاقی سازمان بر رفع تعهد اخلاقی اثر منفی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۳</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رفع تعهد اخلاقی بر سکوت اثر مثبت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۴</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جو اخلاقی سازمان به‌طور مستقیم نیز بر سکوت اثر منفی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۵</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رفع تعهد اخلاقی اثر فشار زمانی و جو اخلاقی را بر سکوت میانجی‌گری می‌کند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۶</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وجدان حرفه‌ای اثر فشار زمانی بر رفع تعهد اخلاقی را تضعیف می‌کند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۷</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وجدان حرفه‌ای اثر رفع تعهد اخلاقی بر سکوت را تضعیف می‌کند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۸</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غیرمستقیم فشار زمانی بر سکوت در سطوح بالاتر وجدان حرفه‌ای کوچک‌تر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میانجی‌گری تعدیل‌شده</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5579745" cy="3058160"/>
            <wp:effectExtent l="0" t="0" r="0" b="0"/>
            <wp:docPr id="1" name="Fig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
                    <pic:cNvPicPr>
                      <a:picLocks noChangeAspect="1" noChangeArrowheads="1"/>
                    </pic:cNvPicPr>
                  </pic:nvPicPr>
                  <pic:blipFill>
                    <a:blip r:embed="rId2"/>
                    <a:stretch>
                      <a:fillRect/>
                    </a:stretch>
                  </pic:blipFill>
                  <pic:spPr bwMode="auto">
                    <a:xfrm>
                      <a:off x="0" y="0"/>
                      <a:ext cx="5579745" cy="3058160"/>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مدل مفهومی پژوهش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خطوط نارنجی</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اثرهای تعدیل‌گری وجدان حرفه‌ای؛ خط‌چین خاکستری</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اثر مستقیم برآوردشدهٔ فشار زمانی</w:t>
      </w:r>
      <w:r>
        <w:rPr>
          <w:rFonts w:eastAsia="Times New Roman" w:cs="B Zar"/>
          <w:b/>
          <w:bCs/>
          <w:sz w:val="20"/>
          <w:szCs w:val="20"/>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روش‌شناسی پژوهش</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پژوهش کاربردی و پیمایشی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جامعه شامل حسابرسان شاغل در سازمان حسابرسی و مؤسسات حسابرسی است و نمونه </w:t>
      </w:r>
      <w:r>
        <w:rPr>
          <w:rFonts w:ascii="Times New Roman" w:hAnsi="Times New Roman" w:eastAsia="Times New Roman"/>
          <w:sz w:val="26"/>
          <w:sz w:val="26"/>
          <w:szCs w:val="26"/>
          <w:lang w:val="en-US" w:bidi="fa-IR"/>
        </w:rPr>
        <w:t>۳۶۴</w:t>
      </w:r>
      <w:r>
        <w:rPr>
          <w:rFonts w:ascii="Times New Roman" w:hAnsi="Times New Roman" w:eastAsia="Times New Roman"/>
          <w:sz w:val="26"/>
          <w:sz w:val="26"/>
          <w:szCs w:val="26"/>
          <w:rtl w:val="true"/>
          <w:lang w:val="en-US" w:bidi="fa-IR"/>
        </w:rPr>
        <w:t xml:space="preserve"> نفر دارد </w:t>
      </w:r>
      <w:r>
        <w:rPr>
          <w:rFonts w:eastAsia="Times New Roman" w:cs="B Nazanin"/>
          <w:sz w:val="26"/>
          <w:szCs w:val="26"/>
          <w:highlight w:val="yellow"/>
          <w:rtl w:val="true"/>
          <w:lang w:val="en-US" w:bidi="fa-IR"/>
        </w:rPr>
        <w:t>[</w:t>
      </w:r>
      <w:r>
        <w:rPr>
          <w:rFonts w:ascii="Times New Roman" w:hAnsi="Times New Roman" w:eastAsia="Times New Roman"/>
          <w:sz w:val="26"/>
          <w:sz w:val="26"/>
          <w:szCs w:val="26"/>
          <w:highlight w:val="yellow"/>
          <w:rtl w:val="true"/>
          <w:lang w:val="en-US" w:bidi="fa-IR"/>
        </w:rPr>
        <w:t>شیوهٔ نمونه‌گیری، دورهٔ گردآوری، نحوهٔ دسترسی و نرخ بازگشت را بر پایهٔ اجرای واقعی تکمیل کنید</w:t>
      </w:r>
      <w:r>
        <w:rPr>
          <w:rFonts w:eastAsia="Times New Roman" w:cs="B Nazanin"/>
          <w:sz w:val="26"/>
          <w:szCs w:val="26"/>
          <w:highlight w:val="yellow"/>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lang w:val="en-US" w:bidi="fa-IR"/>
        </w:rPr>
        <w:t>۶۰</w:t>
      </w:r>
      <w:r>
        <w:rPr>
          <w:rFonts w:ascii="Times New Roman" w:hAnsi="Times New Roman" w:eastAsia="Times New Roman"/>
          <w:sz w:val="26"/>
          <w:sz w:val="26"/>
          <w:szCs w:val="26"/>
          <w:rtl w:val="true"/>
          <w:lang w:val="en-US" w:bidi="fa-IR"/>
        </w:rPr>
        <w:t xml:space="preserve"> درصد مرد بودند؛ میانگین سن </w:t>
      </w:r>
      <w:r>
        <w:rPr>
          <w:rFonts w:ascii="Times New Roman" w:hAnsi="Times New Roman" w:eastAsia="Times New Roman"/>
          <w:sz w:val="26"/>
          <w:sz w:val="26"/>
          <w:szCs w:val="26"/>
          <w:lang w:val="en-US" w:bidi="fa-IR"/>
        </w:rPr>
        <w:t>۳۱٫۸</w:t>
      </w:r>
      <w:r>
        <w:rPr>
          <w:rFonts w:ascii="Times New Roman" w:hAnsi="Times New Roman" w:eastAsia="Times New Roman"/>
          <w:sz w:val="26"/>
          <w:sz w:val="26"/>
          <w:szCs w:val="26"/>
          <w:rtl w:val="true"/>
          <w:lang w:val="en-US" w:bidi="fa-IR"/>
        </w:rPr>
        <w:t xml:space="preserve"> سال و میانگین سابقه </w:t>
      </w:r>
      <w:r>
        <w:rPr>
          <w:rFonts w:ascii="Times New Roman" w:hAnsi="Times New Roman" w:eastAsia="Times New Roman"/>
          <w:sz w:val="26"/>
          <w:sz w:val="26"/>
          <w:szCs w:val="26"/>
          <w:lang w:val="en-US" w:bidi="fa-IR"/>
        </w:rPr>
        <w:t>۷٫۶</w:t>
      </w:r>
      <w:r>
        <w:rPr>
          <w:rFonts w:ascii="Times New Roman" w:hAnsi="Times New Roman" w:eastAsia="Times New Roman"/>
          <w:sz w:val="26"/>
          <w:sz w:val="26"/>
          <w:szCs w:val="26"/>
          <w:rtl w:val="true"/>
          <w:lang w:val="en-US" w:bidi="fa-IR"/>
        </w:rPr>
        <w:t xml:space="preserve"> سال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انحراف معیار </w:t>
      </w:r>
      <w:r>
        <w:rPr>
          <w:rFonts w:ascii="Times New Roman" w:hAnsi="Times New Roman" w:eastAsia="Times New Roman"/>
          <w:sz w:val="26"/>
          <w:sz w:val="26"/>
          <w:szCs w:val="26"/>
          <w:lang w:val="en-US" w:bidi="fa-IR"/>
        </w:rPr>
        <w:t>۵٫۵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نظر رتبه، </w:t>
      </w:r>
      <w:r>
        <w:rPr>
          <w:rFonts w:ascii="Times New Roman" w:hAnsi="Times New Roman" w:eastAsia="Times New Roman"/>
          <w:sz w:val="26"/>
          <w:sz w:val="26"/>
          <w:szCs w:val="26"/>
          <w:lang w:val="en-US" w:bidi="fa-IR"/>
        </w:rPr>
        <w:t>۳۴</w:t>
      </w:r>
      <w:r>
        <w:rPr>
          <w:rFonts w:ascii="Times New Roman" w:hAnsi="Times New Roman" w:eastAsia="Times New Roman"/>
          <w:sz w:val="26"/>
          <w:sz w:val="26"/>
          <w:szCs w:val="26"/>
          <w:rtl w:val="true"/>
          <w:lang w:val="en-US" w:bidi="fa-IR"/>
        </w:rPr>
        <w:t xml:space="preserve"> درصد حسابرس مقدماتی، </w:t>
      </w:r>
      <w:r>
        <w:rPr>
          <w:rFonts w:ascii="Times New Roman" w:hAnsi="Times New Roman" w:eastAsia="Times New Roman"/>
          <w:sz w:val="26"/>
          <w:sz w:val="26"/>
          <w:szCs w:val="26"/>
          <w:lang w:val="en-US" w:bidi="fa-IR"/>
        </w:rPr>
        <w:t>۲۹</w:t>
      </w:r>
      <w:r>
        <w:rPr>
          <w:rFonts w:ascii="Times New Roman" w:hAnsi="Times New Roman" w:eastAsia="Times New Roman"/>
          <w:sz w:val="26"/>
          <w:sz w:val="26"/>
          <w:szCs w:val="26"/>
          <w:rtl w:val="true"/>
          <w:lang w:val="en-US" w:bidi="fa-IR"/>
        </w:rPr>
        <w:t xml:space="preserve"> درصد حسابرس ارشد، </w:t>
      </w:r>
      <w:r>
        <w:rPr>
          <w:rFonts w:ascii="Times New Roman" w:hAnsi="Times New Roman" w:eastAsia="Times New Roman"/>
          <w:sz w:val="26"/>
          <w:sz w:val="26"/>
          <w:szCs w:val="26"/>
          <w:lang w:val="en-US" w:bidi="fa-IR"/>
        </w:rPr>
        <w:t>۲۳</w:t>
      </w:r>
      <w:r>
        <w:rPr>
          <w:rFonts w:ascii="Times New Roman" w:hAnsi="Times New Roman" w:eastAsia="Times New Roman"/>
          <w:sz w:val="26"/>
          <w:sz w:val="26"/>
          <w:szCs w:val="26"/>
          <w:rtl w:val="true"/>
          <w:lang w:val="en-US" w:bidi="fa-IR"/>
        </w:rPr>
        <w:t xml:space="preserve"> درصد سرپرست و </w:t>
      </w:r>
      <w:r>
        <w:rPr>
          <w:rFonts w:ascii="Times New Roman" w:hAnsi="Times New Roman" w:eastAsia="Times New Roman"/>
          <w:sz w:val="26"/>
          <w:sz w:val="26"/>
          <w:szCs w:val="26"/>
          <w:lang w:val="en-US" w:bidi="fa-IR"/>
        </w:rPr>
        <w:t>۱۴</w:t>
      </w:r>
      <w:r>
        <w:rPr>
          <w:rFonts w:ascii="Times New Roman" w:hAnsi="Times New Roman" w:eastAsia="Times New Roman"/>
          <w:sz w:val="26"/>
          <w:sz w:val="26"/>
          <w:szCs w:val="26"/>
          <w:rtl w:val="true"/>
          <w:lang w:val="en-US" w:bidi="fa-IR"/>
        </w:rPr>
        <w:t xml:space="preserve"> درصد مدیر یا شریک بودند؛ </w:t>
      </w:r>
      <w:r>
        <w:rPr>
          <w:rFonts w:ascii="Times New Roman" w:hAnsi="Times New Roman" w:eastAsia="Times New Roman"/>
          <w:sz w:val="26"/>
          <w:sz w:val="26"/>
          <w:szCs w:val="26"/>
          <w:lang w:val="en-US" w:bidi="fa-IR"/>
        </w:rPr>
        <w:t>۲۶</w:t>
      </w:r>
      <w:r>
        <w:rPr>
          <w:rFonts w:ascii="Times New Roman" w:hAnsi="Times New Roman" w:eastAsia="Times New Roman"/>
          <w:sz w:val="26"/>
          <w:sz w:val="26"/>
          <w:szCs w:val="26"/>
          <w:rtl w:val="true"/>
          <w:lang w:val="en-US" w:bidi="fa-IR"/>
        </w:rPr>
        <w:t xml:space="preserve"> درصد در سازمان حسابرسی، </w:t>
      </w:r>
      <w:r>
        <w:rPr>
          <w:rFonts w:ascii="Times New Roman" w:hAnsi="Times New Roman" w:eastAsia="Times New Roman"/>
          <w:sz w:val="26"/>
          <w:sz w:val="26"/>
          <w:szCs w:val="26"/>
          <w:lang w:val="en-US" w:bidi="fa-IR"/>
        </w:rPr>
        <w:t>۵۲</w:t>
      </w:r>
      <w:r>
        <w:rPr>
          <w:rFonts w:ascii="Times New Roman" w:hAnsi="Times New Roman" w:eastAsia="Times New Roman"/>
          <w:sz w:val="26"/>
          <w:sz w:val="26"/>
          <w:szCs w:val="26"/>
          <w:rtl w:val="true"/>
          <w:lang w:val="en-US" w:bidi="fa-IR"/>
        </w:rPr>
        <w:t xml:space="preserve"> درصد در مؤسسات خصوصی و </w:t>
      </w:r>
      <w:r>
        <w:rPr>
          <w:rFonts w:ascii="Times New Roman" w:hAnsi="Times New Roman" w:eastAsia="Times New Roman"/>
          <w:sz w:val="26"/>
          <w:sz w:val="26"/>
          <w:szCs w:val="26"/>
          <w:lang w:val="en-US" w:bidi="fa-IR"/>
        </w:rPr>
        <w:t>۲۲</w:t>
      </w:r>
      <w:r>
        <w:rPr>
          <w:rFonts w:ascii="Times New Roman" w:hAnsi="Times New Roman" w:eastAsia="Times New Roman"/>
          <w:sz w:val="26"/>
          <w:sz w:val="26"/>
          <w:szCs w:val="26"/>
          <w:rtl w:val="true"/>
          <w:lang w:val="en-US" w:bidi="fa-IR"/>
        </w:rPr>
        <w:t xml:space="preserve"> درصد در سایر نهادها کار می‌کردند و </w:t>
      </w:r>
      <w:r>
        <w:rPr>
          <w:rFonts w:ascii="Times New Roman" w:hAnsi="Times New Roman" w:eastAsia="Times New Roman"/>
          <w:sz w:val="26"/>
          <w:sz w:val="26"/>
          <w:szCs w:val="26"/>
          <w:lang w:val="en-US" w:bidi="fa-IR"/>
        </w:rPr>
        <w:t>۲۴</w:t>
      </w:r>
      <w:r>
        <w:rPr>
          <w:rFonts w:ascii="Times New Roman" w:hAnsi="Times New Roman" w:eastAsia="Times New Roman"/>
          <w:sz w:val="26"/>
          <w:sz w:val="26"/>
          <w:szCs w:val="26"/>
          <w:rtl w:val="true"/>
          <w:lang w:val="en-US" w:bidi="fa-IR"/>
        </w:rPr>
        <w:t xml:space="preserve"> درصد عضو جامعهٔ حسابداران رسمی بودند</w:t>
      </w:r>
      <w:r>
        <w:rPr>
          <w:rFonts w:eastAsia="Times New Roman" w:cs="B Nazanin"/>
          <w:sz w:val="26"/>
          <w:szCs w:val="26"/>
          <w:rtl w:val="true"/>
          <w:lang w:val="en-US" w:bidi="fa-IR"/>
        </w:rPr>
        <w:t>.</w:t>
      </w:r>
    </w:p>
    <w:p>
      <w:pPr>
        <w:pStyle w:val="Normal"/>
        <w:bidi w:val="1"/>
        <w:spacing w:lineRule="auto" w:line="240" w:before="0" w:after="60"/>
        <w:ind w:firstLine="360"/>
        <w:jc w:val="both"/>
        <w:rPr/>
      </w:pPr>
      <w:r>
        <w:rPr>
          <w:rFonts w:ascii="Times New Roman" w:hAnsi="Times New Roman" w:eastAsia="Times New Roman"/>
          <w:b/>
          <w:b/>
          <w:bCs/>
          <w:sz w:val="26"/>
          <w:sz w:val="26"/>
          <w:szCs w:val="26"/>
          <w:rtl w:val="true"/>
          <w:lang w:val="en-US" w:bidi="fa-IR"/>
        </w:rPr>
        <w:t>ملاحظات اخلاقی</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شرکت داوطلبانه و ناشناس بود، هیچ اطلاعات هویتی صاحبکاران گردآوری نشد و پاسخ‌ها به‌صورت تجمیعی گزارش می‌شود</w:t>
      </w:r>
      <w:r>
        <w:rPr>
          <w:rFonts w:eastAsia="Times New Roman" w:cs="B Nazanin"/>
          <w:sz w:val="26"/>
          <w:szCs w:val="26"/>
          <w:rtl w:val="true"/>
          <w:lang w:val="en-US" w:bidi="fa-IR"/>
        </w:rPr>
        <w:t xml:space="preserve">. </w:t>
      </w:r>
      <w:r>
        <w:rPr>
          <w:rFonts w:eastAsia="Times New Roman" w:cs="B Nazanin"/>
          <w:sz w:val="26"/>
          <w:szCs w:val="26"/>
          <w:highlight w:val="yellow"/>
          <w:rtl w:val="true"/>
          <w:lang w:val="en-US" w:bidi="fa-IR"/>
        </w:rPr>
        <w:t>[</w:t>
      </w:r>
      <w:r>
        <w:rPr>
          <w:rFonts w:ascii="Times New Roman" w:hAnsi="Times New Roman" w:eastAsia="Times New Roman"/>
          <w:sz w:val="26"/>
          <w:sz w:val="26"/>
          <w:szCs w:val="26"/>
          <w:highlight w:val="yellow"/>
          <w:rtl w:val="true"/>
          <w:lang w:val="en-US" w:bidi="fa-IR"/>
        </w:rPr>
        <w:t>شمارهٔ تأییدیهٔ کمیتهٔ اخلاق و شیوهٔ اخذ رضایت آگاهانه را درج کنید</w:t>
      </w:r>
      <w:r>
        <w:rPr>
          <w:rFonts w:eastAsia="Times New Roman" w:cs="B Nazanin"/>
          <w:sz w:val="26"/>
          <w:szCs w:val="26"/>
          <w:highlight w:val="yellow"/>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توجه به حساسیت موضوع، پرسش‌ها دربارهٔ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گرایش‌ها در موقعیت فرضی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طرح شده‌اند نه اعتراف به رفتار واقعی</w:t>
      </w:r>
      <w:r>
        <w:rPr>
          <w:rFonts w:eastAsia="Times New Roman" w:cs="B Nazanin"/>
          <w:sz w:val="26"/>
          <w:szCs w:val="26"/>
          <w:rtl w:val="true"/>
          <w:lang w:val="en-US" w:bidi="fa-IR"/>
        </w:rPr>
        <w:t>.</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ابزار پرسشنامهٔ </w:t>
      </w:r>
      <w:r>
        <w:rPr>
          <w:rFonts w:ascii="Times New Roman" w:hAnsi="Times New Roman" w:eastAsia="Times New Roman"/>
          <w:sz w:val="26"/>
          <w:sz w:val="26"/>
          <w:szCs w:val="26"/>
          <w:lang w:val="en-US" w:bidi="fa-IR"/>
        </w:rPr>
        <w:t>۲۲</w:t>
      </w:r>
      <w:r>
        <w:rPr>
          <w:rFonts w:ascii="Times New Roman" w:hAnsi="Times New Roman" w:eastAsia="Times New Roman"/>
          <w:sz w:val="26"/>
          <w:sz w:val="26"/>
          <w:szCs w:val="26"/>
          <w:rtl w:val="true"/>
          <w:lang w:val="en-US" w:bidi="fa-IR"/>
        </w:rPr>
        <w:t xml:space="preserve"> گویه‌ای لیکرت پنج‌درجه‌ای با پنج سازه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مقیاس‌های جو اخلاقی، رفع تعهد اخلاقی و سکوت از منابع مقیاس‌سازی‌شده اقتباس و مقیاس‌های فشار زمانی و وجدان حرفه‌ای محقق‌ساخته‌اند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روایی محتوایی با ضریب و شاخص لاوشه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لاوشه</w:t>
      </w:r>
      <w:r>
        <w:rPr>
          <w:rStyle w:val="FootnoteReference"/>
          <w:rtl w:val="true"/>
        </w:rPr>
        <w:footnoteReference w:id="2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۱۹۷۵</w:t>
      </w:r>
      <w:r>
        <w:rPr>
          <w:rFonts w:ascii="Times New Roman" w:hAnsi="Times New Roman" w:eastAsia="Times New Roman"/>
          <w:sz w:val="26"/>
          <w:sz w:val="26"/>
          <w:szCs w:val="26"/>
          <w:rtl w:val="true"/>
          <w:lang w:val="en-US" w:bidi="fa-IR"/>
        </w:rPr>
        <w:t>؛ پولیت و بک</w:t>
      </w:r>
      <w:r>
        <w:rPr>
          <w:rStyle w:val="FootnoteReference"/>
          <w:rtl w:val="true"/>
        </w:rPr>
        <w:footnoteReference w:id="2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۲۰۰۶</w:t>
      </w:r>
      <w:r>
        <w:rPr>
          <w:rFonts w:eastAsia="Times New Roman" w:cs="B Nazanin"/>
          <w:sz w:val="26"/>
          <w:szCs w:val="26"/>
          <w:rtl w:val="true"/>
          <w:lang w:val="en-US" w:bidi="fa-IR"/>
        </w:rPr>
        <w:t xml:space="preserve">) </w:t>
      </w:r>
      <w:r>
        <w:rPr>
          <w:rFonts w:eastAsia="Times New Roman" w:cs="B Nazanin"/>
          <w:sz w:val="26"/>
          <w:szCs w:val="26"/>
          <w:highlight w:val="yellow"/>
          <w:rtl w:val="true"/>
          <w:lang w:val="en-US" w:bidi="fa-IR"/>
        </w:rPr>
        <w:t>[</w:t>
      </w:r>
      <w:r>
        <w:rPr>
          <w:rFonts w:ascii="Times New Roman" w:hAnsi="Times New Roman" w:eastAsia="Times New Roman"/>
          <w:sz w:val="26"/>
          <w:sz w:val="26"/>
          <w:szCs w:val="26"/>
          <w:highlight w:val="yellow"/>
          <w:rtl w:val="true"/>
          <w:lang w:val="en-US" w:bidi="fa-IR"/>
        </w:rPr>
        <w:t xml:space="preserve">تعداد خبرگان و ضرایب واقعی </w:t>
      </w:r>
      <w:r>
        <w:rPr>
          <w:rFonts w:eastAsia="Times New Roman" w:cs="B Nazanin"/>
          <w:sz w:val="26"/>
          <w:szCs w:val="26"/>
          <w:highlight w:val="yellow"/>
          <w:lang w:val="en-US" w:bidi="fa-IR"/>
        </w:rPr>
        <w:t>CVR</w:t>
      </w:r>
      <w:r>
        <w:rPr>
          <w:rFonts w:eastAsia="Times New Roman" w:cs="B Nazanin"/>
          <w:sz w:val="26"/>
          <w:szCs w:val="26"/>
          <w:highlight w:val="yellow"/>
          <w:rtl w:val="true"/>
          <w:lang w:val="en-US" w:bidi="fa-IR"/>
        </w:rPr>
        <w:t xml:space="preserve"> </w:t>
      </w:r>
      <w:r>
        <w:rPr>
          <w:rFonts w:ascii="Times New Roman" w:hAnsi="Times New Roman" w:eastAsia="Times New Roman"/>
          <w:sz w:val="26"/>
          <w:sz w:val="26"/>
          <w:szCs w:val="26"/>
          <w:highlight w:val="yellow"/>
          <w:rtl w:val="true"/>
          <w:lang w:val="en-US" w:bidi="fa-IR"/>
        </w:rPr>
        <w:t xml:space="preserve">و </w:t>
      </w:r>
      <w:r>
        <w:rPr>
          <w:rFonts w:eastAsia="Times New Roman" w:cs="B Nazanin"/>
          <w:sz w:val="26"/>
          <w:szCs w:val="26"/>
          <w:highlight w:val="yellow"/>
          <w:lang w:val="en-US" w:bidi="fa-IR"/>
        </w:rPr>
        <w:t>CVI</w:t>
      </w:r>
      <w:r>
        <w:rPr>
          <w:rFonts w:eastAsia="Times New Roman" w:cs="B Nazanin"/>
          <w:sz w:val="26"/>
          <w:szCs w:val="26"/>
          <w:highlight w:val="yellow"/>
          <w:rtl w:val="true"/>
          <w:lang w:val="en-US" w:bidi="fa-IR"/>
        </w:rPr>
        <w:t xml:space="preserve"> </w:t>
      </w:r>
      <w:r>
        <w:rPr>
          <w:rFonts w:ascii="Times New Roman" w:hAnsi="Times New Roman" w:eastAsia="Times New Roman"/>
          <w:sz w:val="26"/>
          <w:sz w:val="26"/>
          <w:szCs w:val="26"/>
          <w:highlight w:val="yellow"/>
          <w:rtl w:val="true"/>
          <w:lang w:val="en-US" w:bidi="fa-IR"/>
        </w:rPr>
        <w:t>را درج کنید</w:t>
      </w:r>
      <w:r>
        <w:rPr>
          <w:rFonts w:eastAsia="Times New Roman" w:cs="B Nazanin"/>
          <w:sz w:val="26"/>
          <w:szCs w:val="26"/>
          <w:highlight w:val="yellow"/>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سنجیده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نسبت مشاهده به پارامتر </w:t>
      </w:r>
      <w:r>
        <w:rPr>
          <w:rFonts w:ascii="Times New Roman" w:hAnsi="Times New Roman" w:eastAsia="Times New Roman"/>
          <w:sz w:val="26"/>
          <w:sz w:val="26"/>
          <w:szCs w:val="26"/>
          <w:lang w:val="en-US" w:bidi="fa-IR"/>
        </w:rPr>
        <w:t>۴٫۶</w:t>
      </w:r>
      <w:r>
        <w:rPr>
          <w:rFonts w:ascii="Times New Roman" w:hAnsi="Times New Roman" w:eastAsia="Times New Roman"/>
          <w:sz w:val="26"/>
          <w:sz w:val="26"/>
          <w:szCs w:val="26"/>
          <w:rtl w:val="true"/>
          <w:lang w:val="en-US" w:bidi="fa-IR"/>
        </w:rPr>
        <w:t xml:space="preserve"> است؛ از این رو توان آزمون برازش نزدیک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مک‌کالوم، براون و سوگاوارا</w:t>
      </w:r>
      <w:r>
        <w:rPr>
          <w:rStyle w:val="FootnoteReference"/>
          <w:rtl w:val="true"/>
        </w:rPr>
        <w:footnoteReference w:id="2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نیز بررسی 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بیش از </w:t>
      </w:r>
      <w:r>
        <w:rPr>
          <w:rFonts w:ascii="Times New Roman" w:hAnsi="Times New Roman" w:eastAsia="Times New Roman"/>
          <w:sz w:val="26"/>
          <w:sz w:val="26"/>
          <w:szCs w:val="26"/>
          <w:lang w:val="en-US" w:bidi="fa-IR"/>
        </w:rPr>
        <w:t>۰٫۹۹</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سازه‌ها، منشأ مقیاس و منابع اصلی</w:t>
      </w:r>
    </w:p>
    <w:tbl>
      <w:tblPr>
        <w:bidiVisual w:val="true"/>
        <w:tblW w:w="7000" w:type="dxa"/>
        <w:jc w:val="center"/>
        <w:tblInd w:w="0" w:type="dxa"/>
        <w:tblLayout w:type="fixed"/>
        <w:tblCellMar>
          <w:top w:w="0" w:type="dxa"/>
          <w:left w:w="60" w:type="dxa"/>
          <w:bottom w:w="0" w:type="dxa"/>
          <w:right w:w="60" w:type="dxa"/>
        </w:tblCellMar>
      </w:tblPr>
      <w:tblGrid>
        <w:gridCol w:w="599"/>
        <w:gridCol w:w="1900"/>
        <w:gridCol w:w="501"/>
        <w:gridCol w:w="2000"/>
        <w:gridCol w:w="2000"/>
      </w:tblGrid>
      <w:tr>
        <w:trPr>
          <w:tblHeader w:val="true"/>
        </w:trPr>
        <w:tc>
          <w:tcPr>
            <w:tcW w:w="5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نماد</w:t>
            </w:r>
          </w:p>
        </w:tc>
        <w:tc>
          <w:tcPr>
            <w:tcW w:w="19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سازه</w:t>
            </w:r>
          </w:p>
        </w:tc>
        <w:tc>
          <w:tcPr>
            <w:tcW w:w="5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گویه</w:t>
            </w:r>
          </w:p>
        </w:tc>
        <w:tc>
          <w:tcPr>
            <w:tcW w:w="20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منشأ</w:t>
            </w:r>
          </w:p>
        </w:tc>
        <w:tc>
          <w:tcPr>
            <w:tcW w:w="20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منابع</w:t>
            </w:r>
          </w:p>
        </w:tc>
      </w:tr>
      <w:tr>
        <w:trPr>
          <w:cantSplit w:val="true"/>
        </w:trPr>
        <w:tc>
          <w:tcPr>
            <w:tcW w:w="599" w:type="dxa"/>
            <w:tcBorders/>
            <w:vAlign w:val="center"/>
          </w:tcPr>
          <w:p>
            <w:pPr>
              <w:pStyle w:val="Normal"/>
              <w:bidi w:val="1"/>
              <w:spacing w:lineRule="auto" w:line="240" w:before="40" w:after="40"/>
              <w:jc w:val="center"/>
              <w:rPr/>
            </w:pPr>
            <w:r>
              <w:rPr>
                <w:rFonts w:eastAsia="Times New Roman" w:cs="B Nazanin"/>
                <w:sz w:val="20"/>
                <w:szCs w:val="20"/>
                <w:lang w:val="en-US" w:bidi="fa-IR"/>
              </w:rPr>
              <w:t>TBP</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بودجهٔ زمانی</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محقق‌ساخته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برگرفته از نظریه</w:t>
            </w:r>
            <w:r>
              <w:rPr>
                <w:rFonts w:eastAsia="Times New Roman" w:cs="B Nazanin"/>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دیزورت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۱۹۹۷</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 xml:space="preserve">؛ مالون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۱۹۹۶</w:t>
            </w:r>
            <w:r>
              <w:rPr>
                <w:rFonts w:eastAsia="Times New Roman" w:cs="B Nazanin"/>
                <w:sz w:val="20"/>
                <w:szCs w:val="20"/>
                <w:rtl w:val="true"/>
                <w:lang w:val="en-US" w:bidi="fa-IR"/>
              </w:rPr>
              <w:t>)</w:t>
            </w:r>
          </w:p>
        </w:tc>
      </w:tr>
      <w:tr>
        <w:trPr>
          <w:cantSplit w:val="true"/>
        </w:trPr>
        <w:tc>
          <w:tcPr>
            <w:tcW w:w="599" w:type="dxa"/>
            <w:tcBorders/>
            <w:vAlign w:val="center"/>
          </w:tcPr>
          <w:p>
            <w:pPr>
              <w:pStyle w:val="Normal"/>
              <w:bidi w:val="1"/>
              <w:spacing w:lineRule="auto" w:line="240" w:before="40" w:after="40"/>
              <w:jc w:val="center"/>
              <w:rPr/>
            </w:pPr>
            <w:r>
              <w:rPr>
                <w:rFonts w:eastAsia="Times New Roman" w:cs="B Nazanin"/>
                <w:sz w:val="20"/>
                <w:szCs w:val="20"/>
                <w:lang w:val="en-US" w:bidi="fa-IR"/>
              </w:rPr>
              <w:t>ECL</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جو اخلاقی سازمان</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پژوهش‌محور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اقتباس‌شده</w:t>
            </w:r>
            <w:r>
              <w:rPr>
                <w:rFonts w:eastAsia="Times New Roman" w:cs="B Nazanin"/>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ویکتور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۱۹۸۸</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 xml:space="preserve">؛ کیش‌گفارت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۲۰۱۰</w:t>
            </w:r>
            <w:r>
              <w:rPr>
                <w:rFonts w:eastAsia="Times New Roman" w:cs="B Nazanin"/>
                <w:sz w:val="20"/>
                <w:szCs w:val="20"/>
                <w:rtl w:val="true"/>
                <w:lang w:val="en-US" w:bidi="fa-IR"/>
              </w:rPr>
              <w:t>)</w:t>
            </w:r>
          </w:p>
        </w:tc>
      </w:tr>
      <w:tr>
        <w:trPr>
          <w:cantSplit w:val="true"/>
        </w:trPr>
        <w:tc>
          <w:tcPr>
            <w:tcW w:w="599" w:type="dxa"/>
            <w:tcBorders/>
            <w:vAlign w:val="center"/>
          </w:tcPr>
          <w:p>
            <w:pPr>
              <w:pStyle w:val="Normal"/>
              <w:bidi w:val="1"/>
              <w:spacing w:lineRule="auto" w:line="240" w:before="40" w:after="40"/>
              <w:jc w:val="center"/>
              <w:rPr/>
            </w:pPr>
            <w:r>
              <w:rPr>
                <w:rFonts w:eastAsia="Times New Roman" w:cs="B Nazanin"/>
                <w:sz w:val="20"/>
                <w:szCs w:val="20"/>
                <w:lang w:val="en-US" w:bidi="fa-IR"/>
              </w:rPr>
              <w:t>CON</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وجدان حرفه‌ای</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محقق‌ساخته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برگرفته از نظریه</w:t>
            </w:r>
            <w:r>
              <w:rPr>
                <w:rFonts w:eastAsia="Times New Roman" w:cs="B Nazanin"/>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لوئیس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۲۰۰۱</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 xml:space="preserve">؛ بیدون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۲۰۰۰</w:t>
            </w:r>
            <w:r>
              <w:rPr>
                <w:rFonts w:eastAsia="Times New Roman" w:cs="B Nazanin"/>
                <w:sz w:val="20"/>
                <w:szCs w:val="20"/>
                <w:rtl w:val="true"/>
                <w:lang w:val="en-US" w:bidi="fa-IR"/>
              </w:rPr>
              <w:t>)</w:t>
            </w:r>
          </w:p>
        </w:tc>
      </w:tr>
      <w:tr>
        <w:trPr>
          <w:cantSplit w:val="true"/>
        </w:trPr>
        <w:tc>
          <w:tcPr>
            <w:tcW w:w="599" w:type="dxa"/>
            <w:tcBorders/>
            <w:vAlign w:val="center"/>
          </w:tcPr>
          <w:p>
            <w:pPr>
              <w:pStyle w:val="Normal"/>
              <w:bidi w:val="1"/>
              <w:spacing w:lineRule="auto" w:line="240" w:before="40" w:after="40"/>
              <w:jc w:val="center"/>
              <w:rPr/>
            </w:pPr>
            <w:r>
              <w:rPr>
                <w:rFonts w:eastAsia="Times New Roman" w:cs="B Nazanin"/>
                <w:sz w:val="20"/>
                <w:szCs w:val="20"/>
                <w:lang w:val="en-US" w:bidi="fa-IR"/>
              </w:rPr>
              <w:t>MD</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رفع تعهد اخلاقی</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پژوهش‌محور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اقتباس‌شده</w:t>
            </w:r>
            <w:r>
              <w:rPr>
                <w:rFonts w:eastAsia="Times New Roman" w:cs="B Nazanin"/>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بندورا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۱۹۹۹</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 xml:space="preserve">؛ مور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۲۰۱۲</w:t>
            </w:r>
            <w:r>
              <w:rPr>
                <w:rFonts w:eastAsia="Times New Roman" w:cs="B Nazanin"/>
                <w:sz w:val="20"/>
                <w:szCs w:val="20"/>
                <w:rtl w:val="true"/>
                <w:lang w:val="en-US" w:bidi="fa-IR"/>
              </w:rPr>
              <w:t>)</w:t>
            </w:r>
          </w:p>
        </w:tc>
      </w:tr>
      <w:tr>
        <w:trPr>
          <w:cantSplit w:val="true"/>
        </w:trPr>
        <w:tc>
          <w:tcPr>
            <w:tcW w:w="5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SIL</w:t>
            </w:r>
          </w:p>
        </w:tc>
        <w:tc>
          <w:tcPr>
            <w:tcW w:w="1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سکوت دربارهٔ تخلف کشف‌شده</w:t>
            </w:r>
          </w:p>
        </w:tc>
        <w:tc>
          <w:tcPr>
            <w:tcW w:w="5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w:t>
            </w:r>
          </w:p>
        </w:tc>
        <w:tc>
          <w:tcPr>
            <w:tcW w:w="2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پژوهش‌محور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اقتباس‌شده</w:t>
            </w:r>
            <w:r>
              <w:rPr>
                <w:rFonts w:eastAsia="Times New Roman" w:cs="B Nazanin"/>
                <w:sz w:val="20"/>
                <w:szCs w:val="20"/>
                <w:rtl w:val="true"/>
                <w:lang w:val="en-US" w:bidi="fa-IR"/>
              </w:rPr>
              <w:t>)</w:t>
            </w:r>
          </w:p>
        </w:tc>
        <w:tc>
          <w:tcPr>
            <w:tcW w:w="2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موریسون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۲۰۰۰</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 xml:space="preserve">؛ ون‌داین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۲۰۰۳</w:t>
            </w:r>
            <w:r>
              <w:rPr>
                <w:rFonts w:eastAsia="Times New Roman" w:cs="B Nazanin"/>
                <w:sz w:val="20"/>
                <w:szCs w:val="20"/>
                <w:rtl w:val="true"/>
                <w:lang w:val="en-US" w:bidi="fa-IR"/>
              </w:rPr>
              <w:t>)</w:t>
            </w:r>
          </w:p>
        </w:tc>
      </w:tr>
    </w:tbl>
    <w:p>
      <w:pPr>
        <w:pStyle w:val="Normal"/>
        <w:bidi w:val="1"/>
        <w:spacing w:lineRule="auto" w:line="240" w:before="0" w:after="100"/>
        <w:ind w:firstLine="360"/>
        <w:jc w:val="both"/>
        <w:rPr/>
      </w:pPr>
      <w:r>
        <w:rPr>
          <w:rtl w:val="true"/>
        </w:rPr>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تحلیل با مدل‌سازی معادلات ساختاری مبتنی بر کوواریانس در </w:t>
      </w:r>
      <w:r>
        <w:rPr>
          <w:rFonts w:eastAsia="Times New Roman" w:cs="B Nazanin"/>
          <w:sz w:val="26"/>
          <w:szCs w:val="26"/>
          <w:lang w:val="en-US" w:bidi="fa-IR"/>
        </w:rPr>
        <w:t>semopy</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ایگولکینا و مشچریاکوف</w:t>
      </w:r>
      <w:r>
        <w:rPr>
          <w:rStyle w:val="FootnoteReference"/>
          <w:rtl w:val="true"/>
        </w:rPr>
        <w:footnoteReference w:id="2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۲۰۲۰</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انجام شد و هیچ گویه‌ای جمع یا میانگین‌گیری نشد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دو اثر متقابل پنهان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فشار زمانی </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وجدان بر رفع تعهد؛ رفع تعهد </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وجدان بر سکوت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شاخص‌های حاصل‌ضرب جفت‌شده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مارش، ون و هائو</w:t>
      </w:r>
      <w:r>
        <w:rPr>
          <w:rStyle w:val="FootnoteReference"/>
          <w:rtl w:val="true"/>
        </w:rPr>
        <w:footnoteReference w:id="2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بازبینی با شاخص‌های باقی‌مانده‌مرکزشده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لیتل، بووایرد و ویدمن</w:t>
      </w:r>
      <w:r>
        <w:rPr>
          <w:rStyle w:val="FootnoteReference"/>
          <w:rtl w:val="true"/>
        </w:rPr>
        <w:footnoteReference w:id="2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ساخته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اثرهای غیرمستقیم شرطی در سطوح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انحراف معیار وجدان با </w:t>
      </w:r>
      <w:r>
        <w:rPr>
          <w:rFonts w:ascii="Times New Roman" w:hAnsi="Times New Roman" w:eastAsia="Times New Roman"/>
          <w:sz w:val="26"/>
          <w:sz w:val="26"/>
          <w:szCs w:val="26"/>
          <w:lang w:val="en-US" w:bidi="fa-IR"/>
        </w:rPr>
        <w:t>۲</w:t>
      </w:r>
      <w:r>
        <w:rPr>
          <w:rFonts w:eastAsia="Times New Roman" w:cs="B Nazanin"/>
          <w:sz w:val="26"/>
          <w:szCs w:val="26"/>
          <w:lang w:val="en-US" w:bidi="fa-IR"/>
        </w:rPr>
        <w:t>,</w:t>
      </w:r>
      <w:r>
        <w:rPr>
          <w:rFonts w:ascii="Times New Roman" w:hAnsi="Times New Roman" w:eastAsia="Times New Roman"/>
          <w:sz w:val="26"/>
          <w:sz w:val="26"/>
          <w:szCs w:val="26"/>
          <w:lang w:val="en-US" w:bidi="fa-IR"/>
        </w:rPr>
        <w:t>۰۰۰</w:t>
      </w:r>
      <w:r>
        <w:rPr>
          <w:rFonts w:ascii="Times New Roman" w:hAnsi="Times New Roman" w:eastAsia="Times New Roman"/>
          <w:sz w:val="26"/>
          <w:sz w:val="26"/>
          <w:szCs w:val="26"/>
          <w:rtl w:val="true"/>
          <w:lang w:val="en-US" w:bidi="fa-IR"/>
        </w:rPr>
        <w:t xml:space="preserve"> نمونهٔ بوت‌استرپ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پریچر و هیز</w:t>
      </w:r>
      <w:r>
        <w:rPr>
          <w:rStyle w:val="FootnoteReference"/>
          <w:rtl w:val="true"/>
        </w:rPr>
        <w:footnoteReference w:id="2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شاخص میانجی‌گری تعدیل‌شده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هیز</w:t>
      </w:r>
      <w:r>
        <w:rPr>
          <w:rStyle w:val="FootnoteReference"/>
          <w:rtl w:val="true"/>
        </w:rPr>
        <w:footnoteReference w:id="29"/>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برآورد گردید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برازش با </w:t>
      </w:r>
      <w:r>
        <w:rPr>
          <w:rFonts w:eastAsia="Times New Roman" w:cs="B Nazanin"/>
          <w:sz w:val="26"/>
          <w:szCs w:val="26"/>
          <w:lang w:val="en-US" w:bidi="fa-IR"/>
        </w:rPr>
        <w:t>CFI</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w:t>
      </w:r>
      <w:r>
        <w:rPr>
          <w:rFonts w:eastAsia="Times New Roman" w:cs="B Nazanin"/>
          <w:sz w:val="26"/>
          <w:szCs w:val="26"/>
          <w:lang w:val="en-US" w:bidi="fa-IR"/>
        </w:rPr>
        <w:t>TLI</w:t>
      </w:r>
      <w:r>
        <w:rPr>
          <w:rFonts w:eastAsia="Times New Roman" w:cs="B Nazanin"/>
          <w:sz w:val="26"/>
          <w:szCs w:val="26"/>
          <w:rtl w:val="true"/>
          <w:lang w:val="en-US" w:bidi="fa-IR"/>
        </w:rPr>
        <w:t xml:space="preserve"> (≥ </w:t>
      </w:r>
      <w:r>
        <w:rPr>
          <w:rFonts w:ascii="Times New Roman" w:hAnsi="Times New Roman" w:eastAsia="Times New Roman"/>
          <w:sz w:val="26"/>
          <w:sz w:val="26"/>
          <w:szCs w:val="26"/>
          <w:lang w:val="en-US" w:bidi="fa-IR"/>
        </w:rPr>
        <w:t>۰٫۹۵</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RMSEA</w:t>
      </w:r>
      <w:r>
        <w:rPr>
          <w:rFonts w:eastAsia="Times New Roman" w:cs="B Nazanin"/>
          <w:sz w:val="26"/>
          <w:szCs w:val="26"/>
          <w:rtl w:val="true"/>
          <w:lang w:val="en-US" w:bidi="fa-IR"/>
        </w:rPr>
        <w:t xml:space="preserve"> (≤ </w:t>
      </w:r>
      <w:r>
        <w:rPr>
          <w:rFonts w:ascii="Times New Roman" w:hAnsi="Times New Roman" w:eastAsia="Times New Roman"/>
          <w:sz w:val="26"/>
          <w:sz w:val="26"/>
          <w:szCs w:val="26"/>
          <w:lang w:val="en-US" w:bidi="fa-IR"/>
        </w:rPr>
        <w:t>۰٫۰۶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w:t>
      </w:r>
      <w:r>
        <w:rPr>
          <w:rFonts w:eastAsia="Times New Roman" w:cs="B Nazanin"/>
          <w:sz w:val="26"/>
          <w:szCs w:val="26"/>
          <w:lang w:val="en-US" w:bidi="fa-IR"/>
        </w:rPr>
        <w:t>SRMR</w:t>
      </w:r>
      <w:r>
        <w:rPr>
          <w:rFonts w:eastAsia="Times New Roman" w:cs="B Nazanin"/>
          <w:sz w:val="26"/>
          <w:szCs w:val="26"/>
          <w:rtl w:val="true"/>
          <w:lang w:val="en-US" w:bidi="fa-IR"/>
        </w:rPr>
        <w:t xml:space="preserve"> (≤ </w:t>
      </w:r>
      <w:r>
        <w:rPr>
          <w:rFonts w:ascii="Times New Roman" w:hAnsi="Times New Roman" w:eastAsia="Times New Roman"/>
          <w:sz w:val="26"/>
          <w:sz w:val="26"/>
          <w:szCs w:val="26"/>
          <w:lang w:val="en-US" w:bidi="fa-IR"/>
        </w:rPr>
        <w:t>۰٫۰۸</w:t>
      </w:r>
      <w:r>
        <w:rPr>
          <w:rFonts w:eastAsia="Times New Roman" w:cs="B Nazanin"/>
          <w:sz w:val="26"/>
          <w:szCs w:val="26"/>
          <w:rtl w:val="true"/>
          <w:lang w:val="en-US" w:bidi="fa-IR"/>
        </w:rPr>
        <w:t>) (</w:t>
      </w:r>
      <w:r>
        <w:rPr>
          <w:rFonts w:ascii="Times New Roman" w:hAnsi="Times New Roman" w:eastAsia="Times New Roman"/>
          <w:sz w:val="26"/>
          <w:sz w:val="26"/>
          <w:szCs w:val="26"/>
          <w:rtl w:val="true"/>
          <w:lang w:val="en-US" w:bidi="fa-IR"/>
        </w:rPr>
        <w:t>هو و بنتلر</w:t>
      </w:r>
      <w:r>
        <w:rPr>
          <w:rStyle w:val="FootnoteReference"/>
          <w:rtl w:val="true"/>
        </w:rPr>
        <w:footnoteReference w:id="3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روایی با </w:t>
      </w:r>
      <w:r>
        <w:rPr>
          <w:rFonts w:eastAsia="Times New Roman" w:cs="B Nazanin"/>
          <w:sz w:val="26"/>
          <w:szCs w:val="26"/>
          <w:lang w:val="en-US" w:bidi="fa-IR"/>
        </w:rPr>
        <w:t>CR</w:t>
      </w:r>
      <w:r>
        <w:rPr>
          <w:rFonts w:ascii="Times New Roman" w:hAnsi="Times New Roman" w:eastAsia="Times New Roman"/>
          <w:sz w:val="26"/>
          <w:sz w:val="26"/>
          <w:szCs w:val="26"/>
          <w:lang w:val="en-US" w:bidi="fa-IR"/>
        </w:rPr>
        <w:t xml:space="preserve">، </w:t>
      </w:r>
      <w:r>
        <w:rPr>
          <w:rFonts w:eastAsia="Times New Roman" w:cs="B Nazanin"/>
          <w:sz w:val="26"/>
          <w:szCs w:val="26"/>
          <w:lang w:val="en-US" w:bidi="fa-IR"/>
        </w:rPr>
        <w:t>AVE</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فورنل و لارکر</w:t>
      </w:r>
      <w:r>
        <w:rPr>
          <w:rStyle w:val="FootnoteReference"/>
          <w:rtl w:val="true"/>
        </w:rPr>
        <w:footnoteReference w:id="3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w:t>
      </w:r>
      <w:r>
        <w:rPr>
          <w:rFonts w:eastAsia="Times New Roman" w:cs="B Nazanin"/>
          <w:sz w:val="26"/>
          <w:szCs w:val="26"/>
          <w:lang w:val="en-US" w:bidi="fa-IR"/>
        </w:rPr>
        <w:t>HTMT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هنسلر، رینگل و سارستدت</w:t>
      </w:r>
      <w:r>
        <w:rPr>
          <w:rStyle w:val="FootnoteReference"/>
          <w:rtl w:val="true"/>
        </w:rPr>
        <w:footnoteReference w:id="3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سوگیری روش مشترک با آزمون هارمن، مدل تک‌عاملی و عامل مشترک پنهان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پوداساکف و همکاران</w:t>
      </w:r>
      <w:r>
        <w:rPr>
          <w:rStyle w:val="FootnoteReference"/>
          <w:rtl w:val="true"/>
        </w:rPr>
        <w:footnoteReference w:id="3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سنجیده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پنج مدل رقیب با آزمون تفاضل کای‌دو مقایسه شدند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یافته‌های پژوهش</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مدل اندازه‌گیری پنج‌عاملی برازش مطلوبی داشت</w:t>
      </w:r>
      <w:r>
        <w:rPr>
          <w:rFonts w:eastAsia="Times New Roman" w:cs="B Nazanin"/>
          <w:sz w:val="26"/>
          <w:szCs w:val="26"/>
          <w:rtl w:val="true"/>
          <w:lang w:val="en-US" w:bidi="fa-IR"/>
        </w:rPr>
        <w:t xml:space="preserve">: </w:t>
      </w:r>
      <w:r>
        <w:rPr>
          <w:rFonts w:eastAsia="Times New Roman" w:cs="B Nazanin"/>
          <w:sz w:val="26"/>
          <w:szCs w:val="26"/>
          <w:lang w:val="en-US" w:bidi="fa-IR"/>
        </w:rPr>
        <w:t>χ²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۲۷۷٫۷</w:t>
      </w:r>
      <w:r>
        <w:rPr>
          <w:rFonts w:ascii="Times New Roman" w:hAnsi="Times New Roman" w:eastAsia="Times New Roman"/>
          <w:sz w:val="26"/>
          <w:sz w:val="26"/>
          <w:szCs w:val="26"/>
          <w:rtl w:val="true"/>
          <w:lang w:val="en-US" w:bidi="fa-IR"/>
        </w:rPr>
        <w:t xml:space="preserve"> با </w:t>
      </w:r>
      <w:r>
        <w:rPr>
          <w:rFonts w:ascii="Times New Roman" w:hAnsi="Times New Roman" w:eastAsia="Times New Roman"/>
          <w:sz w:val="26"/>
          <w:sz w:val="26"/>
          <w:szCs w:val="26"/>
          <w:lang w:val="en-US" w:bidi="fa-IR"/>
        </w:rPr>
        <w:t>۱۹۹</w:t>
      </w:r>
      <w:r>
        <w:rPr>
          <w:rFonts w:ascii="Times New Roman" w:hAnsi="Times New Roman" w:eastAsia="Times New Roman"/>
          <w:sz w:val="26"/>
          <w:sz w:val="26"/>
          <w:szCs w:val="26"/>
          <w:rtl w:val="true"/>
          <w:lang w:val="en-US" w:bidi="fa-IR"/>
        </w:rPr>
        <w:t xml:space="preserve"> درجهٔ آزادی؛ </w:t>
      </w:r>
      <w:r>
        <w:rPr>
          <w:rFonts w:eastAsia="Times New Roman" w:cs="B Nazanin"/>
          <w:sz w:val="26"/>
          <w:szCs w:val="26"/>
          <w:lang w:val="en-US" w:bidi="fa-IR"/>
        </w:rPr>
        <w:t>CFI</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۰٫۹۷۷</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TLI</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۰٫۹۷۳</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RMSEA</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۰٫۰۳۳</w:t>
      </w:r>
      <w:r>
        <w:rPr>
          <w:rFonts w:ascii="Times New Roman" w:hAnsi="Times New Roman" w:eastAsia="Times New Roman"/>
          <w:sz w:val="26"/>
          <w:sz w:val="26"/>
          <w:szCs w:val="26"/>
          <w:rtl w:val="true"/>
          <w:lang w:val="en-US" w:bidi="fa-IR"/>
        </w:rPr>
        <w:t xml:space="preserve"> و </w:t>
      </w:r>
      <w:r>
        <w:rPr>
          <w:rFonts w:eastAsia="Times New Roman" w:cs="B Nazanin"/>
          <w:sz w:val="26"/>
          <w:szCs w:val="26"/>
          <w:lang w:val="en-US" w:bidi="fa-IR"/>
        </w:rPr>
        <w:t>SRMR</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۰٫۰۴۲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بارهای عاملی از </w:t>
      </w:r>
      <w:r>
        <w:rPr>
          <w:rFonts w:ascii="Times New Roman" w:hAnsi="Times New Roman" w:eastAsia="Times New Roman"/>
          <w:sz w:val="26"/>
          <w:sz w:val="26"/>
          <w:szCs w:val="26"/>
          <w:lang w:val="en-US" w:bidi="fa-IR"/>
        </w:rPr>
        <w:t>۰٫۵۷</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۰٫۸۴</w:t>
      </w:r>
      <w:r>
        <w:rPr>
          <w:rFonts w:ascii="Times New Roman" w:hAnsi="Times New Roman" w:eastAsia="Times New Roman"/>
          <w:sz w:val="26"/>
          <w:sz w:val="26"/>
          <w:szCs w:val="26"/>
          <w:rtl w:val="true"/>
          <w:lang w:val="en-US" w:bidi="fa-IR"/>
        </w:rPr>
        <w:t xml:space="preserve">، پایایی ترکیبی از </w:t>
      </w:r>
      <w:r>
        <w:rPr>
          <w:rFonts w:ascii="Times New Roman" w:hAnsi="Times New Roman" w:eastAsia="Times New Roman"/>
          <w:sz w:val="26"/>
          <w:sz w:val="26"/>
          <w:szCs w:val="26"/>
          <w:lang w:val="en-US" w:bidi="fa-IR"/>
        </w:rPr>
        <w:t>۰٫۸۰</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۰٫۸۶</w:t>
      </w:r>
      <w:r>
        <w:rPr>
          <w:rFonts w:ascii="Times New Roman" w:hAnsi="Times New Roman" w:eastAsia="Times New Roman"/>
          <w:sz w:val="26"/>
          <w:sz w:val="26"/>
          <w:szCs w:val="26"/>
          <w:rtl w:val="true"/>
          <w:lang w:val="en-US" w:bidi="fa-IR"/>
        </w:rPr>
        <w:t xml:space="preserve"> و </w:t>
      </w:r>
      <w:r>
        <w:rPr>
          <w:rFonts w:eastAsia="Times New Roman" w:cs="B Nazanin"/>
          <w:sz w:val="26"/>
          <w:szCs w:val="26"/>
          <w:lang w:val="en-US" w:bidi="fa-IR"/>
        </w:rPr>
        <w:t>AVE</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w:t>
      </w:r>
      <w:r>
        <w:rPr>
          <w:rFonts w:ascii="Times New Roman" w:hAnsi="Times New Roman" w:eastAsia="Times New Roman"/>
          <w:sz w:val="26"/>
          <w:sz w:val="26"/>
          <w:szCs w:val="26"/>
          <w:lang w:val="en-US" w:bidi="fa-IR"/>
        </w:rPr>
        <w:t>۰٫۵۱</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۰٫۵۸</w:t>
      </w:r>
      <w:r>
        <w:rPr>
          <w:rFonts w:ascii="Times New Roman" w:hAnsi="Times New Roman" w:eastAsia="Times New Roman"/>
          <w:sz w:val="26"/>
          <w:sz w:val="26"/>
          <w:szCs w:val="26"/>
          <w:rtl w:val="true"/>
          <w:lang w:val="en-US" w:bidi="fa-IR"/>
        </w:rPr>
        <w:t xml:space="preserve"> بود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بیشینهٔ </w:t>
      </w:r>
      <w:r>
        <w:rPr>
          <w:rFonts w:eastAsia="Times New Roman" w:cs="B Nazanin"/>
          <w:sz w:val="26"/>
          <w:szCs w:val="26"/>
          <w:lang w:val="en-US" w:bidi="fa-IR"/>
        </w:rPr>
        <w:t>HTMT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۰٫۶۱</w:t>
      </w:r>
      <w:r>
        <w:rPr>
          <w:rFonts w:ascii="Times New Roman" w:hAnsi="Times New Roman" w:eastAsia="Times New Roman"/>
          <w:sz w:val="26"/>
          <w:sz w:val="26"/>
          <w:szCs w:val="26"/>
          <w:rtl w:val="true"/>
          <w:lang w:val="en-US" w:bidi="fa-IR"/>
        </w:rPr>
        <w:t xml:space="preserve">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نخستین عامل هارمن </w:t>
      </w:r>
      <w:r>
        <w:rPr>
          <w:rFonts w:ascii="Times New Roman" w:hAnsi="Times New Roman" w:eastAsia="Times New Roman"/>
          <w:sz w:val="26"/>
          <w:sz w:val="26"/>
          <w:szCs w:val="26"/>
          <w:lang w:val="en-US" w:bidi="fa-IR"/>
        </w:rPr>
        <w:t>۲۹٫۴</w:t>
      </w:r>
      <w:r>
        <w:rPr>
          <w:rFonts w:ascii="Times New Roman" w:hAnsi="Times New Roman" w:eastAsia="Times New Roman"/>
          <w:sz w:val="26"/>
          <w:sz w:val="26"/>
          <w:szCs w:val="26"/>
          <w:rtl w:val="true"/>
          <w:lang w:val="en-US" w:bidi="fa-IR"/>
        </w:rPr>
        <w:t xml:space="preserve"> درصد واریانس را تبیین کرد و افزودن عامل مشترک پنهان تغییر چشمگیری در برازش نداد </w:t>
      </w:r>
      <w:r>
        <w:rPr>
          <w:rFonts w:eastAsia="Times New Roman" w:cs="B Nazanin"/>
          <w:sz w:val="26"/>
          <w:szCs w:val="26"/>
          <w:rtl w:val="true"/>
          <w:lang w:val="en-US" w:bidi="fa-IR"/>
        </w:rPr>
        <w:t>(</w:t>
      </w:r>
      <w:r>
        <w:rPr>
          <w:rFonts w:eastAsia="Times New Roman" w:cs="B Nazanin"/>
          <w:sz w:val="26"/>
          <w:szCs w:val="26"/>
          <w:lang w:val="en-US" w:bidi="fa-IR"/>
        </w:rPr>
        <w:t>CFI</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۰٫۹۸۸</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پایایی و روایی همگرا</w:t>
      </w:r>
    </w:p>
    <w:tbl>
      <w:tblPr>
        <w:bidiVisual w:val="true"/>
        <w:tblW w:w="7500" w:type="dxa"/>
        <w:jc w:val="center"/>
        <w:tblInd w:w="0" w:type="dxa"/>
        <w:tblLayout w:type="fixed"/>
        <w:tblCellMar>
          <w:top w:w="0" w:type="dxa"/>
          <w:left w:w="60" w:type="dxa"/>
          <w:bottom w:w="0" w:type="dxa"/>
          <w:right w:w="60" w:type="dxa"/>
        </w:tblCellMar>
      </w:tblPr>
      <w:tblGrid>
        <w:gridCol w:w="2600"/>
        <w:gridCol w:w="700"/>
        <w:gridCol w:w="900"/>
        <w:gridCol w:w="900"/>
        <w:gridCol w:w="900"/>
        <w:gridCol w:w="1499"/>
      </w:tblGrid>
      <w:tr>
        <w:trPr>
          <w:tblHeader w:val="true"/>
        </w:trPr>
        <w:tc>
          <w:tcPr>
            <w:tcW w:w="26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سازه</w:t>
            </w:r>
          </w:p>
        </w:tc>
        <w:tc>
          <w:tcPr>
            <w:tcW w:w="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گویه</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آلفا</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CR</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AVE</w:t>
            </w:r>
          </w:p>
        </w:tc>
        <w:tc>
          <w:tcPr>
            <w:tcW w:w="1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بارها</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فشار بودجهٔ زمانی </w:t>
            </w:r>
            <w:r>
              <w:rPr>
                <w:rFonts w:eastAsia="Times New Roman" w:cs="B Nazanin"/>
                <w:sz w:val="22"/>
                <w:szCs w:val="22"/>
                <w:rtl w:val="true"/>
                <w:lang w:val="en-US" w:bidi="fa-IR"/>
              </w:rPr>
              <w:t>(</w:t>
            </w:r>
            <w:r>
              <w:rPr>
                <w:rFonts w:eastAsia="Times New Roman" w:cs="B Nazanin"/>
                <w:sz w:val="22"/>
                <w:szCs w:val="22"/>
                <w:lang w:val="en-US" w:bidi="fa-IR"/>
              </w:rPr>
              <w:t>TBP</w:t>
            </w:r>
            <w:r>
              <w:rPr>
                <w:rFonts w:eastAsia="Times New Roman" w:cs="B Nazanin"/>
                <w:sz w:val="22"/>
                <w:szCs w:val="22"/>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۰٫۸۰</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۰٫۸۰</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۰٫۵۱</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۰٫۵۷</w:t>
            </w:r>
            <w:r>
              <w:rPr>
                <w:rFonts w:ascii="Times New Roman" w:hAnsi="Times New Roman" w:eastAsia="Times New Roman"/>
                <w:sz w:val="22"/>
                <w:sz w:val="22"/>
                <w:szCs w:val="22"/>
                <w:rtl w:val="true"/>
                <w:lang w:val="en-US" w:bidi="fa-IR"/>
              </w:rPr>
              <w:t>–</w:t>
            </w:r>
            <w:r>
              <w:rPr>
                <w:rFonts w:ascii="Times New Roman" w:hAnsi="Times New Roman" w:eastAsia="Times New Roman"/>
                <w:sz w:val="22"/>
                <w:sz w:val="22"/>
                <w:szCs w:val="22"/>
                <w:lang w:val="en-US" w:bidi="fa-IR"/>
              </w:rPr>
              <w:t>۰٫۷۹</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جو اخلاقی سازمان </w:t>
            </w:r>
            <w:r>
              <w:rPr>
                <w:rFonts w:eastAsia="Times New Roman" w:cs="B Nazanin"/>
                <w:sz w:val="22"/>
                <w:szCs w:val="22"/>
                <w:rtl w:val="true"/>
                <w:lang w:val="en-US" w:bidi="fa-IR"/>
              </w:rPr>
              <w:t>(</w:t>
            </w:r>
            <w:r>
              <w:rPr>
                <w:rFonts w:eastAsia="Times New Roman" w:cs="B Nazanin"/>
                <w:sz w:val="22"/>
                <w:szCs w:val="22"/>
                <w:lang w:val="en-US" w:bidi="fa-IR"/>
              </w:rPr>
              <w:t>ECL</w:t>
            </w:r>
            <w:r>
              <w:rPr>
                <w:rFonts w:eastAsia="Times New Roman" w:cs="B Nazanin"/>
                <w:sz w:val="22"/>
                <w:szCs w:val="22"/>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۰٫۸۵</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۰٫۸۵</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۰٫۵۸</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۰٫۷۰</w:t>
            </w:r>
            <w:r>
              <w:rPr>
                <w:rFonts w:ascii="Times New Roman" w:hAnsi="Times New Roman" w:eastAsia="Times New Roman"/>
                <w:sz w:val="22"/>
                <w:sz w:val="22"/>
                <w:szCs w:val="22"/>
                <w:rtl w:val="true"/>
                <w:lang w:val="en-US" w:bidi="fa-IR"/>
              </w:rPr>
              <w:t>–</w:t>
            </w:r>
            <w:r>
              <w:rPr>
                <w:rFonts w:ascii="Times New Roman" w:hAnsi="Times New Roman" w:eastAsia="Times New Roman"/>
                <w:sz w:val="22"/>
                <w:sz w:val="22"/>
                <w:szCs w:val="22"/>
                <w:lang w:val="en-US" w:bidi="fa-IR"/>
              </w:rPr>
              <w:t>۰٫۸۴</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وجدان حرفه‌ای </w:t>
            </w:r>
            <w:r>
              <w:rPr>
                <w:rFonts w:eastAsia="Times New Roman" w:cs="B Nazanin"/>
                <w:sz w:val="22"/>
                <w:szCs w:val="22"/>
                <w:rtl w:val="true"/>
                <w:lang w:val="en-US" w:bidi="fa-IR"/>
              </w:rPr>
              <w:t>(</w:t>
            </w:r>
            <w:r>
              <w:rPr>
                <w:rFonts w:eastAsia="Times New Roman" w:cs="B Nazanin"/>
                <w:sz w:val="22"/>
                <w:szCs w:val="22"/>
                <w:lang w:val="en-US" w:bidi="fa-IR"/>
              </w:rPr>
              <w:t>CON</w:t>
            </w:r>
            <w:r>
              <w:rPr>
                <w:rFonts w:eastAsia="Times New Roman" w:cs="B Nazanin"/>
                <w:sz w:val="22"/>
                <w:szCs w:val="22"/>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۰٫۸۳</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۰٫۸۳</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۰٫۵۵</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۰٫۶۵</w:t>
            </w:r>
            <w:r>
              <w:rPr>
                <w:rFonts w:ascii="Times New Roman" w:hAnsi="Times New Roman" w:eastAsia="Times New Roman"/>
                <w:sz w:val="22"/>
                <w:sz w:val="22"/>
                <w:szCs w:val="22"/>
                <w:rtl w:val="true"/>
                <w:lang w:val="en-US" w:bidi="fa-IR"/>
              </w:rPr>
              <w:t>–</w:t>
            </w:r>
            <w:r>
              <w:rPr>
                <w:rFonts w:ascii="Times New Roman" w:hAnsi="Times New Roman" w:eastAsia="Times New Roman"/>
                <w:sz w:val="22"/>
                <w:sz w:val="22"/>
                <w:szCs w:val="22"/>
                <w:lang w:val="en-US" w:bidi="fa-IR"/>
              </w:rPr>
              <w:t>۰٫۸۲</w:t>
            </w:r>
          </w:p>
        </w:tc>
      </w:tr>
      <w:tr>
        <w:trPr>
          <w:cantSplit w:val="true"/>
        </w:trPr>
        <w:tc>
          <w:tcPr>
            <w:tcW w:w="2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رفع تعهد اخلاقی </w:t>
            </w:r>
            <w:r>
              <w:rPr>
                <w:rFonts w:eastAsia="Times New Roman" w:cs="B Nazanin"/>
                <w:sz w:val="22"/>
                <w:szCs w:val="22"/>
                <w:rtl w:val="true"/>
                <w:lang w:val="en-US" w:bidi="fa-IR"/>
              </w:rPr>
              <w:t>(</w:t>
            </w:r>
            <w:r>
              <w:rPr>
                <w:rFonts w:eastAsia="Times New Roman" w:cs="B Nazanin"/>
                <w:sz w:val="22"/>
                <w:szCs w:val="22"/>
                <w:lang w:val="en-US" w:bidi="fa-IR"/>
              </w:rPr>
              <w:t>MD</w:t>
            </w:r>
            <w:r>
              <w:rPr>
                <w:rFonts w:eastAsia="Times New Roman" w:cs="B Nazanin"/>
                <w:sz w:val="22"/>
                <w:szCs w:val="22"/>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۰٫۸۵</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۰٫۸۶</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۰٫۵۴</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۰٫۷۰</w:t>
            </w:r>
            <w:r>
              <w:rPr>
                <w:rFonts w:ascii="Times New Roman" w:hAnsi="Times New Roman" w:eastAsia="Times New Roman"/>
                <w:sz w:val="22"/>
                <w:sz w:val="22"/>
                <w:szCs w:val="22"/>
                <w:rtl w:val="true"/>
                <w:lang w:val="en-US" w:bidi="fa-IR"/>
              </w:rPr>
              <w:t>–</w:t>
            </w:r>
            <w:r>
              <w:rPr>
                <w:rFonts w:ascii="Times New Roman" w:hAnsi="Times New Roman" w:eastAsia="Times New Roman"/>
                <w:sz w:val="22"/>
                <w:sz w:val="22"/>
                <w:szCs w:val="22"/>
                <w:lang w:val="en-US" w:bidi="fa-IR"/>
              </w:rPr>
              <w:t>۰٫۷۸</w:t>
            </w:r>
          </w:p>
        </w:tc>
      </w:tr>
      <w:tr>
        <w:trPr>
          <w:cantSplit w:val="true"/>
        </w:trPr>
        <w:tc>
          <w:tcPr>
            <w:tcW w:w="2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سکوت دربارهٔ تخلف کشف‌شده </w:t>
            </w:r>
            <w:r>
              <w:rPr>
                <w:rFonts w:eastAsia="Times New Roman" w:cs="B Nazanin"/>
                <w:sz w:val="22"/>
                <w:szCs w:val="22"/>
                <w:rtl w:val="true"/>
                <w:lang w:val="en-US" w:bidi="fa-IR"/>
              </w:rPr>
              <w:t>(</w:t>
            </w:r>
            <w:r>
              <w:rPr>
                <w:rFonts w:eastAsia="Times New Roman" w:cs="B Nazanin"/>
                <w:sz w:val="22"/>
                <w:szCs w:val="22"/>
                <w:lang w:val="en-US" w:bidi="fa-IR"/>
              </w:rPr>
              <w:t>SIL</w:t>
            </w:r>
            <w:r>
              <w:rPr>
                <w:rFonts w:eastAsia="Times New Roman" w:cs="B Nazanin"/>
                <w:sz w:val="22"/>
                <w:szCs w:val="22"/>
                <w:rtl w:val="true"/>
                <w:lang w:val="en-US" w:bidi="fa-IR"/>
              </w:rPr>
              <w:t>)</w:t>
            </w:r>
          </w:p>
        </w:tc>
        <w:tc>
          <w:tcPr>
            <w:tcW w:w="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۰٫۸۵</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۰٫۸۶</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۰٫۵۵</w:t>
            </w:r>
          </w:p>
        </w:tc>
        <w:tc>
          <w:tcPr>
            <w:tcW w:w="1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۰٫۶۲</w:t>
            </w:r>
            <w:r>
              <w:rPr>
                <w:rFonts w:ascii="Times New Roman" w:hAnsi="Times New Roman" w:eastAsia="Times New Roman"/>
                <w:sz w:val="22"/>
                <w:sz w:val="22"/>
                <w:szCs w:val="22"/>
                <w:rtl w:val="true"/>
                <w:lang w:val="en-US" w:bidi="fa-IR"/>
              </w:rPr>
              <w:t>–</w:t>
            </w:r>
            <w:r>
              <w:rPr>
                <w:rFonts w:ascii="Times New Roman" w:hAnsi="Times New Roman" w:eastAsia="Times New Roman"/>
                <w:sz w:val="22"/>
                <w:sz w:val="22"/>
                <w:szCs w:val="22"/>
                <w:lang w:val="en-US" w:bidi="fa-IR"/>
              </w:rPr>
              <w:t>۰٫۸۳</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۲</w:t>
      </w:r>
      <w:r>
        <w:rPr>
          <w:rFonts w:ascii="Times New Roman" w:hAnsi="Times New Roman" w:eastAsia="Times New Roman" w:cs="B Zar"/>
          <w:b/>
          <w:b/>
          <w:bCs/>
          <w:sz w:val="20"/>
          <w:sz w:val="20"/>
          <w:szCs w:val="20"/>
          <w:rtl w:val="true"/>
          <w:lang w:val="en-US" w:bidi="fa-IR"/>
        </w:rPr>
        <w:noBreakHyphen/>
        <w:t>الف</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همبستگی سازه‌ها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قطر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جذر </w:t>
      </w:r>
      <w:r>
        <w:rPr>
          <w:rFonts w:eastAsia="Times New Roman" w:cs="B Zar"/>
          <w:b/>
          <w:bCs/>
          <w:sz w:val="20"/>
          <w:szCs w:val="20"/>
          <w:lang w:val="en-US" w:bidi="fa-IR"/>
        </w:rPr>
        <w:t>AVE</w:t>
      </w:r>
      <w:r>
        <w:rPr>
          <w:rFonts w:eastAsia="Times New Roman" w:cs="B Zar"/>
          <w:b/>
          <w:bCs/>
          <w:sz w:val="20"/>
          <w:szCs w:val="20"/>
          <w:rtl w:val="true"/>
          <w:lang w:val="en-US" w:bidi="fa-IR"/>
        </w:rPr>
        <w:t>)</w:t>
      </w:r>
    </w:p>
    <w:tbl>
      <w:tblPr>
        <w:bidiVisual w:val="true"/>
        <w:tblW w:w="6400" w:type="dxa"/>
        <w:jc w:val="center"/>
        <w:tblInd w:w="0" w:type="dxa"/>
        <w:tblLayout w:type="fixed"/>
        <w:tblCellMar>
          <w:top w:w="0" w:type="dxa"/>
          <w:left w:w="60" w:type="dxa"/>
          <w:bottom w:w="0" w:type="dxa"/>
          <w:right w:w="60" w:type="dxa"/>
        </w:tblCellMar>
      </w:tblPr>
      <w:tblGrid>
        <w:gridCol w:w="899"/>
        <w:gridCol w:w="1101"/>
        <w:gridCol w:w="1100"/>
        <w:gridCol w:w="1100"/>
        <w:gridCol w:w="1099"/>
        <w:gridCol w:w="1100"/>
      </w:tblGrid>
      <w:tr>
        <w:trPr>
          <w:tblHeader w:val="true"/>
        </w:trPr>
        <w:tc>
          <w:tcPr>
            <w:tcW w:w="8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سازه</w:t>
            </w:r>
          </w:p>
        </w:tc>
        <w:tc>
          <w:tcPr>
            <w:tcW w:w="11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TBP</w:t>
            </w:r>
          </w:p>
        </w:tc>
        <w:tc>
          <w:tcPr>
            <w:tcW w:w="11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ECL</w:t>
            </w:r>
          </w:p>
        </w:tc>
        <w:tc>
          <w:tcPr>
            <w:tcW w:w="11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CON</w:t>
            </w:r>
          </w:p>
        </w:tc>
        <w:tc>
          <w:tcPr>
            <w:tcW w:w="10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MD</w:t>
            </w:r>
          </w:p>
        </w:tc>
        <w:tc>
          <w:tcPr>
            <w:tcW w:w="11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SIL</w:t>
            </w:r>
          </w:p>
        </w:tc>
      </w:tr>
      <w:tr>
        <w:trPr>
          <w:cantSplit w:val="true"/>
        </w:trPr>
        <w:tc>
          <w:tcPr>
            <w:tcW w:w="899" w:type="dxa"/>
            <w:tcBorders/>
            <w:vAlign w:val="center"/>
          </w:tcPr>
          <w:p>
            <w:pPr>
              <w:pStyle w:val="Normal"/>
              <w:bidi w:val="1"/>
              <w:spacing w:lineRule="auto" w:line="240" w:before="40" w:after="40"/>
              <w:jc w:val="center"/>
              <w:rPr/>
            </w:pPr>
            <w:r>
              <w:rPr>
                <w:rFonts w:eastAsia="Times New Roman" w:cs="B Nazanin"/>
                <w:sz w:val="20"/>
                <w:szCs w:val="20"/>
                <w:lang w:val="en-US" w:bidi="fa-IR"/>
              </w:rPr>
              <w:t>TBP</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۰٫۷۲</w:t>
            </w:r>
          </w:p>
        </w:tc>
        <w:tc>
          <w:tcPr>
            <w:tcW w:w="11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۰٫۱۶‎</w:t>
            </w:r>
          </w:p>
        </w:tc>
        <w:tc>
          <w:tcPr>
            <w:tcW w:w="11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۰٫۰۲‎</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۰٫۵۷</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۰٫۴۱</w:t>
            </w:r>
          </w:p>
        </w:tc>
      </w:tr>
      <w:tr>
        <w:trPr>
          <w:cantSplit w:val="true"/>
        </w:trPr>
        <w:tc>
          <w:tcPr>
            <w:tcW w:w="899" w:type="dxa"/>
            <w:tcBorders/>
            <w:vAlign w:val="center"/>
          </w:tcPr>
          <w:p>
            <w:pPr>
              <w:pStyle w:val="Normal"/>
              <w:bidi w:val="1"/>
              <w:spacing w:lineRule="auto" w:line="240" w:before="40" w:after="40"/>
              <w:jc w:val="center"/>
              <w:rPr/>
            </w:pPr>
            <w:r>
              <w:rPr>
                <w:rFonts w:eastAsia="Times New Roman" w:cs="B Nazanin"/>
                <w:sz w:val="20"/>
                <w:szCs w:val="20"/>
                <w:lang w:val="en-US" w:bidi="fa-IR"/>
              </w:rPr>
              <w:t>ECL</w:t>
            </w:r>
          </w:p>
        </w:tc>
        <w:tc>
          <w:tcPr>
            <w:tcW w:w="1101"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۰٫۱۶‎</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۰٫۷۶</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۰٫۳۲</w:t>
            </w:r>
          </w:p>
        </w:tc>
        <w:tc>
          <w:tcPr>
            <w:tcW w:w="10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۰٫۳۶‎</w:t>
            </w:r>
          </w:p>
        </w:tc>
        <w:tc>
          <w:tcPr>
            <w:tcW w:w="11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۰٫۳۶‎</w:t>
            </w:r>
          </w:p>
        </w:tc>
      </w:tr>
      <w:tr>
        <w:trPr>
          <w:cantSplit w:val="true"/>
        </w:trPr>
        <w:tc>
          <w:tcPr>
            <w:tcW w:w="899" w:type="dxa"/>
            <w:tcBorders/>
            <w:vAlign w:val="center"/>
          </w:tcPr>
          <w:p>
            <w:pPr>
              <w:pStyle w:val="Normal"/>
              <w:bidi w:val="1"/>
              <w:spacing w:lineRule="auto" w:line="240" w:before="40" w:after="40"/>
              <w:jc w:val="center"/>
              <w:rPr/>
            </w:pPr>
            <w:r>
              <w:rPr>
                <w:rFonts w:eastAsia="Times New Roman" w:cs="B Nazanin"/>
                <w:sz w:val="20"/>
                <w:szCs w:val="20"/>
                <w:lang w:val="en-US" w:bidi="fa-IR"/>
              </w:rPr>
              <w:t>CON</w:t>
            </w:r>
          </w:p>
        </w:tc>
        <w:tc>
          <w:tcPr>
            <w:tcW w:w="1101"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۰٫۰۲‎</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۰٫۳۲</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۰٫۷۴</w:t>
            </w:r>
          </w:p>
        </w:tc>
        <w:tc>
          <w:tcPr>
            <w:tcW w:w="10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۰٫۱۸‎</w:t>
            </w:r>
          </w:p>
        </w:tc>
        <w:tc>
          <w:tcPr>
            <w:tcW w:w="11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۰٫۲۷‎</w:t>
            </w:r>
          </w:p>
        </w:tc>
      </w:tr>
      <w:tr>
        <w:trPr>
          <w:cantSplit w:val="true"/>
        </w:trPr>
        <w:tc>
          <w:tcPr>
            <w:tcW w:w="899" w:type="dxa"/>
            <w:tcBorders/>
            <w:vAlign w:val="center"/>
          </w:tcPr>
          <w:p>
            <w:pPr>
              <w:pStyle w:val="Normal"/>
              <w:bidi w:val="1"/>
              <w:spacing w:lineRule="auto" w:line="240" w:before="40" w:after="40"/>
              <w:jc w:val="center"/>
              <w:rPr/>
            </w:pPr>
            <w:r>
              <w:rPr>
                <w:rFonts w:eastAsia="Times New Roman" w:cs="B Nazanin"/>
                <w:sz w:val="20"/>
                <w:szCs w:val="20"/>
                <w:lang w:val="en-US" w:bidi="fa-IR"/>
              </w:rPr>
              <w:t>MD</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۰٫۵۷</w:t>
            </w:r>
          </w:p>
        </w:tc>
        <w:tc>
          <w:tcPr>
            <w:tcW w:w="11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۰٫۳۶‎</w:t>
            </w:r>
          </w:p>
        </w:tc>
        <w:tc>
          <w:tcPr>
            <w:tcW w:w="11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۰٫۱۸‎</w:t>
            </w:r>
          </w:p>
        </w:tc>
        <w:tc>
          <w:tcPr>
            <w:tcW w:w="10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۰٫۷۴</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۰٫۶۱</w:t>
            </w:r>
          </w:p>
        </w:tc>
      </w:tr>
      <w:tr>
        <w:trPr>
          <w:cantSplit w:val="true"/>
        </w:trPr>
        <w:tc>
          <w:tcPr>
            <w:tcW w:w="8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SIL</w:t>
            </w:r>
          </w:p>
        </w:tc>
        <w:tc>
          <w:tcPr>
            <w:tcW w:w="11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۰٫۴۱</w:t>
            </w:r>
          </w:p>
        </w:tc>
        <w:tc>
          <w:tcPr>
            <w:tcW w:w="11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۰٫۳۶‎</w:t>
            </w:r>
          </w:p>
        </w:tc>
        <w:tc>
          <w:tcPr>
            <w:tcW w:w="11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۰٫۲۷‎</w:t>
            </w:r>
          </w:p>
        </w:tc>
        <w:tc>
          <w:tcPr>
            <w:tcW w:w="10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۰٫۶۱</w:t>
            </w:r>
          </w:p>
        </w:tc>
        <w:tc>
          <w:tcPr>
            <w:tcW w:w="11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۰٫۷۴</w:t>
            </w:r>
          </w:p>
        </w:tc>
      </w:tr>
    </w:tbl>
    <w:p>
      <w:pPr>
        <w:pStyle w:val="Normal"/>
        <w:bidi w:val="1"/>
        <w:spacing w:lineRule="auto" w:line="240" w:before="0" w:after="100"/>
        <w:ind w:firstLine="360"/>
        <w:jc w:val="both"/>
        <w:rPr/>
      </w:pPr>
      <w:r>
        <w:rPr>
          <w:rtl w:val="true"/>
        </w:rPr>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مدل ساختاری برازش مناسبی داشت</w:t>
      </w:r>
      <w:r>
        <w:rPr>
          <w:rFonts w:eastAsia="Times New Roman" w:cs="B Nazanin"/>
          <w:sz w:val="26"/>
          <w:szCs w:val="26"/>
          <w:rtl w:val="true"/>
          <w:lang w:val="en-US" w:bidi="fa-IR"/>
        </w:rPr>
        <w:t xml:space="preserve">: </w:t>
      </w:r>
      <w:r>
        <w:rPr>
          <w:rFonts w:eastAsia="Times New Roman" w:cs="B Nazanin"/>
          <w:sz w:val="26"/>
          <w:szCs w:val="26"/>
          <w:lang w:val="en-US" w:bidi="fa-IR"/>
        </w:rPr>
        <w:t>χ²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۵۱۸٫۹</w:t>
      </w:r>
      <w:r>
        <w:rPr>
          <w:rFonts w:ascii="Times New Roman" w:hAnsi="Times New Roman" w:eastAsia="Times New Roman"/>
          <w:sz w:val="26"/>
          <w:sz w:val="26"/>
          <w:szCs w:val="26"/>
          <w:rtl w:val="true"/>
          <w:lang w:val="en-US" w:bidi="fa-IR"/>
        </w:rPr>
        <w:t xml:space="preserve"> با </w:t>
      </w:r>
      <w:r>
        <w:rPr>
          <w:rFonts w:ascii="Times New Roman" w:hAnsi="Times New Roman" w:eastAsia="Times New Roman"/>
          <w:sz w:val="26"/>
          <w:sz w:val="26"/>
          <w:szCs w:val="26"/>
          <w:lang w:val="en-US" w:bidi="fa-IR"/>
        </w:rPr>
        <w:t>۳۸۶</w:t>
      </w:r>
      <w:r>
        <w:rPr>
          <w:rFonts w:ascii="Times New Roman" w:hAnsi="Times New Roman" w:eastAsia="Times New Roman"/>
          <w:sz w:val="26"/>
          <w:sz w:val="26"/>
          <w:szCs w:val="26"/>
          <w:rtl w:val="true"/>
          <w:lang w:val="en-US" w:bidi="fa-IR"/>
        </w:rPr>
        <w:t xml:space="preserve"> درجهٔ آزادی؛ </w:t>
      </w:r>
      <w:r>
        <w:rPr>
          <w:rFonts w:eastAsia="Times New Roman" w:cs="B Nazanin"/>
          <w:sz w:val="26"/>
          <w:szCs w:val="26"/>
          <w:lang w:val="en-US" w:bidi="fa-IR"/>
        </w:rPr>
        <w:t>CFI</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۰٫۹۶۵</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TLI</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۰٫۹۶۱</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RMSEA</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۰٫۰۳۱</w:t>
      </w:r>
      <w:r>
        <w:rPr>
          <w:rFonts w:ascii="Times New Roman" w:hAnsi="Times New Roman" w:eastAsia="Times New Roman"/>
          <w:sz w:val="26"/>
          <w:sz w:val="26"/>
          <w:szCs w:val="26"/>
          <w:rtl w:val="true"/>
          <w:lang w:val="en-US" w:bidi="fa-IR"/>
        </w:rPr>
        <w:t xml:space="preserve"> و </w:t>
      </w:r>
      <w:r>
        <w:rPr>
          <w:rFonts w:eastAsia="Times New Roman" w:cs="B Nazanin"/>
          <w:sz w:val="26"/>
          <w:szCs w:val="26"/>
          <w:lang w:val="en-US" w:bidi="fa-IR"/>
        </w:rPr>
        <w:t>SRMR</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۰٫۰۴۵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برآوردها در جدول </w:t>
      </w:r>
      <w:r>
        <w:rPr>
          <w:rFonts w:ascii="Times New Roman" w:hAnsi="Times New Roman" w:eastAsia="Times New Roman"/>
          <w:sz w:val="26"/>
          <w:sz w:val="26"/>
          <w:szCs w:val="26"/>
          <w:lang w:val="en-US" w:bidi="fa-IR"/>
        </w:rPr>
        <w:t>۳</w:t>
      </w:r>
      <w:r>
        <w:rPr>
          <w:rFonts w:ascii="Times New Roman" w:hAnsi="Times New Roman" w:eastAsia="Times New Roman"/>
          <w:sz w:val="26"/>
          <w:sz w:val="26"/>
          <w:szCs w:val="26"/>
          <w:rtl w:val="true"/>
          <w:lang w:val="en-US" w:bidi="fa-IR"/>
        </w:rPr>
        <w:t xml:space="preserve"> و شکل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آمده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برآورد مسیرهای ساختاری</w:t>
      </w:r>
    </w:p>
    <w:tbl>
      <w:tblPr>
        <w:bidiVisual w:val="true"/>
        <w:tblW w:w="7500" w:type="dxa"/>
        <w:jc w:val="center"/>
        <w:tblInd w:w="0" w:type="dxa"/>
        <w:tblLayout w:type="fixed"/>
        <w:tblCellMar>
          <w:top w:w="0" w:type="dxa"/>
          <w:left w:w="60" w:type="dxa"/>
          <w:bottom w:w="0" w:type="dxa"/>
          <w:right w:w="60" w:type="dxa"/>
        </w:tblCellMar>
      </w:tblPr>
      <w:tblGrid>
        <w:gridCol w:w="1100"/>
        <w:gridCol w:w="3199"/>
        <w:gridCol w:w="801"/>
        <w:gridCol w:w="699"/>
        <w:gridCol w:w="801"/>
        <w:gridCol w:w="899"/>
      </w:tblGrid>
      <w:tr>
        <w:trPr>
          <w:tblHeader w:val="true"/>
        </w:trPr>
        <w:tc>
          <w:tcPr>
            <w:tcW w:w="11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فرضیه</w:t>
            </w:r>
          </w:p>
        </w:tc>
        <w:tc>
          <w:tcPr>
            <w:tcW w:w="31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مسیر</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b</w:t>
            </w:r>
          </w:p>
        </w:tc>
        <w:tc>
          <w:tcPr>
            <w:tcW w:w="6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SE</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β</w:t>
            </w:r>
          </w:p>
        </w:tc>
        <w:tc>
          <w:tcPr>
            <w:tcW w:w="8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p</w:t>
            </w:r>
          </w:p>
        </w:tc>
      </w:tr>
      <w:tr>
        <w:trPr>
          <w:cantSplit w:val="true"/>
        </w:trPr>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فرضیهٔ </w:t>
            </w:r>
            <w:r>
              <w:rPr>
                <w:rFonts w:ascii="Times New Roman" w:hAnsi="Times New Roman" w:eastAsia="Times New Roman"/>
                <w:sz w:val="22"/>
                <w:sz w:val="22"/>
                <w:szCs w:val="22"/>
                <w:lang w:val="en-US" w:bidi="fa-IR"/>
              </w:rPr>
              <w:t>۱</w:t>
            </w:r>
          </w:p>
        </w:tc>
        <w:tc>
          <w:tcPr>
            <w:tcW w:w="3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فشار زمانی ← رفع تعهد</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۰٫۵۳</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۰٫۰۶</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۰٫۵۴</w:t>
            </w:r>
          </w:p>
        </w:tc>
        <w:tc>
          <w:tcPr>
            <w:tcW w:w="8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&lt;</w:t>
            </w:r>
            <w:r>
              <w:rPr>
                <w:rFonts w:ascii="Times New Roman" w:hAnsi="Times New Roman" w:eastAsia="Times New Roman"/>
                <w:sz w:val="22"/>
                <w:sz w:val="22"/>
                <w:szCs w:val="22"/>
                <w:lang w:val="en-US" w:bidi="fa-IR"/>
              </w:rPr>
              <w:t>۰٫۰۰۱</w:t>
            </w:r>
          </w:p>
        </w:tc>
      </w:tr>
      <w:tr>
        <w:trPr>
          <w:cantSplit w:val="true"/>
        </w:trPr>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فرضیهٔ </w:t>
            </w:r>
            <w:r>
              <w:rPr>
                <w:rFonts w:ascii="Times New Roman" w:hAnsi="Times New Roman" w:eastAsia="Times New Roman"/>
                <w:sz w:val="22"/>
                <w:sz w:val="22"/>
                <w:szCs w:val="22"/>
                <w:lang w:val="en-US" w:bidi="fa-IR"/>
              </w:rPr>
              <w:t>۲</w:t>
            </w:r>
          </w:p>
        </w:tc>
        <w:tc>
          <w:tcPr>
            <w:tcW w:w="3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جو اخلاقی ← رفع تعهد</w:t>
            </w:r>
          </w:p>
        </w:tc>
        <w:tc>
          <w:tcPr>
            <w:tcW w:w="8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۰٫۲۱‎</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۰٫۰۵</w:t>
            </w:r>
          </w:p>
        </w:tc>
        <w:tc>
          <w:tcPr>
            <w:tcW w:w="8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۰٫۲۳‎</w:t>
            </w:r>
          </w:p>
        </w:tc>
        <w:tc>
          <w:tcPr>
            <w:tcW w:w="8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&lt;</w:t>
            </w:r>
            <w:r>
              <w:rPr>
                <w:rFonts w:ascii="Times New Roman" w:hAnsi="Times New Roman" w:eastAsia="Times New Roman"/>
                <w:sz w:val="22"/>
                <w:sz w:val="22"/>
                <w:szCs w:val="22"/>
                <w:lang w:val="en-US" w:bidi="fa-IR"/>
              </w:rPr>
              <w:t>۰٫۰۰۱</w:t>
            </w:r>
          </w:p>
        </w:tc>
      </w:tr>
      <w:tr>
        <w:trPr>
          <w:cantSplit w:val="true"/>
        </w:trPr>
        <w:tc>
          <w:tcPr>
            <w:tcW w:w="1100"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3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وجدان حرفه‌ای ← رفع تعهد</w:t>
            </w:r>
          </w:p>
        </w:tc>
        <w:tc>
          <w:tcPr>
            <w:tcW w:w="8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۰٫۱۲‎</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۰٫۰۶</w:t>
            </w:r>
          </w:p>
        </w:tc>
        <w:tc>
          <w:tcPr>
            <w:tcW w:w="8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۰٫۱۲‎</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۰٫۰۳۶</w:t>
            </w:r>
          </w:p>
        </w:tc>
      </w:tr>
      <w:tr>
        <w:trPr>
          <w:cantSplit w:val="true"/>
        </w:trPr>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فرضیهٔ </w:t>
            </w:r>
            <w:r>
              <w:rPr>
                <w:rFonts w:ascii="Times New Roman" w:hAnsi="Times New Roman" w:eastAsia="Times New Roman"/>
                <w:sz w:val="22"/>
                <w:sz w:val="22"/>
                <w:szCs w:val="22"/>
                <w:lang w:val="en-US" w:bidi="fa-IR"/>
              </w:rPr>
              <w:t>۶</w:t>
            </w:r>
          </w:p>
        </w:tc>
        <w:tc>
          <w:tcPr>
            <w:tcW w:w="3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فشار زمانی </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وجدان ← رفع تعهد</w:t>
            </w:r>
          </w:p>
        </w:tc>
        <w:tc>
          <w:tcPr>
            <w:tcW w:w="8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۰٫۲۲‎</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۰٫۰۷</w:t>
            </w:r>
          </w:p>
        </w:tc>
        <w:tc>
          <w:tcPr>
            <w:tcW w:w="8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۰٫۲۰‎</w:t>
            </w:r>
          </w:p>
        </w:tc>
        <w:tc>
          <w:tcPr>
            <w:tcW w:w="8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&lt;</w:t>
            </w:r>
            <w:r>
              <w:rPr>
                <w:rFonts w:ascii="Times New Roman" w:hAnsi="Times New Roman" w:eastAsia="Times New Roman"/>
                <w:sz w:val="22"/>
                <w:sz w:val="22"/>
                <w:szCs w:val="22"/>
                <w:lang w:val="en-US" w:bidi="fa-IR"/>
              </w:rPr>
              <w:t>۰٫۰۰۱</w:t>
            </w:r>
          </w:p>
        </w:tc>
      </w:tr>
      <w:tr>
        <w:trPr>
          <w:cantSplit w:val="true"/>
        </w:trPr>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فرضیهٔ </w:t>
            </w:r>
            <w:r>
              <w:rPr>
                <w:rFonts w:ascii="Times New Roman" w:hAnsi="Times New Roman" w:eastAsia="Times New Roman"/>
                <w:sz w:val="22"/>
                <w:sz w:val="22"/>
                <w:szCs w:val="22"/>
                <w:lang w:val="en-US" w:bidi="fa-IR"/>
              </w:rPr>
              <w:t>۳</w:t>
            </w:r>
          </w:p>
        </w:tc>
        <w:tc>
          <w:tcPr>
            <w:tcW w:w="3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رفع تعهد ← سکوت</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۰٫۴۷</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۰٫۰۸</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۰٫۴۳</w:t>
            </w:r>
          </w:p>
        </w:tc>
        <w:tc>
          <w:tcPr>
            <w:tcW w:w="8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&lt;</w:t>
            </w:r>
            <w:r>
              <w:rPr>
                <w:rFonts w:ascii="Times New Roman" w:hAnsi="Times New Roman" w:eastAsia="Times New Roman"/>
                <w:sz w:val="22"/>
                <w:sz w:val="22"/>
                <w:szCs w:val="22"/>
                <w:lang w:val="en-US" w:bidi="fa-IR"/>
              </w:rPr>
              <w:t>۰٫۰۰۱</w:t>
            </w:r>
          </w:p>
        </w:tc>
      </w:tr>
      <w:tr>
        <w:trPr>
          <w:cantSplit w:val="true"/>
        </w:trPr>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فرضیهٔ </w:t>
            </w:r>
            <w:r>
              <w:rPr>
                <w:rFonts w:ascii="Times New Roman" w:hAnsi="Times New Roman" w:eastAsia="Times New Roman"/>
                <w:sz w:val="22"/>
                <w:sz w:val="22"/>
                <w:szCs w:val="22"/>
                <w:lang w:val="en-US" w:bidi="fa-IR"/>
              </w:rPr>
              <w:t>۴</w:t>
            </w:r>
          </w:p>
        </w:tc>
        <w:tc>
          <w:tcPr>
            <w:tcW w:w="3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جو اخلاقی ← سکوت</w:t>
            </w:r>
          </w:p>
        </w:tc>
        <w:tc>
          <w:tcPr>
            <w:tcW w:w="8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۰٫۱۴‎</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۰٫۰۶</w:t>
            </w:r>
          </w:p>
        </w:tc>
        <w:tc>
          <w:tcPr>
            <w:tcW w:w="8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۰٫۱۴‎</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۰٫۰۱۲</w:t>
            </w:r>
          </w:p>
        </w:tc>
      </w:tr>
      <w:tr>
        <w:trPr>
          <w:cantSplit w:val="true"/>
        </w:trPr>
        <w:tc>
          <w:tcPr>
            <w:tcW w:w="1100"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3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وجدان حرفه‌ای ← سکوت</w:t>
            </w:r>
          </w:p>
        </w:tc>
        <w:tc>
          <w:tcPr>
            <w:tcW w:w="8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۰٫۱۴‎</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۰٫۰۶</w:t>
            </w:r>
          </w:p>
        </w:tc>
        <w:tc>
          <w:tcPr>
            <w:tcW w:w="801" w:type="dxa"/>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۰٫۱۳‎</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۰٫۰۱۶</w:t>
            </w:r>
          </w:p>
        </w:tc>
      </w:tr>
      <w:tr>
        <w:trPr>
          <w:cantSplit w:val="true"/>
        </w:trPr>
        <w:tc>
          <w:tcPr>
            <w:tcW w:w="1100"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3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فشار زمانی ← سکوت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مستقیم</w:t>
            </w:r>
            <w:r>
              <w:rPr>
                <w:rFonts w:eastAsia="Times New Roman" w:cs="B Nazanin"/>
                <w:sz w:val="22"/>
                <w:szCs w:val="22"/>
                <w:rtl w:val="true"/>
                <w:lang w:val="en-US" w:bidi="fa-IR"/>
              </w:rPr>
              <w:t>)</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۰٫۱۳</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۰٫۰۷</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۰٫۱۳</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۰٫۰۵۹</w:t>
            </w:r>
          </w:p>
        </w:tc>
      </w:tr>
      <w:tr>
        <w:trPr>
          <w:cantSplit w:val="true"/>
        </w:trPr>
        <w:tc>
          <w:tcPr>
            <w:tcW w:w="11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فرضیهٔ </w:t>
            </w:r>
            <w:r>
              <w:rPr>
                <w:rFonts w:ascii="Times New Roman" w:hAnsi="Times New Roman" w:eastAsia="Times New Roman"/>
                <w:sz w:val="22"/>
                <w:sz w:val="22"/>
                <w:szCs w:val="22"/>
                <w:lang w:val="en-US" w:bidi="fa-IR"/>
              </w:rPr>
              <w:t>۷</w:t>
            </w:r>
          </w:p>
        </w:tc>
        <w:tc>
          <w:tcPr>
            <w:tcW w:w="31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رفع تعهد </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وجدان ← سکوت</w:t>
            </w:r>
          </w:p>
        </w:tc>
        <w:tc>
          <w:tcPr>
            <w:tcW w:w="8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۰٫۲۲‎</w:t>
            </w:r>
          </w:p>
        </w:tc>
        <w:tc>
          <w:tcPr>
            <w:tcW w:w="6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۰٫۰۷</w:t>
            </w:r>
          </w:p>
        </w:tc>
        <w:tc>
          <w:tcPr>
            <w:tcW w:w="8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w:t>
            </w:r>
            <w:r>
              <w:rPr>
                <w:rFonts w:ascii="Times New Roman" w:hAnsi="Times New Roman" w:eastAsia="Times New Roman"/>
                <w:sz w:val="22"/>
                <w:sz w:val="22"/>
                <w:szCs w:val="22"/>
                <w:lang w:val="en-US" w:bidi="fa-IR"/>
              </w:rPr>
              <w:t>۰٫۱۹‎</w:t>
            </w:r>
          </w:p>
        </w:tc>
        <w:tc>
          <w:tcPr>
            <w:tcW w:w="8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۰٫۰۰۱</w:t>
            </w:r>
          </w:p>
        </w:tc>
      </w:tr>
    </w:tbl>
    <w:p>
      <w:pPr>
        <w:pStyle w:val="Normal"/>
        <w:bidi w:val="1"/>
        <w:spacing w:lineRule="auto" w:line="240" w:before="0" w:after="100"/>
        <w:ind w:firstLine="360"/>
        <w:jc w:val="both"/>
        <w:rPr/>
        <w:sectPr>
          <w:footerReference w:type="even" r:id="rId3"/>
          <w:footerReference w:type="default" r:id="rId4"/>
          <w:footerReference w:type="first" r:id="rId5"/>
          <w:footnotePr>
            <w:numFmt w:val="decimal"/>
          </w:footnotePr>
          <w:type w:val="nextPage"/>
          <w:pgSz w:w="11906" w:h="16838"/>
          <w:pgMar w:left="1417" w:right="1417" w:gutter="0" w:header="0" w:top="1417" w:footer="708" w:bottom="1417"/>
          <w:pgNumType w:fmt="decimal"/>
          <w:formProt w:val="false"/>
          <w:textDirection w:val="lrTb"/>
          <w:bidi/>
          <w:docGrid w:type="default" w:linePitch="100" w:charSpace="-4097"/>
        </w:sectPr>
      </w:pPr>
      <w:r>
        <w:rPr>
          <w:rtl w:val="true"/>
        </w:rPr>
      </w:r>
    </w:p>
    <w:p>
      <w:pPr>
        <w:pStyle w:val="Normal"/>
        <w:keepNext w:val="true"/>
        <w:jc w:val="center"/>
        <w:rPr/>
      </w:pPr>
      <w:r>
        <w:rPr>
          <w:rtl w:val="true"/>
        </w:rPr>
        <w:drawing>
          <wp:inline distT="0" distB="0" distL="0" distR="0">
            <wp:extent cx="8460105" cy="5856605"/>
            <wp:effectExtent l="0" t="0" r="0" b="0"/>
            <wp:docPr id="2" name="Fig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
                    <pic:cNvPicPr>
                      <a:picLocks noChangeAspect="1" noChangeArrowheads="1"/>
                    </pic:cNvPicPr>
                  </pic:nvPicPr>
                  <pic:blipFill>
                    <a:blip r:embed="rId6"/>
                    <a:stretch>
                      <a:fillRect/>
                    </a:stretch>
                  </pic:blipFill>
                  <pic:spPr bwMode="auto">
                    <a:xfrm>
                      <a:off x="0" y="0"/>
                      <a:ext cx="8460105" cy="5856605"/>
                    </a:xfrm>
                    <a:prstGeom prst="rect">
                      <a:avLst/>
                    </a:prstGeom>
                  </pic:spPr>
                </pic:pic>
              </a:graphicData>
            </a:graphic>
          </wp:inline>
        </w:drawing>
      </w:r>
    </w:p>
    <w:p>
      <w:pPr>
        <w:pStyle w:val="Normal"/>
        <w:bidi w:val="1"/>
        <w:spacing w:lineRule="auto" w:line="240" w:before="40" w:after="160"/>
        <w:jc w:val="center"/>
        <w:rPr/>
        <w:sectPr>
          <w:footerReference w:type="even" r:id="rId7"/>
          <w:footerReference w:type="default" r:id="rId8"/>
          <w:footerReference w:type="first" r:id="rId9"/>
          <w:footnotePr>
            <w:numFmt w:val="decimal"/>
          </w:footnotePr>
          <w:type w:val="nextPage"/>
          <w:pgSz w:orient="landscape" w:w="16838" w:h="11906"/>
          <w:pgMar w:left="1000" w:right="1000" w:gutter="0" w:header="0" w:top="1000" w:footer="708" w:bottom="1000"/>
          <w:pgNumType w:fmt="decimal"/>
          <w:formProt w:val="false"/>
          <w:textDirection w:val="lrTb"/>
          <w:bidi/>
          <w:docGrid w:type="default" w:linePitch="100" w:charSpace="-4097"/>
        </w:sect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مدل برآوردشده با همهٔ گویه‌ها</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بارهای عاملی استاندارد </w:t>
      </w:r>
      <w:r>
        <w:rPr>
          <w:rFonts w:eastAsia="Times New Roman" w:cs="B Zar"/>
          <w:b/>
          <w:bCs/>
          <w:sz w:val="20"/>
          <w:szCs w:val="20"/>
          <w:rtl w:val="true"/>
          <w:lang w:val="en-US" w:bidi="fa-IR"/>
        </w:rPr>
        <w:t>(</w:t>
      </w:r>
      <w:r>
        <w:rPr>
          <w:rFonts w:eastAsia="Times New Roman" w:cs="B Zar"/>
          <w:b/>
          <w:bCs/>
          <w:sz w:val="20"/>
          <w:szCs w:val="20"/>
          <w:lang w:val="en-US" w:bidi="fa-IR"/>
        </w:rPr>
        <w:t>λ</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و ضرایب مسیر استاندارد </w:t>
      </w:r>
      <w:r>
        <w:rPr>
          <w:rFonts w:eastAsia="Times New Roman" w:cs="B Zar"/>
          <w:b/>
          <w:bCs/>
          <w:sz w:val="20"/>
          <w:szCs w:val="20"/>
          <w:rtl w:val="true"/>
          <w:lang w:val="en-US" w:bidi="fa-IR"/>
        </w:rPr>
        <w:t>(</w:t>
      </w:r>
      <w:r>
        <w:rPr>
          <w:rFonts w:eastAsia="Times New Roman" w:cs="B Zar"/>
          <w:b/>
          <w:bCs/>
          <w:sz w:val="20"/>
          <w:szCs w:val="20"/>
          <w:lang w:val="en-US" w:bidi="fa-IR"/>
        </w:rPr>
        <w:t>β</w:t>
      </w:r>
      <w:r>
        <w:rPr>
          <w:rFonts w:eastAsia="Times New Roman" w:cs="B Zar"/>
          <w:b/>
          <w:bCs/>
          <w:sz w:val="20"/>
          <w:szCs w:val="20"/>
          <w:rtl w:val="true"/>
          <w:lang w:val="en-US" w:bidi="fa-IR"/>
        </w:rPr>
        <w:t xml:space="preserve">) (∗ </w:t>
      </w:r>
      <w:r>
        <w:rPr>
          <w:rFonts w:eastAsia="Times New Roman" w:cs="B Zar"/>
          <w:b/>
          <w:bCs/>
          <w:sz w:val="20"/>
          <w:szCs w:val="20"/>
          <w:lang w:val="en-US" w:bidi="fa-IR"/>
        </w:rPr>
        <w:t>p&lt;</w:t>
      </w:r>
      <w:r>
        <w:rPr>
          <w:rFonts w:ascii="Times New Roman" w:hAnsi="Times New Roman" w:eastAsia="Times New Roman" w:cs="B Zar"/>
          <w:b/>
          <w:b/>
          <w:bCs/>
          <w:sz w:val="20"/>
          <w:sz w:val="20"/>
          <w:szCs w:val="20"/>
          <w:lang w:val="en-US" w:bidi="fa-IR"/>
        </w:rPr>
        <w:t xml:space="preserve">۰٫۰۵، ∗∗ </w:t>
      </w:r>
      <w:r>
        <w:rPr>
          <w:rFonts w:eastAsia="Times New Roman" w:cs="B Zar"/>
          <w:b/>
          <w:bCs/>
          <w:sz w:val="20"/>
          <w:szCs w:val="20"/>
          <w:lang w:val="en-US" w:bidi="fa-IR"/>
        </w:rPr>
        <w:t>p&lt;</w:t>
      </w:r>
      <w:r>
        <w:rPr>
          <w:rFonts w:ascii="Times New Roman" w:hAnsi="Times New Roman" w:eastAsia="Times New Roman" w:cs="B Zar"/>
          <w:b/>
          <w:b/>
          <w:bCs/>
          <w:sz w:val="20"/>
          <w:sz w:val="20"/>
          <w:szCs w:val="20"/>
          <w:lang w:val="en-US" w:bidi="fa-IR"/>
        </w:rPr>
        <w:t xml:space="preserve">۰٫۰۱، ∗∗∗ </w:t>
      </w:r>
      <w:r>
        <w:rPr>
          <w:rFonts w:eastAsia="Times New Roman" w:cs="B Zar"/>
          <w:b/>
          <w:bCs/>
          <w:sz w:val="20"/>
          <w:szCs w:val="20"/>
          <w:lang w:val="en-US" w:bidi="fa-IR"/>
        </w:rPr>
        <w:t>p&lt;</w:t>
      </w:r>
      <w:r>
        <w:rPr>
          <w:rFonts w:ascii="Times New Roman" w:hAnsi="Times New Roman" w:eastAsia="Times New Roman" w:cs="B Zar"/>
          <w:b/>
          <w:b/>
          <w:bCs/>
          <w:sz w:val="20"/>
          <w:sz w:val="20"/>
          <w:szCs w:val="20"/>
          <w:lang w:val="en-US" w:bidi="fa-IR"/>
        </w:rPr>
        <w:t>۰٫۰۰۱</w:t>
      </w:r>
      <w:r>
        <w:rPr>
          <w:rFonts w:eastAsia="Times New Roman" w:cs="B Zar"/>
          <w:b/>
          <w:bCs/>
          <w:sz w:val="20"/>
          <w:szCs w:val="20"/>
          <w:rtl w:val="true"/>
          <w:lang w:val="en-US" w:bidi="fa-IR"/>
        </w:rPr>
        <w:t>)</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فشار بودجهٔ زمانی رفع تعهد اخلاقی را افزایش داد </w:t>
      </w:r>
      <w:r>
        <w:rPr>
          <w:rFonts w:eastAsia="Times New Roman" w:cs="B Nazanin"/>
          <w:sz w:val="26"/>
          <w:szCs w:val="26"/>
          <w:rtl w:val="true"/>
          <w:lang w:val="en-US" w:bidi="fa-IR"/>
        </w:rPr>
        <w:t>(</w:t>
      </w:r>
      <w:r>
        <w:rPr>
          <w:rFonts w:eastAsia="Times New Roman" w:cs="B Nazanin"/>
          <w:sz w:val="26"/>
          <w:szCs w:val="26"/>
          <w:lang w:val="en-US" w:bidi="fa-IR"/>
        </w:rPr>
        <w:t>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۰٫۵۴</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جو اخلاقی آن را کاهش داد </w:t>
      </w:r>
      <w:r>
        <w:rPr>
          <w:rFonts w:eastAsia="Times New Roman" w:cs="B Nazanin"/>
          <w:sz w:val="26"/>
          <w:szCs w:val="26"/>
          <w:rtl w:val="true"/>
          <w:lang w:val="en-US" w:bidi="fa-IR"/>
        </w:rPr>
        <w:t>(</w:t>
      </w:r>
      <w:r>
        <w:rPr>
          <w:rFonts w:eastAsia="Times New Roman" w:cs="B Nazanin"/>
          <w:sz w:val="26"/>
          <w:szCs w:val="26"/>
          <w:lang w:val="en-US" w:bidi="fa-IR"/>
        </w:rPr>
        <w:t>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 xml:space="preserve">‎‎−۰‎٫۲۳‎، </w:t>
      </w:r>
      <w:r>
        <w:rPr>
          <w:rFonts w:eastAsia="Times New Roman" w:cs="B Nazanin"/>
          <w:sz w:val="26"/>
          <w:szCs w:val="26"/>
          <w:lang w:val="en-US" w:bidi="fa-IR"/>
        </w:rPr>
        <w:t>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رفع تعهد اخلاقی قوی‌ترین پیش‌بین سکوت بود </w:t>
      </w:r>
      <w:r>
        <w:rPr>
          <w:rFonts w:eastAsia="Times New Roman" w:cs="B Nazanin"/>
          <w:sz w:val="26"/>
          <w:szCs w:val="26"/>
          <w:rtl w:val="true"/>
          <w:lang w:val="en-US" w:bidi="fa-IR"/>
        </w:rPr>
        <w:t>(</w:t>
      </w:r>
      <w:r>
        <w:rPr>
          <w:rFonts w:eastAsia="Times New Roman" w:cs="B Nazanin"/>
          <w:sz w:val="26"/>
          <w:szCs w:val="26"/>
          <w:lang w:val="en-US" w:bidi="fa-IR"/>
        </w:rPr>
        <w:t>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۰٫۴۳</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جو اخلاقی افزون بر مسیر غیرمستقیم، اثر مستقیم منفی نیز بر سکوت داشت </w:t>
      </w:r>
      <w:r>
        <w:rPr>
          <w:rFonts w:eastAsia="Times New Roman" w:cs="B Nazanin"/>
          <w:sz w:val="26"/>
          <w:szCs w:val="26"/>
          <w:rtl w:val="true"/>
          <w:lang w:val="en-US" w:bidi="fa-IR"/>
        </w:rPr>
        <w:t>(</w:t>
      </w:r>
      <w:r>
        <w:rPr>
          <w:rFonts w:eastAsia="Times New Roman" w:cs="B Nazanin"/>
          <w:sz w:val="26"/>
          <w:szCs w:val="26"/>
          <w:lang w:val="en-US" w:bidi="fa-IR"/>
        </w:rPr>
        <w:t>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 xml:space="preserve">‎‎−۰‎٫۱۴‎، </w:t>
      </w:r>
      <w:r>
        <w:rPr>
          <w:rFonts w:eastAsia="Times New Roman" w:cs="B Nazanin"/>
          <w:sz w:val="26"/>
          <w:szCs w:val="26"/>
          <w:lang w:val="en-US" w:bidi="fa-IR"/>
        </w:rPr>
        <w:t>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۰٫۰۱۲</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مقابل، اثر مستقیم فشار زمانی پس از کنترل رفع تعهد معنادار نبود </w:t>
      </w:r>
      <w:r>
        <w:rPr>
          <w:rFonts w:eastAsia="Times New Roman" w:cs="B Nazanin"/>
          <w:sz w:val="26"/>
          <w:szCs w:val="26"/>
          <w:rtl w:val="true"/>
          <w:lang w:val="en-US" w:bidi="fa-IR"/>
        </w:rPr>
        <w:t>(</w:t>
      </w:r>
      <w:r>
        <w:rPr>
          <w:rFonts w:eastAsia="Times New Roman" w:cs="B Nazanin"/>
          <w:sz w:val="26"/>
          <w:szCs w:val="26"/>
          <w:lang w:val="en-US" w:bidi="fa-IR"/>
        </w:rPr>
        <w:t>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۰٫۱۳</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۰٫۰۵۹</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یعنی فشار زمانی تقریباً به‌طور کامل از راه توجیه‌سازی به سکوت می‌رسد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ضریب تعیین رفع تعهد </w:t>
      </w:r>
      <w:r>
        <w:rPr>
          <w:rFonts w:ascii="Times New Roman" w:hAnsi="Times New Roman" w:eastAsia="Times New Roman"/>
          <w:sz w:val="26"/>
          <w:sz w:val="26"/>
          <w:szCs w:val="26"/>
          <w:lang w:val="en-US" w:bidi="fa-IR"/>
        </w:rPr>
        <w:t>۰٫۴۵</w:t>
      </w:r>
      <w:r>
        <w:rPr>
          <w:rFonts w:ascii="Times New Roman" w:hAnsi="Times New Roman" w:eastAsia="Times New Roman"/>
          <w:sz w:val="26"/>
          <w:sz w:val="26"/>
          <w:szCs w:val="26"/>
          <w:rtl w:val="true"/>
          <w:lang w:val="en-US" w:bidi="fa-IR"/>
        </w:rPr>
        <w:t xml:space="preserve"> و سکوت </w:t>
      </w:r>
      <w:r>
        <w:rPr>
          <w:rFonts w:ascii="Times New Roman" w:hAnsi="Times New Roman" w:eastAsia="Times New Roman"/>
          <w:sz w:val="26"/>
          <w:sz w:val="26"/>
          <w:szCs w:val="26"/>
          <w:lang w:val="en-US" w:bidi="fa-IR"/>
        </w:rPr>
        <w:t>۰٫۴۶</w:t>
      </w:r>
      <w:r>
        <w:rPr>
          <w:rFonts w:ascii="Times New Roman" w:hAnsi="Times New Roman" w:eastAsia="Times New Roman"/>
          <w:sz w:val="26"/>
          <w:sz w:val="26"/>
          <w:szCs w:val="26"/>
          <w:rtl w:val="true"/>
          <w:lang w:val="en-US" w:bidi="fa-IR"/>
        </w:rPr>
        <w:t xml:space="preserve"> بود</w:t>
      </w:r>
      <w:r>
        <w:rPr>
          <w:rFonts w:eastAsia="Times New Roman" w:cs="B Nazanin"/>
          <w:sz w:val="26"/>
          <w:szCs w:val="26"/>
          <w:rtl w:val="true"/>
          <w:lang w:val="en-US" w:bidi="fa-IR"/>
        </w:rPr>
        <w:t>.</w:t>
      </w:r>
    </w:p>
    <w:p>
      <w:pPr>
        <w:pStyle w:val="Normal"/>
        <w:bidi w:val="1"/>
        <w:spacing w:lineRule="auto" w:line="240" w:before="0" w:after="60"/>
        <w:ind w:firstLine="360"/>
        <w:jc w:val="both"/>
        <w:rPr/>
      </w:pPr>
      <w:r>
        <w:rPr>
          <w:rFonts w:ascii="Times New Roman" w:hAnsi="Times New Roman" w:eastAsia="Times New Roman"/>
          <w:b/>
          <w:b/>
          <w:bCs/>
          <w:sz w:val="26"/>
          <w:sz w:val="26"/>
          <w:szCs w:val="26"/>
          <w:rtl w:val="true"/>
          <w:lang w:val="en-US" w:bidi="fa-IR"/>
        </w:rPr>
        <w:t>وجدان حرفه‌ای</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وجدان حرفه‌ای اثر فشار زمانی بر رفع تعهد را تضعیف کرد </w:t>
      </w:r>
      <w:r>
        <w:rPr>
          <w:rFonts w:eastAsia="Times New Roman" w:cs="B Nazanin"/>
          <w:sz w:val="26"/>
          <w:szCs w:val="26"/>
          <w:rtl w:val="true"/>
          <w:lang w:val="en-US" w:bidi="fa-IR"/>
        </w:rPr>
        <w:t>(</w:t>
      </w:r>
      <w:r>
        <w:rPr>
          <w:rFonts w:eastAsia="Times New Roman" w:cs="B Nazanin"/>
          <w:sz w:val="26"/>
          <w:szCs w:val="26"/>
          <w:lang w:val="en-US" w:bidi="fa-IR"/>
        </w:rPr>
        <w:t>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 xml:space="preserve">‎‎−۰‎٫۲۰‎، </w:t>
      </w:r>
      <w:r>
        <w:rPr>
          <w:rFonts w:eastAsia="Times New Roman" w:cs="B Nazanin"/>
          <w:sz w:val="26"/>
          <w:szCs w:val="26"/>
          <w:lang w:val="en-US" w:bidi="fa-IR"/>
        </w:rPr>
        <w:t>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اثر رفع تعهد بر سکوت را نیز </w:t>
      </w:r>
      <w:r>
        <w:rPr>
          <w:rFonts w:eastAsia="Times New Roman" w:cs="B Nazanin"/>
          <w:sz w:val="26"/>
          <w:szCs w:val="26"/>
          <w:rtl w:val="true"/>
          <w:lang w:val="en-US" w:bidi="fa-IR"/>
        </w:rPr>
        <w:t>(</w:t>
      </w:r>
      <w:r>
        <w:rPr>
          <w:rFonts w:eastAsia="Times New Roman" w:cs="B Nazanin"/>
          <w:sz w:val="26"/>
          <w:szCs w:val="26"/>
          <w:lang w:val="en-US" w:bidi="fa-IR"/>
        </w:rPr>
        <w:t>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 xml:space="preserve">‎‎−۰‎٫۱۹‎، </w:t>
      </w:r>
      <w:r>
        <w:rPr>
          <w:rFonts w:eastAsia="Times New Roman" w:cs="B Nazanin"/>
          <w:sz w:val="26"/>
          <w:szCs w:val="26"/>
          <w:lang w:val="en-US" w:bidi="fa-IR"/>
        </w:rPr>
        <w:t>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اندازهٔ اثر هر دو تعامل کوچک تا متوسط بود </w:t>
      </w:r>
      <w:r>
        <w:rPr>
          <w:rFonts w:eastAsia="Times New Roman" w:cs="B Nazanin"/>
          <w:sz w:val="26"/>
          <w:szCs w:val="26"/>
          <w:rtl w:val="true"/>
          <w:lang w:val="en-US" w:bidi="fa-IR"/>
        </w:rPr>
        <w:t>(</w:t>
      </w:r>
      <w:r>
        <w:rPr>
          <w:rFonts w:eastAsia="Times New Roman" w:cs="B Nazanin"/>
          <w:sz w:val="26"/>
          <w:szCs w:val="26"/>
          <w:lang w:val="en-US" w:bidi="fa-IR"/>
        </w:rPr>
        <w:t>f²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۰٫۰۷۳</w:t>
      </w:r>
      <w:r>
        <w:rPr>
          <w:rFonts w:ascii="Times New Roman" w:hAnsi="Times New Roman" w:eastAsia="Times New Roman"/>
          <w:sz w:val="26"/>
          <w:sz w:val="26"/>
          <w:szCs w:val="26"/>
          <w:rtl w:val="true"/>
          <w:lang w:val="en-US" w:bidi="fa-IR"/>
        </w:rPr>
        <w:t xml:space="preserve"> و </w:t>
      </w:r>
      <w:r>
        <w:rPr>
          <w:rFonts w:eastAsia="Times New Roman" w:cs="B Nazanin"/>
          <w:sz w:val="26"/>
          <w:szCs w:val="26"/>
          <w:lang w:val="en-US" w:bidi="fa-IR"/>
        </w:rPr>
        <w:t>f²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۰٫۰۶۱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۳</w:t>
      </w:r>
      <w:r>
        <w:rPr>
          <w:rFonts w:ascii="Times New Roman" w:hAnsi="Times New Roman" w:eastAsia="Times New Roman"/>
          <w:sz w:val="26"/>
          <w:sz w:val="26"/>
          <w:szCs w:val="26"/>
          <w:rtl w:val="true"/>
          <w:lang w:val="en-US" w:bidi="fa-IR"/>
        </w:rPr>
        <w:t xml:space="preserve"> شیب‌های ساده را نشان می‌دهد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وجدان پایین، هر واحد رفع تعهد حدود </w:t>
      </w:r>
      <w:r>
        <w:rPr>
          <w:rFonts w:ascii="Times New Roman" w:hAnsi="Times New Roman" w:eastAsia="Times New Roman"/>
          <w:sz w:val="26"/>
          <w:sz w:val="26"/>
          <w:szCs w:val="26"/>
          <w:lang w:val="en-US" w:bidi="fa-IR"/>
        </w:rPr>
        <w:t>۰٫۶۶</w:t>
      </w:r>
      <w:r>
        <w:rPr>
          <w:rFonts w:ascii="Times New Roman" w:hAnsi="Times New Roman" w:eastAsia="Times New Roman"/>
          <w:sz w:val="26"/>
          <w:sz w:val="26"/>
          <w:szCs w:val="26"/>
          <w:rtl w:val="true"/>
          <w:lang w:val="en-US" w:bidi="fa-IR"/>
        </w:rPr>
        <w:t xml:space="preserve"> واحد سکوت می‌افزاید، در حالی که در وجدان بالا این شیب حدود </w:t>
      </w:r>
      <w:r>
        <w:rPr>
          <w:rFonts w:ascii="Times New Roman" w:hAnsi="Times New Roman" w:eastAsia="Times New Roman"/>
          <w:sz w:val="26"/>
          <w:sz w:val="26"/>
          <w:szCs w:val="26"/>
          <w:lang w:val="en-US" w:bidi="fa-IR"/>
        </w:rPr>
        <w:t>۰٫۲۹</w:t>
      </w:r>
      <w:r>
        <w:rPr>
          <w:rFonts w:ascii="Times New Roman" w:hAnsi="Times New Roman" w:eastAsia="Times New Roman"/>
          <w:sz w:val="26"/>
          <w:sz w:val="26"/>
          <w:szCs w:val="26"/>
          <w:rtl w:val="true"/>
          <w:lang w:val="en-US" w:bidi="fa-IR"/>
        </w:rPr>
        <w:t xml:space="preserve"> است</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5219700" cy="2269490"/>
            <wp:effectExtent l="0" t="0" r="0" b="0"/>
            <wp:docPr id="3" name="Fig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
                    <pic:cNvPicPr>
                      <a:picLocks noChangeAspect="1" noChangeArrowheads="1"/>
                    </pic:cNvPicPr>
                  </pic:nvPicPr>
                  <pic:blipFill>
                    <a:blip r:embed="rId10"/>
                    <a:stretch>
                      <a:fillRect/>
                    </a:stretch>
                  </pic:blipFill>
                  <pic:spPr bwMode="auto">
                    <a:xfrm>
                      <a:off x="0" y="0"/>
                      <a:ext cx="5219700" cy="2269490"/>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شیب‌های ساده</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اثر فشار زمانی بر رفع تعهد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راست</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و اثر رفع تعهد بر سکوت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چپ</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در سه سطح وجدان حرفه‌ای</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۴</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اثرهای غیرمستقیم شرطی بر سکوت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 xml:space="preserve">فاصلهٔ اطمینان </w:t>
      </w:r>
      <w:r>
        <w:rPr>
          <w:rFonts w:ascii="Times New Roman" w:hAnsi="Times New Roman" w:eastAsia="Times New Roman" w:cs="B Zar"/>
          <w:b/>
          <w:b/>
          <w:bCs/>
          <w:sz w:val="20"/>
          <w:sz w:val="20"/>
          <w:szCs w:val="20"/>
          <w:lang w:val="en-US" w:bidi="fa-IR"/>
        </w:rPr>
        <w:t>۹۵</w:t>
      </w:r>
      <w:r>
        <w:rPr>
          <w:rFonts w:ascii="Times New Roman" w:hAnsi="Times New Roman" w:eastAsia="Times New Roman" w:cs="B Zar"/>
          <w:b/>
          <w:b/>
          <w:bCs/>
          <w:sz w:val="20"/>
          <w:sz w:val="20"/>
          <w:szCs w:val="20"/>
          <w:rtl w:val="true"/>
          <w:lang w:val="en-US" w:bidi="fa-IR"/>
        </w:rPr>
        <w:t xml:space="preserve"> درصد بوت‌استرپ</w:t>
      </w:r>
      <w:r>
        <w:rPr>
          <w:rFonts w:eastAsia="Times New Roman" w:cs="B Zar"/>
          <w:b/>
          <w:bCs/>
          <w:sz w:val="20"/>
          <w:szCs w:val="20"/>
          <w:rtl w:val="true"/>
          <w:lang w:val="en-US" w:bidi="fa-IR"/>
        </w:rPr>
        <w:t>)</w:t>
      </w:r>
    </w:p>
    <w:tbl>
      <w:tblPr>
        <w:bidiVisual w:val="true"/>
        <w:tblW w:w="7200" w:type="dxa"/>
        <w:jc w:val="center"/>
        <w:tblInd w:w="0" w:type="dxa"/>
        <w:tblLayout w:type="fixed"/>
        <w:tblCellMar>
          <w:top w:w="0" w:type="dxa"/>
          <w:left w:w="60" w:type="dxa"/>
          <w:bottom w:w="0" w:type="dxa"/>
          <w:right w:w="60" w:type="dxa"/>
        </w:tblCellMar>
      </w:tblPr>
      <w:tblGrid>
        <w:gridCol w:w="2700"/>
        <w:gridCol w:w="1499"/>
        <w:gridCol w:w="1501"/>
        <w:gridCol w:w="1499"/>
      </w:tblGrid>
      <w:tr>
        <w:trPr>
          <w:tblHeader w:val="true"/>
        </w:trPr>
        <w:tc>
          <w:tcPr>
            <w:tcW w:w="2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مسیر</w:t>
            </w:r>
          </w:p>
        </w:tc>
        <w:tc>
          <w:tcPr>
            <w:tcW w:w="1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 xml:space="preserve">وجدان پایین </w:t>
            </w:r>
            <w:r>
              <w:rPr>
                <w:rFonts w:eastAsia="Times New Roman" w:cs="B Nazanin"/>
                <w:b/>
                <w:bCs/>
                <w:sz w:val="20"/>
                <w:szCs w:val="20"/>
                <w:rtl w:val="true"/>
                <w:lang w:val="en-US" w:bidi="fa-IR"/>
              </w:rPr>
              <w:t>(</w:t>
            </w:r>
            <w:r>
              <w:rPr>
                <w:rFonts w:ascii="Times New Roman" w:hAnsi="Times New Roman" w:eastAsia="Times New Roman"/>
                <w:b/>
                <w:b/>
                <w:bCs/>
                <w:sz w:val="20"/>
                <w:sz w:val="20"/>
                <w:szCs w:val="20"/>
                <w:lang w:val="en-US" w:bidi="fa-IR"/>
              </w:rPr>
              <w:t>۱</w:t>
            </w:r>
            <w:r>
              <w:rPr>
                <w:rFonts w:ascii="Times New Roman" w:hAnsi="Times New Roman" w:eastAsia="Times New Roman"/>
                <w:b/>
                <w:b/>
                <w:bCs/>
                <w:sz w:val="20"/>
                <w:sz w:val="20"/>
                <w:szCs w:val="20"/>
                <w:rtl w:val="true"/>
                <w:lang w:val="en-US" w:bidi="fa-IR"/>
              </w:rPr>
              <w:t>−</w:t>
            </w:r>
            <w:r>
              <w:rPr>
                <w:rFonts w:eastAsia="Times New Roman" w:cs="B Nazanin"/>
                <w:b/>
                <w:bCs/>
                <w:sz w:val="20"/>
                <w:szCs w:val="20"/>
                <w:rtl w:val="true"/>
                <w:lang w:val="en-US" w:bidi="fa-IR"/>
              </w:rPr>
              <w:t>)</w:t>
            </w:r>
          </w:p>
        </w:tc>
        <w:tc>
          <w:tcPr>
            <w:tcW w:w="15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میانگین</w:t>
            </w:r>
          </w:p>
        </w:tc>
        <w:tc>
          <w:tcPr>
            <w:tcW w:w="1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 xml:space="preserve">وجدان بالا </w:t>
            </w:r>
            <w:r>
              <w:rPr>
                <w:rFonts w:eastAsia="Times New Roman" w:cs="B Nazanin"/>
                <w:b/>
                <w:bCs/>
                <w:sz w:val="20"/>
                <w:szCs w:val="20"/>
                <w:rtl w:val="true"/>
                <w:lang w:val="en-US" w:bidi="fa-IR"/>
              </w:rPr>
              <w:t>(</w:t>
            </w:r>
            <w:r>
              <w:rPr>
                <w:rFonts w:ascii="Times New Roman" w:hAnsi="Times New Roman" w:eastAsia="Times New Roman"/>
                <w:b/>
                <w:b/>
                <w:bCs/>
                <w:sz w:val="20"/>
                <w:sz w:val="20"/>
                <w:szCs w:val="20"/>
                <w:lang w:val="en-US" w:bidi="fa-IR"/>
              </w:rPr>
              <w:t>۱</w:t>
            </w:r>
            <w:r>
              <w:rPr>
                <w:rFonts w:eastAsia="Times New Roman" w:cs="B Nazanin"/>
                <w:b/>
                <w:bCs/>
                <w:sz w:val="20"/>
                <w:szCs w:val="20"/>
                <w:rtl w:val="true"/>
                <w:lang w:val="en-US" w:bidi="fa-IR"/>
              </w:rPr>
              <w:t>+)</w:t>
            </w:r>
          </w:p>
        </w:tc>
      </w:tr>
      <w:tr>
        <w:trPr>
          <w:cantSplit w:val="true"/>
        </w:trPr>
        <w:tc>
          <w:tcPr>
            <w:tcW w:w="27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زمانی ← رفع تعهد ← سکوت</w:t>
            </w:r>
          </w:p>
        </w:tc>
        <w:tc>
          <w:tcPr>
            <w:tcW w:w="14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۰٫۴۷</w:t>
            </w:r>
            <w:r>
              <w:rPr>
                <w:rFonts w:ascii="Times New Roman" w:hAnsi="Times New Roman" w:eastAsia="Times New Roman"/>
                <w:sz w:val="20"/>
                <w:sz w:val="20"/>
                <w:szCs w:val="20"/>
                <w:rtl w:val="true"/>
                <w:lang w:val="en-US" w:bidi="fa-IR"/>
              </w:rPr>
              <w:t>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۰٫۳۲</w:t>
            </w:r>
            <w:r>
              <w:rPr>
                <w:rFonts w:eastAsia="Times New Roman" w:cs="B Nazanin"/>
                <w:sz w:val="20"/>
                <w:szCs w:val="20"/>
                <w:lang w:val="en-US" w:bidi="fa-IR"/>
              </w:rPr>
              <w:t>, </w:t>
            </w:r>
            <w:r>
              <w:rPr>
                <w:rFonts w:ascii="Times New Roman" w:hAnsi="Times New Roman" w:eastAsia="Times New Roman"/>
                <w:sz w:val="20"/>
                <w:sz w:val="20"/>
                <w:szCs w:val="20"/>
                <w:lang w:val="en-US" w:bidi="fa-IR"/>
              </w:rPr>
              <w:t>۰٫۶۶</w:t>
            </w:r>
            <w:r>
              <w:rPr>
                <w:rFonts w:eastAsia="Times New Roman" w:cs="B Nazanin"/>
                <w:sz w:val="20"/>
                <w:szCs w:val="20"/>
                <w:rtl w:val="true"/>
                <w:lang w:val="en-US" w:bidi="fa-IR"/>
              </w:rPr>
              <w:t>]</w:t>
            </w:r>
            <w:r>
              <w:rPr>
                <w:rFonts w:eastAsia="Times New Roman" w:cs="B Nazanin"/>
                <w:sz w:val="20"/>
                <w:szCs w:val="20"/>
                <w:lang w:val="en-US" w:bidi="fa-IR"/>
              </w:rPr>
              <w:t>‎</w:t>
            </w:r>
          </w:p>
        </w:tc>
        <w:tc>
          <w:tcPr>
            <w:tcW w:w="1501"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۰٫۲۵</w:t>
            </w:r>
            <w:r>
              <w:rPr>
                <w:rFonts w:ascii="Times New Roman" w:hAnsi="Times New Roman" w:eastAsia="Times New Roman"/>
                <w:sz w:val="20"/>
                <w:sz w:val="20"/>
                <w:szCs w:val="20"/>
                <w:rtl w:val="true"/>
                <w:lang w:val="en-US" w:bidi="fa-IR"/>
              </w:rPr>
              <w:t>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۰٫۱۶</w:t>
            </w:r>
            <w:r>
              <w:rPr>
                <w:rFonts w:eastAsia="Times New Roman" w:cs="B Nazanin"/>
                <w:sz w:val="20"/>
                <w:szCs w:val="20"/>
                <w:lang w:val="en-US" w:bidi="fa-IR"/>
              </w:rPr>
              <w:t>, </w:t>
            </w:r>
            <w:r>
              <w:rPr>
                <w:rFonts w:ascii="Times New Roman" w:hAnsi="Times New Roman" w:eastAsia="Times New Roman"/>
                <w:sz w:val="20"/>
                <w:sz w:val="20"/>
                <w:szCs w:val="20"/>
                <w:lang w:val="en-US" w:bidi="fa-IR"/>
              </w:rPr>
              <w:t>۰٫۳۶</w:t>
            </w:r>
            <w:r>
              <w:rPr>
                <w:rFonts w:eastAsia="Times New Roman" w:cs="B Nazanin"/>
                <w:sz w:val="20"/>
                <w:szCs w:val="20"/>
                <w:rtl w:val="true"/>
                <w:lang w:val="en-US" w:bidi="fa-IR"/>
              </w:rPr>
              <w:t>]</w:t>
            </w:r>
            <w:r>
              <w:rPr>
                <w:rFonts w:eastAsia="Times New Roman" w:cs="B Nazanin"/>
                <w:sz w:val="20"/>
                <w:szCs w:val="20"/>
                <w:lang w:val="en-US" w:bidi="fa-IR"/>
              </w:rPr>
              <w:t>‎</w:t>
            </w:r>
          </w:p>
        </w:tc>
        <w:tc>
          <w:tcPr>
            <w:tcW w:w="14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۰٫۱۰</w:t>
            </w:r>
            <w:r>
              <w:rPr>
                <w:rFonts w:ascii="Times New Roman" w:hAnsi="Times New Roman" w:eastAsia="Times New Roman"/>
                <w:sz w:val="20"/>
                <w:sz w:val="20"/>
                <w:szCs w:val="20"/>
                <w:rtl w:val="true"/>
                <w:lang w:val="en-US" w:bidi="fa-IR"/>
              </w:rPr>
              <w:t> </w:t>
            </w: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۰٫۰۲</w:t>
            </w:r>
            <w:r>
              <w:rPr>
                <w:rFonts w:eastAsia="Times New Roman" w:cs="B Nazanin"/>
                <w:sz w:val="20"/>
                <w:szCs w:val="20"/>
                <w:lang w:val="en-US" w:bidi="fa-IR"/>
              </w:rPr>
              <w:t>, </w:t>
            </w:r>
            <w:r>
              <w:rPr>
                <w:rFonts w:ascii="Times New Roman" w:hAnsi="Times New Roman" w:eastAsia="Times New Roman"/>
                <w:sz w:val="20"/>
                <w:sz w:val="20"/>
                <w:szCs w:val="20"/>
                <w:lang w:val="en-US" w:bidi="fa-IR"/>
              </w:rPr>
              <w:t>۰٫۲۰</w:t>
            </w:r>
            <w:r>
              <w:rPr>
                <w:rFonts w:eastAsia="Times New Roman" w:cs="B Nazanin"/>
                <w:sz w:val="20"/>
                <w:szCs w:val="20"/>
                <w:rtl w:val="true"/>
                <w:lang w:val="en-US" w:bidi="fa-IR"/>
              </w:rPr>
              <w:t>]</w:t>
            </w:r>
            <w:r>
              <w:rPr>
                <w:rFonts w:eastAsia="Times New Roman" w:cs="B Nazanin"/>
                <w:sz w:val="20"/>
                <w:szCs w:val="20"/>
                <w:lang w:val="en-US" w:bidi="fa-IR"/>
              </w:rPr>
              <w:t>‎</w:t>
            </w:r>
          </w:p>
        </w:tc>
      </w:tr>
      <w:tr>
        <w:trPr>
          <w:cantSplit w:val="true"/>
        </w:trPr>
        <w:tc>
          <w:tcPr>
            <w:tcW w:w="2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جو اخلاقی ← رفع تعهد ← سکوت</w:t>
            </w:r>
          </w:p>
        </w:tc>
        <w:tc>
          <w:tcPr>
            <w:tcW w:w="14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۰٫۱۴‎</w:t>
            </w:r>
            <w:r>
              <w:rPr>
                <w:rFonts w:ascii="Times New Roman" w:hAnsi="Times New Roman" w:eastAsia="Times New Roman"/>
                <w:sz w:val="20"/>
                <w:sz w:val="20"/>
                <w:szCs w:val="20"/>
                <w:rtl w:val="true"/>
                <w:lang w:val="en-US" w:bidi="fa-IR"/>
              </w:rPr>
              <w:t> </w:t>
            </w: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۰٫۲۲‎</w:t>
            </w:r>
            <w:r>
              <w:rPr>
                <w:rFonts w:eastAsia="Times New Roman" w:cs="B Nazanin"/>
                <w:sz w:val="20"/>
                <w:szCs w:val="20"/>
                <w:lang w:val="en-US" w:bidi="fa-IR"/>
              </w:rPr>
              <w:t>, ‎−</w:t>
            </w:r>
            <w:r>
              <w:rPr>
                <w:rFonts w:ascii="Times New Roman" w:hAnsi="Times New Roman" w:eastAsia="Times New Roman"/>
                <w:sz w:val="20"/>
                <w:sz w:val="20"/>
                <w:szCs w:val="20"/>
                <w:lang w:val="en-US" w:bidi="fa-IR"/>
              </w:rPr>
              <w:t>۰٫۰۷‎</w:t>
            </w:r>
            <w:r>
              <w:rPr>
                <w:rFonts w:eastAsia="Times New Roman" w:cs="B Nazanin"/>
                <w:sz w:val="20"/>
                <w:szCs w:val="20"/>
                <w:rtl w:val="true"/>
                <w:lang w:val="en-US" w:bidi="fa-IR"/>
              </w:rPr>
              <w:t>]</w:t>
            </w:r>
            <w:r>
              <w:rPr>
                <w:rFonts w:eastAsia="Times New Roman" w:cs="B Nazanin"/>
                <w:sz w:val="20"/>
                <w:szCs w:val="20"/>
                <w:lang w:val="en-US" w:bidi="fa-IR"/>
              </w:rPr>
              <w:t>‎</w:t>
            </w:r>
          </w:p>
        </w:tc>
        <w:tc>
          <w:tcPr>
            <w:tcW w:w="15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۰٫۱۰‎</w:t>
            </w:r>
            <w:r>
              <w:rPr>
                <w:rFonts w:ascii="Times New Roman" w:hAnsi="Times New Roman" w:eastAsia="Times New Roman"/>
                <w:sz w:val="20"/>
                <w:sz w:val="20"/>
                <w:szCs w:val="20"/>
                <w:rtl w:val="true"/>
                <w:lang w:val="en-US" w:bidi="fa-IR"/>
              </w:rPr>
              <w:t> </w:t>
            </w: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۰٫۱۶‎</w:t>
            </w:r>
            <w:r>
              <w:rPr>
                <w:rFonts w:eastAsia="Times New Roman" w:cs="B Nazanin"/>
                <w:sz w:val="20"/>
                <w:szCs w:val="20"/>
                <w:lang w:val="en-US" w:bidi="fa-IR"/>
              </w:rPr>
              <w:t>, ‎−</w:t>
            </w:r>
            <w:r>
              <w:rPr>
                <w:rFonts w:ascii="Times New Roman" w:hAnsi="Times New Roman" w:eastAsia="Times New Roman"/>
                <w:sz w:val="20"/>
                <w:sz w:val="20"/>
                <w:szCs w:val="20"/>
                <w:lang w:val="en-US" w:bidi="fa-IR"/>
              </w:rPr>
              <w:t>۰٫۰۵‎</w:t>
            </w:r>
            <w:r>
              <w:rPr>
                <w:rFonts w:eastAsia="Times New Roman" w:cs="B Nazanin"/>
                <w:sz w:val="20"/>
                <w:szCs w:val="20"/>
                <w:rtl w:val="true"/>
                <w:lang w:val="en-US" w:bidi="fa-IR"/>
              </w:rPr>
              <w:t>]</w:t>
            </w:r>
            <w:r>
              <w:rPr>
                <w:rFonts w:eastAsia="Times New Roman" w:cs="B Nazanin"/>
                <w:sz w:val="20"/>
                <w:szCs w:val="20"/>
                <w:lang w:val="en-US" w:bidi="fa-IR"/>
              </w:rPr>
              <w:t>‎</w:t>
            </w:r>
          </w:p>
        </w:tc>
        <w:tc>
          <w:tcPr>
            <w:tcW w:w="14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۰٫۰۶‎</w:t>
            </w:r>
            <w:r>
              <w:rPr>
                <w:rFonts w:ascii="Times New Roman" w:hAnsi="Times New Roman" w:eastAsia="Times New Roman"/>
                <w:sz w:val="20"/>
                <w:sz w:val="20"/>
                <w:szCs w:val="20"/>
                <w:rtl w:val="true"/>
                <w:lang w:val="en-US" w:bidi="fa-IR"/>
              </w:rPr>
              <w:t> </w:t>
            </w: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۰٫۱۳‎</w:t>
            </w:r>
            <w:r>
              <w:rPr>
                <w:rFonts w:eastAsia="Times New Roman" w:cs="B Nazanin"/>
                <w:sz w:val="20"/>
                <w:szCs w:val="20"/>
                <w:lang w:val="en-US" w:bidi="fa-IR"/>
              </w:rPr>
              <w:t>, ‎−</w:t>
            </w:r>
            <w:r>
              <w:rPr>
                <w:rFonts w:ascii="Times New Roman" w:hAnsi="Times New Roman" w:eastAsia="Times New Roman"/>
                <w:sz w:val="20"/>
                <w:sz w:val="20"/>
                <w:szCs w:val="20"/>
                <w:lang w:val="en-US" w:bidi="fa-IR"/>
              </w:rPr>
              <w:t>۰٫۰۱‎</w:t>
            </w:r>
            <w:r>
              <w:rPr>
                <w:rFonts w:eastAsia="Times New Roman" w:cs="B Nazanin"/>
                <w:sz w:val="20"/>
                <w:szCs w:val="20"/>
                <w:rtl w:val="true"/>
                <w:lang w:val="en-US" w:bidi="fa-IR"/>
              </w:rPr>
              <w:t>]</w:t>
            </w:r>
            <w:r>
              <w:rPr>
                <w:rFonts w:eastAsia="Times New Roman" w:cs="B Nazanin"/>
                <w:sz w:val="20"/>
                <w:szCs w:val="20"/>
                <w:lang w:val="en-US" w:bidi="fa-IR"/>
              </w:rPr>
              <w:t>‎</w:t>
            </w:r>
          </w:p>
        </w:tc>
      </w:tr>
    </w:tbl>
    <w:p>
      <w:pPr>
        <w:pStyle w:val="Normal"/>
        <w:bidi w:val="1"/>
        <w:spacing w:lineRule="auto" w:line="240" w:before="0" w:after="100"/>
        <w:ind w:firstLine="360"/>
        <w:jc w:val="both"/>
        <w:rPr/>
      </w:pPr>
      <w:r>
        <w:rPr>
          <w:rtl w:val="true"/>
        </w:rPr>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اثر غیرمستقیم فشار زمانی بر سکوت از رفع تعهد در سطح میانگین </w:t>
      </w:r>
      <w:r>
        <w:rPr>
          <w:rFonts w:ascii="Times New Roman" w:hAnsi="Times New Roman" w:eastAsia="Times New Roman"/>
          <w:sz w:val="26"/>
          <w:sz w:val="26"/>
          <w:szCs w:val="26"/>
          <w:lang w:val="en-US" w:bidi="fa-IR"/>
        </w:rPr>
        <w:t>‎۰٫۲۵</w:t>
      </w:r>
      <w:r>
        <w:rPr>
          <w:rFonts w:ascii="Times New Roman" w:hAnsi="Times New Roman" w:eastAsia="Times New Roman"/>
          <w:sz w:val="26"/>
          <w:sz w:val="26"/>
          <w:szCs w:val="26"/>
          <w:rtl w:val="true"/>
          <w:lang w:val="en-US" w:bidi="fa-IR"/>
        </w:rPr>
        <w:t>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۰٫۱۶</w:t>
      </w:r>
      <w:r>
        <w:rPr>
          <w:rFonts w:eastAsia="Times New Roman" w:cs="B Nazanin"/>
          <w:sz w:val="26"/>
          <w:szCs w:val="26"/>
          <w:lang w:val="en-US" w:bidi="fa-IR"/>
        </w:rPr>
        <w:t>, </w:t>
      </w:r>
      <w:r>
        <w:rPr>
          <w:rFonts w:ascii="Times New Roman" w:hAnsi="Times New Roman" w:eastAsia="Times New Roman"/>
          <w:sz w:val="26"/>
          <w:sz w:val="26"/>
          <w:szCs w:val="26"/>
          <w:lang w:val="en-US" w:bidi="fa-IR"/>
        </w:rPr>
        <w:t>۰٫۳۶</w:t>
      </w:r>
      <w:r>
        <w:rPr>
          <w:rFonts w:eastAsia="Times New Roman" w:cs="B Nazanin"/>
          <w:sz w:val="26"/>
          <w:szCs w:val="26"/>
          <w:rtl w:val="true"/>
          <w:lang w:val="en-US" w:bidi="fa-IR"/>
        </w:rPr>
        <w:t>]</w:t>
      </w:r>
      <w:r>
        <w:rPr>
          <w:rFonts w:eastAsia="Times New Roman" w:cs="B Nazanin"/>
          <w:sz w:val="26"/>
          <w:szCs w:val="26"/>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بود و جو اخلاقی اثر غیرمستقیم منفی داشت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۰٫۱۰‎</w:t>
      </w:r>
      <w:r>
        <w:rPr>
          <w:rFonts w:ascii="Times New Roman" w:hAnsi="Times New Roman" w:eastAsia="Times New Roman"/>
          <w:sz w:val="26"/>
          <w:sz w:val="26"/>
          <w:szCs w:val="26"/>
          <w:rtl w:val="true"/>
          <w:lang w:val="en-US" w:bidi="fa-IR"/>
        </w:rPr>
        <w:t>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۰٫۱۶‎</w:t>
      </w:r>
      <w:r>
        <w:rPr>
          <w:rFonts w:eastAsia="Times New Roman" w:cs="B Nazanin"/>
          <w:sz w:val="26"/>
          <w:szCs w:val="26"/>
          <w:lang w:val="en-US" w:bidi="fa-IR"/>
        </w:rPr>
        <w:t>, ‎−</w:t>
      </w:r>
      <w:r>
        <w:rPr>
          <w:rFonts w:ascii="Times New Roman" w:hAnsi="Times New Roman" w:eastAsia="Times New Roman"/>
          <w:sz w:val="26"/>
          <w:sz w:val="26"/>
          <w:szCs w:val="26"/>
          <w:lang w:val="en-US" w:bidi="fa-IR"/>
        </w:rPr>
        <w:t>۰٫۰۵‎</w:t>
      </w:r>
      <w:r>
        <w:rPr>
          <w:rFonts w:eastAsia="Times New Roman" w:cs="B Nazanin"/>
          <w:sz w:val="26"/>
          <w:szCs w:val="26"/>
          <w:rtl w:val="true"/>
          <w:lang w:val="en-US" w:bidi="fa-IR"/>
        </w:rPr>
        <w:t>]</w:t>
      </w:r>
      <w:r>
        <w:rPr>
          <w:rFonts w:eastAsia="Times New Roman" w:cs="B Nazanin"/>
          <w:sz w:val="26"/>
          <w:szCs w:val="26"/>
          <w:lang w:val="en-US" w:bidi="fa-IR"/>
        </w:rPr>
        <w:t>‎</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تأیید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شاخص میانجی‌گری تعدیل‌شده برای مسیر فشار زمانی </w:t>
      </w:r>
      <w:r>
        <w:rPr>
          <w:rFonts w:ascii="Times New Roman" w:hAnsi="Times New Roman" w:eastAsia="Times New Roman"/>
          <w:sz w:val="26"/>
          <w:sz w:val="26"/>
          <w:szCs w:val="26"/>
          <w:lang w:val="en-US" w:bidi="fa-IR"/>
        </w:rPr>
        <w:t>‎‎−۰٫۱۸۳‎</w:t>
      </w:r>
      <w:r>
        <w:rPr>
          <w:rFonts w:ascii="Times New Roman" w:hAnsi="Times New Roman" w:eastAsia="Times New Roman"/>
          <w:sz w:val="26"/>
          <w:sz w:val="26"/>
          <w:szCs w:val="26"/>
          <w:rtl w:val="true"/>
          <w:lang w:val="en-US" w:bidi="fa-IR"/>
        </w:rPr>
        <w:t>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۰٫۲۹۳‎</w:t>
      </w:r>
      <w:r>
        <w:rPr>
          <w:rFonts w:eastAsia="Times New Roman" w:cs="B Nazanin"/>
          <w:sz w:val="26"/>
          <w:szCs w:val="26"/>
          <w:lang w:val="en-US" w:bidi="fa-IR"/>
        </w:rPr>
        <w:t>, ‎−</w:t>
      </w:r>
      <w:r>
        <w:rPr>
          <w:rFonts w:ascii="Times New Roman" w:hAnsi="Times New Roman" w:eastAsia="Times New Roman"/>
          <w:sz w:val="26"/>
          <w:sz w:val="26"/>
          <w:szCs w:val="26"/>
          <w:lang w:val="en-US" w:bidi="fa-IR"/>
        </w:rPr>
        <w:t>۰٫۰۹۹‎</w:t>
      </w:r>
      <w:r>
        <w:rPr>
          <w:rFonts w:eastAsia="Times New Roman" w:cs="B Nazanin"/>
          <w:sz w:val="26"/>
          <w:szCs w:val="26"/>
          <w:rtl w:val="true"/>
          <w:lang w:val="en-US" w:bidi="fa-IR"/>
        </w:rPr>
        <w:t>]</w:t>
      </w:r>
      <w:r>
        <w:rPr>
          <w:rFonts w:eastAsia="Times New Roman" w:cs="B Nazanin"/>
          <w:sz w:val="26"/>
          <w:szCs w:val="26"/>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وجدان حرفه‌ای اثر غیرمستقیم فشار زمانی را از </w:t>
      </w:r>
      <w:r>
        <w:rPr>
          <w:rFonts w:ascii="Times New Roman" w:hAnsi="Times New Roman" w:eastAsia="Times New Roman"/>
          <w:sz w:val="26"/>
          <w:sz w:val="26"/>
          <w:szCs w:val="26"/>
          <w:lang w:val="en-US" w:bidi="fa-IR"/>
        </w:rPr>
        <w:t>۰٫۴۷</w:t>
      </w:r>
      <w:r>
        <w:rPr>
          <w:rFonts w:ascii="Times New Roman" w:hAnsi="Times New Roman" w:eastAsia="Times New Roman"/>
          <w:sz w:val="26"/>
          <w:sz w:val="26"/>
          <w:szCs w:val="26"/>
          <w:rtl w:val="true"/>
          <w:lang w:val="en-US" w:bidi="fa-IR"/>
        </w:rPr>
        <w:t xml:space="preserve"> در سطح پایین به </w:t>
      </w:r>
      <w:r>
        <w:rPr>
          <w:rFonts w:ascii="Times New Roman" w:hAnsi="Times New Roman" w:eastAsia="Times New Roman"/>
          <w:sz w:val="26"/>
          <w:sz w:val="26"/>
          <w:szCs w:val="26"/>
          <w:lang w:val="en-US" w:bidi="fa-IR"/>
        </w:rPr>
        <w:t>۰٫۱۰</w:t>
      </w:r>
      <w:r>
        <w:rPr>
          <w:rFonts w:ascii="Times New Roman" w:hAnsi="Times New Roman" w:eastAsia="Times New Roman"/>
          <w:sz w:val="26"/>
          <w:sz w:val="26"/>
          <w:szCs w:val="26"/>
          <w:rtl w:val="true"/>
          <w:lang w:val="en-US" w:bidi="fa-IR"/>
        </w:rPr>
        <w:t xml:space="preserve"> در سطح بالا کاهش داد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بیان ساده، وجدان حرفه‌ای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بخش بزرگی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مسیر فشار–توجیه–سکوت را می‌بندد، اما آن را کاملاً از بین نمی‌برد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4860290" cy="2494280"/>
            <wp:effectExtent l="0" t="0" r="0" b="0"/>
            <wp:docPr id="4" name="Fig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
                    <pic:cNvPicPr>
                      <a:picLocks noChangeAspect="1" noChangeArrowheads="1"/>
                    </pic:cNvPicPr>
                  </pic:nvPicPr>
                  <pic:blipFill>
                    <a:blip r:embed="rId11"/>
                    <a:stretch>
                      <a:fillRect/>
                    </a:stretch>
                  </pic:blipFill>
                  <pic:spPr bwMode="auto">
                    <a:xfrm>
                      <a:off x="0" y="0"/>
                      <a:ext cx="4860290" cy="2494280"/>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۴</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اثرهای غیرمستقیم فشار زمانی و جو اخلاقی بر سکوت در سه سطح وجدان حرفه‌ای</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۵</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مقایسهٔ مدل پیشنهادی با مدل‌های رقیب</w:t>
      </w:r>
    </w:p>
    <w:tbl>
      <w:tblPr>
        <w:bidiVisual w:val="true"/>
        <w:tblW w:w="7500" w:type="dxa"/>
        <w:jc w:val="center"/>
        <w:tblInd w:w="0" w:type="dxa"/>
        <w:tblLayout w:type="fixed"/>
        <w:tblCellMar>
          <w:top w:w="0" w:type="dxa"/>
          <w:left w:w="60" w:type="dxa"/>
          <w:bottom w:w="0" w:type="dxa"/>
          <w:right w:w="60" w:type="dxa"/>
        </w:tblCellMar>
      </w:tblPr>
      <w:tblGrid>
        <w:gridCol w:w="600"/>
        <w:gridCol w:w="3000"/>
        <w:gridCol w:w="800"/>
        <w:gridCol w:w="600"/>
        <w:gridCol w:w="799"/>
        <w:gridCol w:w="900"/>
        <w:gridCol w:w="800"/>
      </w:tblGrid>
      <w:tr>
        <w:trPr>
          <w:tblHeader w:val="true"/>
        </w:trPr>
        <w:tc>
          <w:tcPr>
            <w:tcW w:w="6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مدل</w:t>
            </w:r>
          </w:p>
        </w:tc>
        <w:tc>
          <w:tcPr>
            <w:tcW w:w="30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ساختار</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χ²</w:t>
            </w:r>
          </w:p>
        </w:tc>
        <w:tc>
          <w:tcPr>
            <w:tcW w:w="6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df</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CFI</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RMSEA</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AIC</w:t>
            </w:r>
          </w:p>
        </w:tc>
      </w:tr>
      <w:tr>
        <w:trPr>
          <w:cantSplit w:val="true"/>
        </w:trPr>
        <w:tc>
          <w:tcPr>
            <w:tcW w:w="600" w:type="dxa"/>
            <w:tcBorders/>
            <w:vAlign w:val="center"/>
          </w:tcPr>
          <w:p>
            <w:pPr>
              <w:pStyle w:val="Normal"/>
              <w:bidi w:val="1"/>
              <w:spacing w:lineRule="auto" w:line="240" w:before="40" w:after="40"/>
              <w:jc w:val="center"/>
              <w:rPr/>
            </w:pPr>
            <w:r>
              <w:rPr>
                <w:rFonts w:eastAsia="Times New Roman" w:cs="B Nazanin"/>
                <w:sz w:val="20"/>
                <w:szCs w:val="20"/>
                <w:lang w:val="en-US" w:bidi="fa-IR"/>
              </w:rPr>
              <w:t>M</w:t>
            </w:r>
            <w:r>
              <w:rPr>
                <w:rFonts w:ascii="Times New Roman" w:hAnsi="Times New Roman" w:eastAsia="Times New Roman"/>
                <w:sz w:val="20"/>
                <w:sz w:val="20"/>
                <w:szCs w:val="20"/>
                <w:lang w:val="en-US" w:bidi="fa-IR"/>
              </w:rPr>
              <w:t>۱</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مدل پیشنهادی</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۵۱۸٫۹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۳۸۶</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۰٫۹۶۵</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۰٫۰۳۱</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۱۵۵</w:t>
            </w:r>
          </w:p>
        </w:tc>
      </w:tr>
      <w:tr>
        <w:trPr>
          <w:cantSplit w:val="true"/>
        </w:trPr>
        <w:tc>
          <w:tcPr>
            <w:tcW w:w="600" w:type="dxa"/>
            <w:tcBorders/>
            <w:vAlign w:val="center"/>
          </w:tcPr>
          <w:p>
            <w:pPr>
              <w:pStyle w:val="Normal"/>
              <w:bidi w:val="1"/>
              <w:spacing w:lineRule="auto" w:line="240" w:before="40" w:after="40"/>
              <w:jc w:val="center"/>
              <w:rPr/>
            </w:pPr>
            <w:r>
              <w:rPr>
                <w:rFonts w:eastAsia="Times New Roman" w:cs="B Nazanin"/>
                <w:sz w:val="20"/>
                <w:szCs w:val="20"/>
                <w:lang w:val="en-US" w:bidi="fa-IR"/>
              </w:rPr>
              <w:t>M</w:t>
            </w:r>
            <w:r>
              <w:rPr>
                <w:rFonts w:ascii="Times New Roman" w:hAnsi="Times New Roman" w:eastAsia="Times New Roman"/>
                <w:sz w:val="20"/>
                <w:sz w:val="20"/>
                <w:szCs w:val="20"/>
                <w:lang w:val="en-US" w:bidi="fa-IR"/>
              </w:rPr>
              <w:t>۲</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بدون تعدیل‌گری</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۵۴۳٫۵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۳۸۸</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۰٫۹۵۹</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۰٫۰۳۳</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۱۵۱</w:t>
            </w:r>
          </w:p>
        </w:tc>
      </w:tr>
      <w:tr>
        <w:trPr>
          <w:cantSplit w:val="true"/>
        </w:trPr>
        <w:tc>
          <w:tcPr>
            <w:tcW w:w="600" w:type="dxa"/>
            <w:tcBorders/>
            <w:vAlign w:val="center"/>
          </w:tcPr>
          <w:p>
            <w:pPr>
              <w:pStyle w:val="Normal"/>
              <w:bidi w:val="1"/>
              <w:spacing w:lineRule="auto" w:line="240" w:before="40" w:after="40"/>
              <w:jc w:val="center"/>
              <w:rPr/>
            </w:pPr>
            <w:r>
              <w:rPr>
                <w:rFonts w:eastAsia="Times New Roman" w:cs="B Nazanin"/>
                <w:sz w:val="20"/>
                <w:szCs w:val="20"/>
                <w:lang w:val="en-US" w:bidi="fa-IR"/>
              </w:rPr>
              <w:t>M</w:t>
            </w:r>
            <w:r>
              <w:rPr>
                <w:rFonts w:ascii="Times New Roman" w:hAnsi="Times New Roman" w:eastAsia="Times New Roman"/>
                <w:sz w:val="20"/>
                <w:sz w:val="20"/>
                <w:szCs w:val="20"/>
                <w:lang w:val="en-US" w:bidi="fa-IR"/>
              </w:rPr>
              <w:t>۳</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میانجی‌گری کامل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بدون اثر مستقیم فشار زمانی و جو</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۵۲۷٫۹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۳۸۸</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۰٫۹۶۴</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۰٫۰۳۲</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۱۵۱</w:t>
            </w:r>
          </w:p>
        </w:tc>
      </w:tr>
      <w:tr>
        <w:trPr>
          <w:cantSplit w:val="true"/>
        </w:trPr>
        <w:tc>
          <w:tcPr>
            <w:tcW w:w="600" w:type="dxa"/>
            <w:tcBorders/>
            <w:vAlign w:val="center"/>
          </w:tcPr>
          <w:p>
            <w:pPr>
              <w:pStyle w:val="Normal"/>
              <w:bidi w:val="1"/>
              <w:spacing w:lineRule="auto" w:line="240" w:before="40" w:after="40"/>
              <w:jc w:val="center"/>
              <w:rPr/>
            </w:pPr>
            <w:r>
              <w:rPr>
                <w:rFonts w:eastAsia="Times New Roman" w:cs="B Nazanin"/>
                <w:sz w:val="20"/>
                <w:szCs w:val="20"/>
                <w:lang w:val="en-US" w:bidi="fa-IR"/>
              </w:rPr>
              <w:t>M</w:t>
            </w:r>
            <w:r>
              <w:rPr>
                <w:rFonts w:ascii="Times New Roman" w:hAnsi="Times New Roman" w:eastAsia="Times New Roman"/>
                <w:sz w:val="20"/>
                <w:sz w:val="20"/>
                <w:szCs w:val="20"/>
                <w:lang w:val="en-US" w:bidi="fa-IR"/>
              </w:rPr>
              <w:t>۴</w:t>
            </w:r>
          </w:p>
        </w:tc>
        <w:tc>
          <w:tcPr>
            <w:tcW w:w="3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بدون مسیر رفع تعهد اخلاقی</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۵۷۳٫۹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۳۸۸</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۰٫۹۵۲</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۰٫۰۳۶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۱۵۱</w:t>
            </w:r>
          </w:p>
        </w:tc>
      </w:tr>
      <w:tr>
        <w:trPr>
          <w:cantSplit w:val="true"/>
        </w:trPr>
        <w:tc>
          <w:tcPr>
            <w:tcW w:w="6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M</w:t>
            </w:r>
            <w:r>
              <w:rPr>
                <w:rFonts w:ascii="Times New Roman" w:hAnsi="Times New Roman" w:eastAsia="Times New Roman"/>
                <w:sz w:val="20"/>
                <w:sz w:val="20"/>
                <w:szCs w:val="20"/>
                <w:lang w:val="en-US" w:bidi="fa-IR"/>
              </w:rPr>
              <w:t>۵</w:t>
            </w:r>
          </w:p>
        </w:tc>
        <w:tc>
          <w:tcPr>
            <w:tcW w:w="3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مسیر معکوس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سکوت ← رفع تعهد</w:t>
            </w:r>
            <w:r>
              <w:rPr>
                <w:rFonts w:eastAsia="Times New Roman" w:cs="B Nazanin"/>
                <w:sz w:val="20"/>
                <w:szCs w:val="20"/>
                <w:rtl w:val="true"/>
                <w:lang w:val="en-US" w:bidi="fa-IR"/>
              </w:rPr>
              <w:t>)</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۵۲۵٫۵</w:t>
            </w:r>
          </w:p>
        </w:tc>
        <w:tc>
          <w:tcPr>
            <w:tcW w:w="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۳۸۶</w:t>
            </w:r>
          </w:p>
        </w:tc>
        <w:tc>
          <w:tcPr>
            <w:tcW w:w="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۰٫۹۶۴</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۰٫۰۳۲</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۱۵۵</w:t>
            </w:r>
          </w:p>
        </w:tc>
      </w:tr>
    </w:tbl>
    <w:p>
      <w:pPr>
        <w:pStyle w:val="Normal"/>
        <w:bidi w:val="1"/>
        <w:spacing w:lineRule="auto" w:line="240" w:before="0" w:after="100"/>
        <w:ind w:firstLine="360"/>
        <w:jc w:val="both"/>
        <w:rPr/>
      </w:pPr>
      <w:r>
        <w:rPr>
          <w:rtl w:val="true"/>
        </w:rPr>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مدل پیشنهادی از مدل بدون تعدیل‌گری </w:t>
      </w:r>
      <w:r>
        <w:rPr>
          <w:rFonts w:eastAsia="Times New Roman" w:cs="B Nazanin"/>
          <w:sz w:val="26"/>
          <w:szCs w:val="26"/>
          <w:rtl w:val="true"/>
          <w:lang w:val="en-US" w:bidi="fa-IR"/>
        </w:rPr>
        <w:t>(</w:t>
      </w:r>
      <w:r>
        <w:rPr>
          <w:rFonts w:eastAsia="Times New Roman" w:cs="B Nazanin"/>
          <w:sz w:val="26"/>
          <w:szCs w:val="26"/>
          <w:lang w:val="en-US" w:bidi="fa-IR"/>
        </w:rPr>
        <w:t>M</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Δχ²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۲۴٫۶</w:t>
      </w:r>
      <w:r>
        <w:rPr>
          <w:rFonts w:ascii="Times New Roman" w:hAnsi="Times New Roman" w:eastAsia="Times New Roman"/>
          <w:sz w:val="26"/>
          <w:sz w:val="26"/>
          <w:szCs w:val="26"/>
          <w:rtl w:val="true"/>
          <w:lang w:val="en-US" w:bidi="fa-IR"/>
        </w:rPr>
        <w:t xml:space="preserve"> با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درجهٔ آزادی</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مدل بدون مسیر رفع تعهد </w:t>
      </w:r>
      <w:r>
        <w:rPr>
          <w:rFonts w:eastAsia="Times New Roman" w:cs="B Nazanin"/>
          <w:sz w:val="26"/>
          <w:szCs w:val="26"/>
          <w:rtl w:val="true"/>
          <w:lang w:val="en-US" w:bidi="fa-IR"/>
        </w:rPr>
        <w:t>(</w:t>
      </w:r>
      <w:r>
        <w:rPr>
          <w:rFonts w:eastAsia="Times New Roman" w:cs="B Nazanin"/>
          <w:sz w:val="26"/>
          <w:szCs w:val="26"/>
          <w:lang w:val="en-US" w:bidi="fa-IR"/>
        </w:rPr>
        <w:t>M</w:t>
      </w:r>
      <w:r>
        <w:rPr>
          <w:rFonts w:ascii="Times New Roman" w:hAnsi="Times New Roman" w:eastAsia="Times New Roman"/>
          <w:sz w:val="26"/>
          <w:sz w:val="26"/>
          <w:szCs w:val="26"/>
          <w:lang w:val="en-US" w:bidi="fa-IR"/>
        </w:rPr>
        <w:t>۴</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Δχ²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۵۴٫۹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مدل میانجی‌گری کامل </w:t>
      </w:r>
      <w:r>
        <w:rPr>
          <w:rFonts w:eastAsia="Times New Roman" w:cs="B Nazanin"/>
          <w:sz w:val="26"/>
          <w:szCs w:val="26"/>
          <w:rtl w:val="true"/>
          <w:lang w:val="en-US" w:bidi="fa-IR"/>
        </w:rPr>
        <w:t>(</w:t>
      </w:r>
      <w:r>
        <w:rPr>
          <w:rFonts w:eastAsia="Times New Roman" w:cs="B Nazanin"/>
          <w:sz w:val="26"/>
          <w:szCs w:val="26"/>
          <w:lang w:val="en-US" w:bidi="fa-IR"/>
        </w:rPr>
        <w:t>M</w:t>
      </w:r>
      <w:r>
        <w:rPr>
          <w:rFonts w:ascii="Times New Roman" w:hAnsi="Times New Roman" w:eastAsia="Times New Roman"/>
          <w:sz w:val="26"/>
          <w:sz w:val="26"/>
          <w:szCs w:val="26"/>
          <w:lang w:val="en-US" w:bidi="fa-IR"/>
        </w:rPr>
        <w:t>۳</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Δχ²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۹٫۰</w:t>
      </w:r>
      <w:r>
        <w:rPr>
          <w:rFonts w:ascii="Times New Roman" w:hAnsi="Times New Roman" w:eastAsia="Times New Roman"/>
          <w:sz w:val="26"/>
          <w:sz w:val="26"/>
          <w:szCs w:val="26"/>
          <w:rtl w:val="true"/>
          <w:lang w:val="en-US" w:bidi="fa-IR"/>
        </w:rPr>
        <w:t xml:space="preserve"> با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درجهٔ آزادی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برازش بهتری داشت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 معکوس </w:t>
      </w:r>
      <w:r>
        <w:rPr>
          <w:rFonts w:eastAsia="Times New Roman" w:cs="B Nazanin"/>
          <w:sz w:val="26"/>
          <w:szCs w:val="26"/>
          <w:rtl w:val="true"/>
          <w:lang w:val="en-US" w:bidi="fa-IR"/>
        </w:rPr>
        <w:t>(</w:t>
      </w:r>
      <w:r>
        <w:rPr>
          <w:rFonts w:eastAsia="Times New Roman" w:cs="B Nazanin"/>
          <w:sz w:val="26"/>
          <w:szCs w:val="26"/>
          <w:lang w:val="en-US" w:bidi="fa-IR"/>
        </w:rPr>
        <w:t>M</w:t>
      </w:r>
      <w:r>
        <w:rPr>
          <w:rFonts w:ascii="Times New Roman" w:hAnsi="Times New Roman" w:eastAsia="Times New Roman"/>
          <w:sz w:val="26"/>
          <w:sz w:val="26"/>
          <w:szCs w:val="26"/>
          <w:lang w:val="en-US" w:bidi="fa-IR"/>
        </w:rPr>
        <w:t>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که سکوت را پیش‌بین رفع تعهد می‌گیرد، برازشی تقریباً هم‌ارز نشان داد </w:t>
      </w:r>
      <w:r>
        <w:rPr>
          <w:rFonts w:eastAsia="Times New Roman" w:cs="B Nazanin"/>
          <w:sz w:val="26"/>
          <w:szCs w:val="26"/>
          <w:rtl w:val="true"/>
          <w:lang w:val="en-US" w:bidi="fa-IR"/>
        </w:rPr>
        <w:t>(</w:t>
      </w:r>
      <w:r>
        <w:rPr>
          <w:rFonts w:eastAsia="Times New Roman" w:cs="B Nazanin"/>
          <w:sz w:val="26"/>
          <w:szCs w:val="26"/>
          <w:lang w:val="en-US" w:bidi="fa-IR"/>
        </w:rPr>
        <w:t>Δχ²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۶٫۶</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این مقدار یادآور آن است که داده‌های مقطعی جهت علّی را تعیین نمی‌کنند و جهت پیشنهادی بر نظریه و ترتیب زمانی منطقی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فشار ← توجیه ← سکوت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استوار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هم‌چنین تفاوت معناداری میان مسیرهای حسابرسان رتبهٔ پایین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۲۳۰</w:t>
      </w:r>
      <w:r>
        <w:rPr>
          <w:rFonts w:ascii="Times New Roman" w:hAnsi="Times New Roman" w:eastAsia="Times New Roman"/>
          <w:sz w:val="26"/>
          <w:sz w:val="26"/>
          <w:szCs w:val="26"/>
          <w:rtl w:val="true"/>
          <w:lang w:val="en-US" w:bidi="fa-IR"/>
        </w:rPr>
        <w:t xml:space="preserve"> نفر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رتبهٔ بالا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۱۳۴</w:t>
      </w:r>
      <w:r>
        <w:rPr>
          <w:rFonts w:ascii="Times New Roman" w:hAnsi="Times New Roman" w:eastAsia="Times New Roman"/>
          <w:sz w:val="26"/>
          <w:sz w:val="26"/>
          <w:szCs w:val="26"/>
          <w:rtl w:val="true"/>
          <w:lang w:val="en-US" w:bidi="fa-IR"/>
        </w:rPr>
        <w:t xml:space="preserve"> نفر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یافت نشد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بیشینهٔ </w:t>
      </w:r>
      <w:r>
        <w:rPr>
          <w:rFonts w:eastAsia="Times New Roman" w:cs="B Nazanin"/>
          <w:sz w:val="26"/>
          <w:szCs w:val="26"/>
          <w:rtl w:val="true"/>
          <w:lang w:val="en-US" w:bidi="fa-IR"/>
        </w:rPr>
        <w:t>|</w:t>
      </w:r>
      <w:r>
        <w:rPr>
          <w:rFonts w:eastAsia="Times New Roman" w:cs="B Nazanin"/>
          <w:sz w:val="26"/>
          <w:szCs w:val="26"/>
          <w:lang w:val="en-US" w:bidi="fa-IR"/>
        </w:rPr>
        <w:t>Δz</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۱٫۴۹</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۶</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استواری ضرایب استاندارد </w:t>
      </w:r>
      <w:r>
        <w:rPr>
          <w:rFonts w:eastAsia="Times New Roman" w:cs="B Zar"/>
          <w:b/>
          <w:bCs/>
          <w:sz w:val="20"/>
          <w:szCs w:val="20"/>
          <w:rtl w:val="true"/>
          <w:lang w:val="en-US" w:bidi="fa-IR"/>
        </w:rPr>
        <w:t>(</w:t>
      </w:r>
      <w:r>
        <w:rPr>
          <w:rFonts w:eastAsia="Times New Roman" w:cs="B Zar"/>
          <w:b/>
          <w:bCs/>
          <w:sz w:val="20"/>
          <w:szCs w:val="20"/>
          <w:lang w:val="en-US" w:bidi="fa-IR"/>
        </w:rPr>
        <w:t>DWLS</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بدون اثر متقابل</w:t>
      </w:r>
      <w:r>
        <w:rPr>
          <w:rFonts w:eastAsia="Times New Roman" w:cs="B Zar"/>
          <w:b/>
          <w:bCs/>
          <w:sz w:val="20"/>
          <w:szCs w:val="20"/>
          <w:rtl w:val="true"/>
          <w:lang w:val="en-US" w:bidi="fa-IR"/>
        </w:rPr>
        <w:t>)</w:t>
      </w:r>
    </w:p>
    <w:tbl>
      <w:tblPr>
        <w:bidiVisual w:val="true"/>
        <w:tblW w:w="7700" w:type="dxa"/>
        <w:jc w:val="center"/>
        <w:tblInd w:w="0" w:type="dxa"/>
        <w:tblLayout w:type="fixed"/>
        <w:tblCellMar>
          <w:top w:w="0" w:type="dxa"/>
          <w:left w:w="60" w:type="dxa"/>
          <w:bottom w:w="0" w:type="dxa"/>
          <w:right w:w="60" w:type="dxa"/>
        </w:tblCellMar>
      </w:tblPr>
      <w:tblGrid>
        <w:gridCol w:w="2500"/>
        <w:gridCol w:w="800"/>
        <w:gridCol w:w="800"/>
        <w:gridCol w:w="1400"/>
        <w:gridCol w:w="1199"/>
        <w:gridCol w:w="1000"/>
      </w:tblGrid>
      <w:tr>
        <w:trPr/>
        <w:tc>
          <w:tcPr>
            <w:tcW w:w="25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مسیر</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مبنا</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DWLS</w:t>
            </w:r>
          </w:p>
        </w:tc>
        <w:tc>
          <w:tcPr>
            <w:tcW w:w="14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باقی‌مانده‌مرکزشده</w:t>
            </w:r>
          </w:p>
        </w:tc>
        <w:tc>
          <w:tcPr>
            <w:tcW w:w="11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بازمشخص‌شده</w:t>
            </w:r>
          </w:p>
        </w:tc>
        <w:tc>
          <w:tcPr>
            <w:tcW w:w="10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 xml:space="preserve">حذف </w:t>
            </w:r>
            <w:r>
              <w:rPr>
                <w:rFonts w:ascii="Times New Roman" w:hAnsi="Times New Roman" w:eastAsia="Times New Roman"/>
                <w:b/>
                <w:b/>
                <w:bCs/>
                <w:sz w:val="20"/>
                <w:sz w:val="20"/>
                <w:szCs w:val="20"/>
                <w:lang w:val="en-US" w:bidi="fa-IR"/>
              </w:rPr>
              <w:t>۵</w:t>
            </w:r>
            <w:r>
              <w:rPr>
                <w:rFonts w:ascii="Times New Roman" w:hAnsi="Times New Roman" w:eastAsia="Times New Roman"/>
                <w:b/>
                <w:b/>
                <w:bCs/>
                <w:sz w:val="20"/>
                <w:sz w:val="20"/>
                <w:szCs w:val="20"/>
                <w:rtl w:val="true"/>
                <w:lang w:val="en-US" w:bidi="fa-IR"/>
              </w:rPr>
              <w:t xml:space="preserve"> درصد</w:t>
            </w:r>
          </w:p>
        </w:tc>
      </w:tr>
      <w:tr>
        <w:trPr>
          <w:cantSplit w:val="true"/>
        </w:trPr>
        <w:tc>
          <w:tcPr>
            <w:tcW w:w="25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زمانی ← رفع تعهد</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۰٫۵۲</w:t>
            </w:r>
          </w:p>
        </w:tc>
        <w:tc>
          <w:tcPr>
            <w:tcW w:w="14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۰٫۵۳</w:t>
            </w:r>
          </w:p>
        </w:tc>
        <w:tc>
          <w:tcPr>
            <w:tcW w:w="11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۰٫۵۶</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۰٫۵۳</w:t>
            </w:r>
          </w:p>
        </w:tc>
      </w:tr>
      <w:tr>
        <w:trPr>
          <w:cantSplit w:val="true"/>
        </w:trPr>
        <w:tc>
          <w:tcPr>
            <w:tcW w:w="25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جو اخلاقی ← رفع تعهد</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۰٫۲۳‎</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۰٫۲۵‎</w:t>
            </w:r>
          </w:p>
        </w:tc>
        <w:tc>
          <w:tcPr>
            <w:tcW w:w="14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۰٫۲۴‎</w:t>
            </w:r>
          </w:p>
        </w:tc>
        <w:tc>
          <w:tcPr>
            <w:tcW w:w="11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۰٫۲۳‎</w:t>
            </w:r>
          </w:p>
        </w:tc>
        <w:tc>
          <w:tcPr>
            <w:tcW w:w="10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۰٫۲۴‎</w:t>
            </w:r>
          </w:p>
        </w:tc>
      </w:tr>
      <w:tr>
        <w:trPr>
          <w:cantSplit w:val="true"/>
        </w:trPr>
        <w:tc>
          <w:tcPr>
            <w:tcW w:w="25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رفع تعهد ← سکوت</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۰٫۴۳</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۰٫۴۶</w:t>
            </w:r>
          </w:p>
        </w:tc>
        <w:tc>
          <w:tcPr>
            <w:tcW w:w="14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۰٫۴۶</w:t>
            </w:r>
          </w:p>
        </w:tc>
        <w:tc>
          <w:tcPr>
            <w:tcW w:w="11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۰٫۴۴</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۰٫۴۶</w:t>
            </w:r>
          </w:p>
        </w:tc>
      </w:tr>
      <w:tr>
        <w:trPr>
          <w:cantSplit w:val="true"/>
        </w:trPr>
        <w:tc>
          <w:tcPr>
            <w:tcW w:w="25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جو اخلاقی ← سکوت</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۰٫۱۴‎</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۰٫۱۲‎</w:t>
            </w:r>
          </w:p>
        </w:tc>
        <w:tc>
          <w:tcPr>
            <w:tcW w:w="14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۰٫۱۴‎</w:t>
            </w:r>
          </w:p>
        </w:tc>
        <w:tc>
          <w:tcPr>
            <w:tcW w:w="11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۰٫۱۴‎</w:t>
            </w:r>
          </w:p>
        </w:tc>
        <w:tc>
          <w:tcPr>
            <w:tcW w:w="10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۰٫۱۲‎</w:t>
            </w:r>
          </w:p>
        </w:tc>
      </w:tr>
      <w:tr>
        <w:trPr>
          <w:cantSplit w:val="true"/>
        </w:trPr>
        <w:tc>
          <w:tcPr>
            <w:tcW w:w="25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وجدان ← رفع تعهد</w:t>
            </w:r>
          </w:p>
        </w:tc>
        <w:tc>
          <w:tcPr>
            <w:tcW w:w="8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۰٫۲۰‎</w:t>
            </w:r>
          </w:p>
        </w:tc>
        <w:tc>
          <w:tcPr>
            <w:tcW w:w="8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p>
        </w:tc>
        <w:tc>
          <w:tcPr>
            <w:tcW w:w="14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۰٫۰۳‎</w:t>
            </w:r>
          </w:p>
        </w:tc>
        <w:tc>
          <w:tcPr>
            <w:tcW w:w="1199"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۰٫۲۰‎</w:t>
            </w:r>
          </w:p>
        </w:tc>
        <w:tc>
          <w:tcPr>
            <w:tcW w:w="10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۰٫۲۱‎</w:t>
            </w:r>
          </w:p>
        </w:tc>
      </w:tr>
      <w:tr>
        <w:trPr>
          <w:cantSplit w:val="true"/>
        </w:trPr>
        <w:tc>
          <w:tcPr>
            <w:tcW w:w="25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رفع تعهد </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وجدان ← سکوت</w:t>
            </w:r>
          </w:p>
        </w:tc>
        <w:tc>
          <w:tcPr>
            <w:tcW w:w="8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۰٫۱۹‎</w:t>
            </w:r>
          </w:p>
        </w:tc>
        <w:tc>
          <w:tcPr>
            <w:tcW w:w="8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p>
        </w:tc>
        <w:tc>
          <w:tcPr>
            <w:tcW w:w="14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۰٫۲۱‎</w:t>
            </w:r>
          </w:p>
        </w:tc>
        <w:tc>
          <w:tcPr>
            <w:tcW w:w="11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۰٫۱۸‎</w:t>
            </w:r>
          </w:p>
        </w:tc>
        <w:tc>
          <w:tcPr>
            <w:tcW w:w="10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۰٫۱۶‎</w:t>
            </w:r>
          </w:p>
        </w:tc>
      </w:tr>
    </w:tbl>
    <w:p>
      <w:pPr>
        <w:pStyle w:val="Normal"/>
        <w:bidi w:val="1"/>
        <w:spacing w:lineRule="auto" w:line="240" w:before="0" w:after="100"/>
        <w:ind w:firstLine="360"/>
        <w:jc w:val="both"/>
        <w:rPr/>
      </w:pPr>
      <w:r>
        <w:rPr>
          <w:rtl w:val="true"/>
        </w:rPr>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نتایج در برآورد </w:t>
      </w:r>
      <w:r>
        <w:rPr>
          <w:rFonts w:eastAsia="Times New Roman" w:cs="B Nazanin"/>
          <w:sz w:val="26"/>
          <w:szCs w:val="26"/>
          <w:lang w:val="en-US" w:bidi="fa-IR"/>
        </w:rPr>
        <w:t>DWLS</w:t>
      </w:r>
      <w:r>
        <w:rPr>
          <w:rFonts w:ascii="Times New Roman" w:hAnsi="Times New Roman" w:eastAsia="Times New Roman"/>
          <w:sz w:val="26"/>
          <w:sz w:val="26"/>
          <w:szCs w:val="26"/>
          <w:rtl w:val="true"/>
          <w:lang w:val="en-US" w:bidi="fa-IR"/>
        </w:rPr>
        <w:t xml:space="preserve">، شاخص‌های باقی‌مانده‌مرکزشده </w:t>
      </w:r>
      <w:r>
        <w:rPr>
          <w:rFonts w:eastAsia="Times New Roman" w:cs="B Nazanin"/>
          <w:sz w:val="26"/>
          <w:szCs w:val="26"/>
          <w:rtl w:val="true"/>
          <w:lang w:val="en-US" w:bidi="fa-IR"/>
        </w:rPr>
        <w:t>(</w:t>
      </w:r>
      <w:r>
        <w:rPr>
          <w:rFonts w:eastAsia="Times New Roman" w:cs="B Nazanin"/>
          <w:sz w:val="26"/>
          <w:szCs w:val="26"/>
          <w:lang w:val="en-US" w:bidi="fa-IR"/>
        </w:rPr>
        <w:t>CFI</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۰٫۹۸۹</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مدل بازمشخص‌شده با چهار همبستگی خطا </w:t>
      </w:r>
      <w:r>
        <w:rPr>
          <w:rFonts w:eastAsia="Times New Roman" w:cs="B Nazanin"/>
          <w:sz w:val="26"/>
          <w:szCs w:val="26"/>
          <w:rtl w:val="true"/>
          <w:lang w:val="en-US" w:bidi="fa-IR"/>
        </w:rPr>
        <w:t>(</w:t>
      </w:r>
      <w:r>
        <w:rPr>
          <w:rFonts w:eastAsia="Times New Roman" w:cs="B Nazanin"/>
          <w:sz w:val="26"/>
          <w:szCs w:val="26"/>
          <w:lang w:val="en-US" w:bidi="fa-IR"/>
        </w:rPr>
        <w:t>CFI</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۰٫۹۷۲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پس از حذف </w:t>
      </w:r>
      <w:r>
        <w:rPr>
          <w:rFonts w:ascii="Times New Roman" w:hAnsi="Times New Roman" w:eastAsia="Times New Roman"/>
          <w:sz w:val="26"/>
          <w:sz w:val="26"/>
          <w:szCs w:val="26"/>
          <w:lang w:val="en-US" w:bidi="fa-IR"/>
        </w:rPr>
        <w:t>۱۹</w:t>
      </w:r>
      <w:r>
        <w:rPr>
          <w:rFonts w:ascii="Times New Roman" w:hAnsi="Times New Roman" w:eastAsia="Times New Roman"/>
          <w:sz w:val="26"/>
          <w:sz w:val="26"/>
          <w:szCs w:val="26"/>
          <w:rtl w:val="true"/>
          <w:lang w:val="en-US" w:bidi="fa-IR"/>
        </w:rPr>
        <w:t xml:space="preserve"> مشاهدهٔ دورافتاده از نظر جهت و اندازه پایدار ماند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۶</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۷</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خلاصهٔ فرضیه‌ها و نتایج</w:t>
      </w:r>
    </w:p>
    <w:tbl>
      <w:tblPr>
        <w:bidiVisual w:val="true"/>
        <w:tblW w:w="7900" w:type="dxa"/>
        <w:jc w:val="center"/>
        <w:tblInd w:w="0" w:type="dxa"/>
        <w:tblLayout w:type="fixed"/>
        <w:tblCellMar>
          <w:top w:w="0" w:type="dxa"/>
          <w:left w:w="60" w:type="dxa"/>
          <w:bottom w:w="0" w:type="dxa"/>
          <w:right w:w="60" w:type="dxa"/>
        </w:tblCellMar>
      </w:tblPr>
      <w:tblGrid>
        <w:gridCol w:w="899"/>
        <w:gridCol w:w="3300"/>
        <w:gridCol w:w="1300"/>
        <w:gridCol w:w="1501"/>
        <w:gridCol w:w="900"/>
      </w:tblGrid>
      <w:tr>
        <w:trPr>
          <w:tblHeader w:val="true"/>
        </w:trPr>
        <w:tc>
          <w:tcPr>
            <w:tcW w:w="8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فرضیه</w:t>
            </w:r>
          </w:p>
        </w:tc>
        <w:tc>
          <w:tcPr>
            <w:tcW w:w="33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رابطه</w:t>
            </w:r>
          </w:p>
        </w:tc>
        <w:tc>
          <w:tcPr>
            <w:tcW w:w="13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β</w:t>
            </w:r>
            <w:r>
              <w:rPr>
                <w:rFonts w:eastAsia="Times New Roman" w:cs="B Nazanin"/>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یا اثر</w:t>
            </w:r>
          </w:p>
        </w:tc>
        <w:tc>
          <w:tcPr>
            <w:tcW w:w="15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p</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نتیجه</w:t>
            </w:r>
          </w:p>
        </w:tc>
      </w:tr>
      <w:tr>
        <w:trPr>
          <w:cantSplit w:val="true"/>
        </w:trPr>
        <w:tc>
          <w:tcPr>
            <w:tcW w:w="8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w:t>
            </w:r>
          </w:p>
        </w:tc>
        <w:tc>
          <w:tcPr>
            <w:tcW w:w="3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زمانی ← رفع تعهد </w:t>
            </w:r>
            <w:r>
              <w:rPr>
                <w:rFonts w:eastAsia="Times New Roman" w:cs="B Nazanin"/>
                <w:sz w:val="20"/>
                <w:szCs w:val="20"/>
                <w:rtl w:val="true"/>
                <w:lang w:val="en-US" w:bidi="fa-IR"/>
              </w:rPr>
              <w:t>(+)</w:t>
            </w:r>
          </w:p>
        </w:tc>
        <w:tc>
          <w:tcPr>
            <w:tcW w:w="1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۰٫۵۴</w:t>
            </w:r>
          </w:p>
        </w:tc>
        <w:tc>
          <w:tcPr>
            <w:tcW w:w="1501"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8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۲</w:t>
            </w:r>
          </w:p>
        </w:tc>
        <w:tc>
          <w:tcPr>
            <w:tcW w:w="3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جو اخلاقی ← رفع تعهد </w:t>
            </w:r>
            <w:r>
              <w:rPr>
                <w:rFonts w:eastAsia="Times New Roman" w:cs="B Nazanin"/>
                <w:sz w:val="20"/>
                <w:szCs w:val="20"/>
                <w:rtl w:val="true"/>
                <w:lang w:val="en-US" w:bidi="fa-IR"/>
              </w:rPr>
              <w:t>(−)</w:t>
            </w:r>
          </w:p>
        </w:tc>
        <w:tc>
          <w:tcPr>
            <w:tcW w:w="13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۰٫۲۳‎</w:t>
            </w:r>
          </w:p>
        </w:tc>
        <w:tc>
          <w:tcPr>
            <w:tcW w:w="1501"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8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۳</w:t>
            </w:r>
          </w:p>
        </w:tc>
        <w:tc>
          <w:tcPr>
            <w:tcW w:w="3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رفع تعهد ← سکوت </w:t>
            </w:r>
            <w:r>
              <w:rPr>
                <w:rFonts w:eastAsia="Times New Roman" w:cs="B Nazanin"/>
                <w:sz w:val="20"/>
                <w:szCs w:val="20"/>
                <w:rtl w:val="true"/>
                <w:lang w:val="en-US" w:bidi="fa-IR"/>
              </w:rPr>
              <w:t>(+)</w:t>
            </w:r>
          </w:p>
        </w:tc>
        <w:tc>
          <w:tcPr>
            <w:tcW w:w="1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۰٫۴۳</w:t>
            </w:r>
          </w:p>
        </w:tc>
        <w:tc>
          <w:tcPr>
            <w:tcW w:w="1501"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8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3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جو اخلاقی ← سکوت </w:t>
            </w:r>
            <w:r>
              <w:rPr>
                <w:rFonts w:eastAsia="Times New Roman" w:cs="B Nazanin"/>
                <w:sz w:val="20"/>
                <w:szCs w:val="20"/>
                <w:rtl w:val="true"/>
                <w:lang w:val="en-US" w:bidi="fa-IR"/>
              </w:rPr>
              <w:t>(−)</w:t>
            </w:r>
          </w:p>
        </w:tc>
        <w:tc>
          <w:tcPr>
            <w:tcW w:w="13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۰٫۱۴‎</w:t>
            </w:r>
          </w:p>
        </w:tc>
        <w:tc>
          <w:tcPr>
            <w:tcW w:w="1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۰٫۰۱۲</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8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۶</w:t>
            </w:r>
          </w:p>
        </w:tc>
        <w:tc>
          <w:tcPr>
            <w:tcW w:w="3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وجدان </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فشار زمانی ← رفع تعهد </w:t>
            </w:r>
            <w:r>
              <w:rPr>
                <w:rFonts w:eastAsia="Times New Roman" w:cs="B Nazanin"/>
                <w:sz w:val="20"/>
                <w:szCs w:val="20"/>
                <w:rtl w:val="true"/>
                <w:lang w:val="en-US" w:bidi="fa-IR"/>
              </w:rPr>
              <w:t>(−)</w:t>
            </w:r>
          </w:p>
        </w:tc>
        <w:tc>
          <w:tcPr>
            <w:tcW w:w="13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۰٫۲۰‎</w:t>
            </w:r>
          </w:p>
        </w:tc>
        <w:tc>
          <w:tcPr>
            <w:tcW w:w="1501"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8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۷</w:t>
            </w:r>
          </w:p>
        </w:tc>
        <w:tc>
          <w:tcPr>
            <w:tcW w:w="3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وجدان </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رفع تعهد ← سکوت </w:t>
            </w:r>
            <w:r>
              <w:rPr>
                <w:rFonts w:eastAsia="Times New Roman" w:cs="B Nazanin"/>
                <w:sz w:val="20"/>
                <w:szCs w:val="20"/>
                <w:rtl w:val="true"/>
                <w:lang w:val="en-US" w:bidi="fa-IR"/>
              </w:rPr>
              <w:t>(−)</w:t>
            </w:r>
          </w:p>
        </w:tc>
        <w:tc>
          <w:tcPr>
            <w:tcW w:w="1300" w:type="dxa"/>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۰٫۱۹‎</w:t>
            </w:r>
          </w:p>
        </w:tc>
        <w:tc>
          <w:tcPr>
            <w:tcW w:w="1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8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w:t>
            </w:r>
          </w:p>
        </w:tc>
        <w:tc>
          <w:tcPr>
            <w:tcW w:w="3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میانجی‌گری رفع تعهد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فشار زمانی و جو اخلاقی ← سکوت</w:t>
            </w:r>
            <w:r>
              <w:rPr>
                <w:rFonts w:eastAsia="Times New Roman" w:cs="B Nazanin"/>
                <w:sz w:val="20"/>
                <w:szCs w:val="20"/>
                <w:rtl w:val="true"/>
                <w:lang w:val="en-US" w:bidi="fa-IR"/>
              </w:rPr>
              <w:t>)</w:t>
            </w:r>
          </w:p>
        </w:tc>
        <w:tc>
          <w:tcPr>
            <w:tcW w:w="1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۰٫۲۵</w:t>
            </w:r>
            <w:r>
              <w:rPr>
                <w:rFonts w:ascii="Times New Roman" w:hAnsi="Times New Roman" w:eastAsia="Times New Roman"/>
                <w:sz w:val="20"/>
                <w:sz w:val="20"/>
                <w:szCs w:val="20"/>
                <w:rtl w:val="true"/>
                <w:lang w:val="en-US" w:bidi="fa-IR"/>
              </w:rPr>
              <w:t xml:space="preserve"> و </w:t>
            </w:r>
            <w:r>
              <w:rPr>
                <w:rFonts w:ascii="Times New Roman" w:hAnsi="Times New Roman" w:eastAsia="Times New Roman"/>
                <w:sz w:val="20"/>
                <w:sz w:val="20"/>
                <w:szCs w:val="20"/>
                <w:lang w:val="en-US" w:bidi="fa-IR"/>
              </w:rPr>
              <w:t>‎−۰٫۱۰‎</w:t>
            </w:r>
          </w:p>
        </w:tc>
        <w:tc>
          <w:tcPr>
            <w:tcW w:w="1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فاصلهٔ اطمینان بدون صفر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8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۸</w:t>
            </w:r>
          </w:p>
        </w:tc>
        <w:tc>
          <w:tcPr>
            <w:tcW w:w="33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میانجی‌گری تعدیل‌شده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وجدان</w:t>
            </w:r>
            <w:r>
              <w:rPr>
                <w:rFonts w:eastAsia="Times New Roman" w:cs="B Nazanin"/>
                <w:sz w:val="20"/>
                <w:szCs w:val="20"/>
                <w:rtl w:val="true"/>
                <w:lang w:val="en-US" w:bidi="fa-IR"/>
              </w:rPr>
              <w:t>)</w:t>
            </w:r>
          </w:p>
        </w:tc>
        <w:tc>
          <w:tcPr>
            <w:tcW w:w="13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w:t>
            </w:r>
            <w:r>
              <w:rPr>
                <w:rFonts w:ascii="Times New Roman" w:hAnsi="Times New Roman" w:eastAsia="Times New Roman"/>
                <w:sz w:val="20"/>
                <w:sz w:val="20"/>
                <w:szCs w:val="20"/>
                <w:lang w:val="en-US" w:bidi="fa-IR"/>
              </w:rPr>
              <w:t>۰٫۱۸۳‎</w:t>
            </w:r>
          </w:p>
        </w:tc>
        <w:tc>
          <w:tcPr>
            <w:tcW w:w="15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فاصلهٔ اطمینان بدون صفر</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bl>
    <w:p>
      <w:pPr>
        <w:pStyle w:val="Normal"/>
        <w:bidi w:val="1"/>
        <w:spacing w:lineRule="auto" w:line="240" w:before="0" w:after="100"/>
        <w:ind w:firstLine="360"/>
        <w:jc w:val="both"/>
        <w:rPr/>
      </w:pPr>
      <w:r>
        <w:rPr>
          <w:rtl w:val="true"/>
        </w:rPr>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 xml:space="preserve">از نظر اندازه، افزایش یک انحراف معیار در فشار بودجهٔ زمانی رفع تعهد اخلاقی را حدود </w:t>
      </w:r>
      <w:r>
        <w:rPr>
          <w:rFonts w:ascii="Times New Roman" w:hAnsi="Times New Roman" w:eastAsia="Times New Roman"/>
          <w:sz w:val="26"/>
          <w:sz w:val="26"/>
          <w:szCs w:val="26"/>
          <w:lang w:val="en-US" w:bidi="fa-IR"/>
        </w:rPr>
        <w:t>۰٫۵۴</w:t>
      </w:r>
      <w:r>
        <w:rPr>
          <w:rFonts w:ascii="Times New Roman" w:hAnsi="Times New Roman" w:eastAsia="Times New Roman"/>
          <w:sz w:val="26"/>
          <w:sz w:val="26"/>
          <w:szCs w:val="26"/>
          <w:rtl w:val="true"/>
          <w:lang w:val="en-US" w:bidi="fa-IR"/>
        </w:rPr>
        <w:t xml:space="preserve"> انحراف معیار بالا می‌برد و هر انحراف معیار رفع تعهد، سکوت را حدود </w:t>
      </w:r>
      <w:r>
        <w:rPr>
          <w:rFonts w:ascii="Times New Roman" w:hAnsi="Times New Roman" w:eastAsia="Times New Roman"/>
          <w:sz w:val="26"/>
          <w:sz w:val="26"/>
          <w:szCs w:val="26"/>
          <w:lang w:val="en-US" w:bidi="fa-IR"/>
        </w:rPr>
        <w:t>۰٫۴۳</w:t>
      </w:r>
      <w:r>
        <w:rPr>
          <w:rFonts w:ascii="Times New Roman" w:hAnsi="Times New Roman" w:eastAsia="Times New Roman"/>
          <w:sz w:val="26"/>
          <w:sz w:val="26"/>
          <w:szCs w:val="26"/>
          <w:rtl w:val="true"/>
          <w:lang w:val="en-US" w:bidi="fa-IR"/>
        </w:rPr>
        <w:t xml:space="preserve"> انحراف معیار افزایش می‌دهد؛ این اندازه‌ها در پژوهش‌های رفتاری متوسط تا بزرگ تلقی می‌شوند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 جمعاً </w:t>
      </w:r>
      <w:r>
        <w:rPr>
          <w:rFonts w:ascii="Times New Roman" w:hAnsi="Times New Roman" w:eastAsia="Times New Roman"/>
          <w:sz w:val="26"/>
          <w:sz w:val="26"/>
          <w:szCs w:val="26"/>
          <w:lang w:val="en-US" w:bidi="fa-IR"/>
        </w:rPr>
        <w:t>۴۶</w:t>
      </w:r>
      <w:r>
        <w:rPr>
          <w:rFonts w:ascii="Times New Roman" w:hAnsi="Times New Roman" w:eastAsia="Times New Roman"/>
          <w:sz w:val="26"/>
          <w:sz w:val="26"/>
          <w:szCs w:val="26"/>
          <w:rtl w:val="true"/>
          <w:lang w:val="en-US" w:bidi="fa-IR"/>
        </w:rPr>
        <w:t xml:space="preserve"> درصد از واریانس سکوت و </w:t>
      </w:r>
      <w:r>
        <w:rPr>
          <w:rFonts w:ascii="Times New Roman" w:hAnsi="Times New Roman" w:eastAsia="Times New Roman"/>
          <w:sz w:val="26"/>
          <w:sz w:val="26"/>
          <w:szCs w:val="26"/>
          <w:lang w:val="en-US" w:bidi="fa-IR"/>
        </w:rPr>
        <w:t>۴۵</w:t>
      </w:r>
      <w:r>
        <w:rPr>
          <w:rFonts w:ascii="Times New Roman" w:hAnsi="Times New Roman" w:eastAsia="Times New Roman"/>
          <w:sz w:val="26"/>
          <w:sz w:val="26"/>
          <w:szCs w:val="26"/>
          <w:rtl w:val="true"/>
          <w:lang w:val="en-US" w:bidi="fa-IR"/>
        </w:rPr>
        <w:t xml:space="preserve"> درصد از واریانس رفع تعهد را تبیین کرد</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۸</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راهنمای عملی برای مؤسسات حسابرسی</w:t>
      </w:r>
    </w:p>
    <w:tbl>
      <w:tblPr>
        <w:bidiVisual w:val="true"/>
        <w:tblW w:w="7800" w:type="dxa"/>
        <w:jc w:val="center"/>
        <w:tblInd w:w="0" w:type="dxa"/>
        <w:tblLayout w:type="fixed"/>
        <w:tblCellMar>
          <w:top w:w="0" w:type="dxa"/>
          <w:left w:w="60" w:type="dxa"/>
          <w:bottom w:w="0" w:type="dxa"/>
          <w:right w:w="60" w:type="dxa"/>
        </w:tblCellMar>
      </w:tblPr>
      <w:tblGrid>
        <w:gridCol w:w="1499"/>
        <w:gridCol w:w="2000"/>
        <w:gridCol w:w="2801"/>
        <w:gridCol w:w="1499"/>
      </w:tblGrid>
      <w:tr>
        <w:trPr>
          <w:tblHeader w:val="true"/>
        </w:trPr>
        <w:tc>
          <w:tcPr>
            <w:tcW w:w="1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عامل</w:t>
            </w:r>
          </w:p>
        </w:tc>
        <w:tc>
          <w:tcPr>
            <w:tcW w:w="20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نقش در زنجیره</w:t>
            </w:r>
          </w:p>
        </w:tc>
        <w:tc>
          <w:tcPr>
            <w:tcW w:w="28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اقدام پیشنهادی</w:t>
            </w:r>
          </w:p>
        </w:tc>
        <w:tc>
          <w:tcPr>
            <w:tcW w:w="1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مسئول</w:t>
            </w:r>
          </w:p>
        </w:tc>
      </w:tr>
      <w:tr>
        <w:trPr>
          <w:cantSplit w:val="true"/>
        </w:trPr>
        <w:tc>
          <w:tcPr>
            <w:tcW w:w="1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بودجهٔ زمانی</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تبدیل شدن به توجیه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وقت نیست</w:t>
            </w:r>
            <w:r>
              <w:rPr>
                <w:rFonts w:eastAsia="Times New Roman" w:cs="B Nazanin"/>
                <w:sz w:val="20"/>
                <w:szCs w:val="20"/>
                <w:rtl w:val="true"/>
                <w:lang w:val="en-US" w:bidi="fa-IR"/>
              </w:rPr>
              <w:t>»)</w:t>
            </w:r>
          </w:p>
        </w:tc>
        <w:tc>
          <w:tcPr>
            <w:tcW w:w="2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زمان حفاظت‌شده برای یافته‌های غیرمعمول؛ بودجه‌بندی واقع‌بینانه</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سرپرست و مدیر مؤسسه</w:t>
            </w:r>
          </w:p>
        </w:tc>
      </w:tr>
      <w:tr>
        <w:trPr>
          <w:cantSplit w:val="true"/>
        </w:trPr>
        <w:tc>
          <w:tcPr>
            <w:tcW w:w="1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رفع تعهد اخلاقی</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قوی‌ترین پیش‌بین سکوت</w:t>
            </w:r>
          </w:p>
        </w:tc>
        <w:tc>
          <w:tcPr>
            <w:tcW w:w="2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آموزش شناخت سازوکارهای توجیه؛ مرور موردهای واقعی با نقش‌آفرینی</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واحد آموزش و کنترل کیفیت</w:t>
            </w:r>
          </w:p>
        </w:tc>
      </w:tr>
      <w:tr>
        <w:trPr>
          <w:cantSplit w:val="true"/>
        </w:trPr>
        <w:tc>
          <w:tcPr>
            <w:tcW w:w="1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جو اخلاقی</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کاهش توجیه و سکوت </w:t>
            </w:r>
            <w:r>
              <w:rPr>
                <w:rFonts w:eastAsia="Times New Roman" w:cs="B Nazanin"/>
                <w:sz w:val="20"/>
                <w:szCs w:val="20"/>
                <w:rtl w:val="true"/>
                <w:lang w:val="en-US" w:bidi="fa-IR"/>
              </w:rPr>
              <w:t>(</w:t>
            </w:r>
            <w:r>
              <w:rPr>
                <w:rFonts w:ascii="Times New Roman" w:hAnsi="Times New Roman" w:eastAsia="Times New Roman"/>
                <w:sz w:val="20"/>
                <w:sz w:val="20"/>
                <w:szCs w:val="20"/>
                <w:rtl w:val="true"/>
                <w:lang w:val="en-US" w:bidi="fa-IR"/>
              </w:rPr>
              <w:t>هم‌زمان</w:t>
            </w:r>
            <w:r>
              <w:rPr>
                <w:rFonts w:eastAsia="Times New Roman" w:cs="B Nazanin"/>
                <w:sz w:val="20"/>
                <w:szCs w:val="20"/>
                <w:rtl w:val="true"/>
                <w:lang w:val="en-US" w:bidi="fa-IR"/>
              </w:rPr>
              <w:t>)</w:t>
            </w:r>
          </w:p>
        </w:tc>
        <w:tc>
          <w:tcPr>
            <w:tcW w:w="2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الگوی رفتاری مدیران ارشد؛ حمایت از طرح‌کنندگان نگرانی</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شرکا و هیئت‌مدیره</w:t>
            </w:r>
          </w:p>
        </w:tc>
      </w:tr>
      <w:tr>
        <w:trPr>
          <w:cantSplit w:val="true"/>
        </w:trPr>
        <w:tc>
          <w:tcPr>
            <w:tcW w:w="1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وجدان حرفه‌ای</w:t>
            </w:r>
          </w:p>
        </w:tc>
        <w:tc>
          <w:tcPr>
            <w:tcW w:w="2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تضعیف هر دو حلقهٔ زنجیره</w:t>
            </w:r>
          </w:p>
        </w:tc>
        <w:tc>
          <w:tcPr>
            <w:tcW w:w="28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گزینش و ارزیابی بر پایهٔ ارزش‌های حرفه‌ای؛ آموزش امانت‌داری و پاسخگویی</w:t>
            </w:r>
          </w:p>
        </w:tc>
        <w:tc>
          <w:tcPr>
            <w:tcW w:w="1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منابع انسانی و جامعهٔ حرفه‌ای</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بحث و نتیجه‌گیری</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یافته‌ها تصویر ساده‌ای ارائه می‌دهد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سکوت حسابرس در این نمونه کمتر نتیجهٔ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تصمیم به پنهان‌کاری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بیشتر پایانهٔ یک زنجیرهٔ توجیه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فشار زمانی از راه رفع تعهد اخلاقی به سکوت می‌رسد، یعنی فشار نخست نگاه حسابرس به موضوع را تغییر می‌دهد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مسئلهٔ کوچکی است</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مسئولیت با مدیر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سپس سکوت طبیعی به نظر می‌آید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یافته با نظریهٔ ریزش اخلاقی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تنبرانسل و مسیک، </w:t>
      </w:r>
      <w:r>
        <w:rPr>
          <w:rFonts w:ascii="Times New Roman" w:hAnsi="Times New Roman" w:eastAsia="Times New Roman"/>
          <w:sz w:val="26"/>
          <w:sz w:val="26"/>
          <w:szCs w:val="26"/>
          <w:lang w:val="en-US" w:bidi="fa-IR"/>
        </w:rPr>
        <w:t>۲۰۰۴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رفع تعهد اخلاقی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بندورا، </w:t>
      </w:r>
      <w:r>
        <w:rPr>
          <w:rFonts w:ascii="Times New Roman" w:hAnsi="Times New Roman" w:eastAsia="Times New Roman"/>
          <w:sz w:val="26"/>
          <w:sz w:val="26"/>
          <w:szCs w:val="26"/>
          <w:lang w:val="en-US" w:bidi="fa-IR"/>
        </w:rPr>
        <w:t>۱۹۹۹</w:t>
      </w:r>
      <w:r>
        <w:rPr>
          <w:rFonts w:ascii="Times New Roman" w:hAnsi="Times New Roman" w:eastAsia="Times New Roman"/>
          <w:sz w:val="26"/>
          <w:sz w:val="26"/>
          <w:szCs w:val="26"/>
          <w:rtl w:val="true"/>
          <w:lang w:val="en-US" w:bidi="fa-IR"/>
        </w:rPr>
        <w:t xml:space="preserve">؛ مور و همکاران، </w:t>
      </w:r>
      <w:r>
        <w:rPr>
          <w:rFonts w:ascii="Times New Roman" w:hAnsi="Times New Roman" w:eastAsia="Times New Roman"/>
          <w:sz w:val="26"/>
          <w:sz w:val="26"/>
          <w:szCs w:val="26"/>
          <w:lang w:val="en-US" w:bidi="fa-IR"/>
        </w:rPr>
        <w:t>۲۰۱۲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هم‌خوان است و نشان می‌دهد کاهش سکوت صرفاً با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تشویق به افشاگری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ممکن نیست؛ باید توجیه‌سازی را هدف گرفت</w:t>
      </w:r>
      <w:r>
        <w:rPr>
          <w:rFonts w:eastAsia="Times New Roman" w:cs="B Nazanin"/>
          <w:sz w:val="26"/>
          <w:szCs w:val="26"/>
          <w:rtl w:val="true"/>
          <w:lang w:val="en-US" w:bidi="fa-IR"/>
        </w:rPr>
        <w:t>.</w:t>
      </w:r>
    </w:p>
    <w:p>
      <w:pPr>
        <w:pStyle w:val="Normal"/>
        <w:bidi w:val="1"/>
        <w:spacing w:lineRule="auto" w:line="240" w:before="0" w:after="60"/>
        <w:ind w:firstLine="360"/>
        <w:jc w:val="both"/>
        <w:rPr/>
      </w:pPr>
      <w:r>
        <w:rPr>
          <w:rFonts w:ascii="Times New Roman" w:hAnsi="Times New Roman" w:eastAsia="Times New Roman"/>
          <w:sz w:val="26"/>
          <w:sz w:val="26"/>
          <w:szCs w:val="26"/>
          <w:rtl w:val="true"/>
          <w:lang w:val="en-US" w:bidi="fa-IR"/>
        </w:rPr>
        <w:t>دومین یافته نقش دو‌گانهٔ جو اخلاقی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هم توجیه‌سازی را کاهش می‌دهد و هم مستقیماً از سکوت می‌کاهد؛ یعنی مؤسسه‌ای که طرح نگرانی را امن می‌کند، دو سنگر را هم‌زمان تقویت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سوم، وجدان حرفه‌ای در هر دو حلقهٔ زنجیره عمل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هم فشار را کمتر به توجیه تبدیل می‌کند و هم توجیه را کمتر به سکوت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تعبیر عملی آن است که ارزش‌های اخلاقی درونی‌شده،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مصونیتی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برابر فشار ایجاد می‌کنند، اما این مصونیت کامل نیست و نباید جایگزین اصلاح ساختار کار و جو سازمانی شود</w:t>
      </w:r>
      <w:r>
        <w:rPr>
          <w:rFonts w:eastAsia="Times New Roman" w:cs="B Nazanin"/>
          <w:sz w:val="26"/>
          <w:szCs w:val="26"/>
          <w:rtl w:val="true"/>
          <w:lang w:val="en-US" w:bidi="fa-IR"/>
        </w:rPr>
        <w:t>.</w:t>
      </w:r>
    </w:p>
    <w:p>
      <w:pPr>
        <w:pStyle w:val="Normal"/>
        <w:bidi w:val="1"/>
        <w:spacing w:lineRule="auto" w:line="240" w:before="0" w:after="60"/>
        <w:ind w:firstLine="360"/>
        <w:jc w:val="both"/>
        <w:rPr/>
      </w:pPr>
      <w:r>
        <w:rPr>
          <w:rFonts w:ascii="Times New Roman" w:hAnsi="Times New Roman" w:eastAsia="Times New Roman"/>
          <w:b/>
          <w:b/>
          <w:bCs/>
          <w:sz w:val="26"/>
          <w:sz w:val="26"/>
          <w:szCs w:val="26"/>
          <w:rtl w:val="true"/>
          <w:lang w:val="en-US" w:bidi="fa-IR"/>
        </w:rPr>
        <w:t>پیامدهای عملی</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مؤسسات می‌توانند بودجهٔ زمانی را به‌گونه‌ای تنظیم کنند که برای بررسی یافته‌های غیرمعمول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زمان حفاظت‌شده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نظر بگیرد؛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آموزش اخلاق باید بر شناخت سازوکارهای توجیه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برچسب‌زنی تلطیف‌شده، پخش مسئولیت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بازی نقش‌های واقعی در تیم تمرکز یابد؛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رهبران ارشد با الگوی رفتاری و حمایت از طرح نگرانی‌ها جو اخلاقی را می‌سازند؛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نهادهای ناظر و جامعهٔ حسابداران رسمی می‌توانند استقرار کانال‌های امن طرح نگرانی را بخشی از کنترل کیفیت قرار دهند؛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گزینش و ارزیابی، ارزش‌های حرفه‌ای درونی‌شده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امانت‌داری و پاسخگویی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کنار شایستگی فنی دیده شود</w:t>
      </w:r>
      <w:r>
        <w:rPr>
          <w:rFonts w:eastAsia="Times New Roman" w:cs="B Nazanin"/>
          <w:sz w:val="26"/>
          <w:szCs w:val="26"/>
          <w:rtl w:val="true"/>
          <w:lang w:val="en-US" w:bidi="fa-IR"/>
        </w:rPr>
        <w:t>.</w:t>
      </w:r>
    </w:p>
    <w:p>
      <w:pPr>
        <w:pStyle w:val="Normal"/>
        <w:bidi w:val="1"/>
        <w:spacing w:lineRule="auto" w:line="240" w:before="0" w:after="60"/>
        <w:ind w:firstLine="360"/>
        <w:jc w:val="both"/>
        <w:rPr/>
      </w:pPr>
      <w:r>
        <w:rPr>
          <w:rFonts w:ascii="Times New Roman" w:hAnsi="Times New Roman" w:eastAsia="Times New Roman"/>
          <w:b/>
          <w:b/>
          <w:bCs/>
          <w:sz w:val="26"/>
          <w:sz w:val="26"/>
          <w:szCs w:val="26"/>
          <w:rtl w:val="true"/>
          <w:lang w:val="en-US" w:bidi="fa-IR"/>
        </w:rPr>
        <w:t>محدودیت‌ها</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طرح مقطعی و خوداظهاری، حساسیت موضوع و احتمال سوگیری مطلوبیت اجتماعی، تازه‌بودن مقیاس‌های وجدان حرفه‌ای و فشار زمانی و هم‌ارزی مدل معکوس از محدودیت‌هاست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پیشنهاد می‌شود پژوهش‌های آینده از سناریوهای آزمایشی با دست‌کاری فشار زمانی، طرح‌های روزنوشتی یا طولی، داده‌های چندمنبعی و شاخص‌های عینی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مانند تعداد موضوعات مطرح‌شده در پروندهٔ کاری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استفاده کنند و نقش رهبری، فرهنگ قدرت و ادراک پیامد را بیفزایند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منابع</w:t>
      </w:r>
    </w:p>
    <w:p>
      <w:pPr>
        <w:pStyle w:val="Normal"/>
        <w:bidi w:val="1"/>
        <w:spacing w:lineRule="auto" w:line="240" w:before="0" w:after="40"/>
        <w:jc w:val="left"/>
        <w:rPr/>
      </w:pPr>
      <w:r>
        <w:rPr>
          <w:rFonts w:ascii="Times New Roman" w:hAnsi="Times New Roman" w:eastAsia="Times New Roman"/>
          <w:b/>
          <w:b/>
          <w:bCs/>
          <w:sz w:val="24"/>
          <w:sz w:val="24"/>
          <w:szCs w:val="24"/>
          <w:rtl w:val="true"/>
          <w:lang w:val="en-US" w:bidi="fa-IR"/>
        </w:rPr>
        <w:t>منابع فارسی</w:t>
      </w:r>
    </w:p>
    <w:p>
      <w:pPr>
        <w:pStyle w:val="Normal"/>
        <w:bidi w:val="1"/>
        <w:spacing w:lineRule="auto" w:line="240" w:before="0" w:after="40"/>
        <w:jc w:val="both"/>
        <w:rPr/>
      </w:pP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نویسندگان</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lang w:val="en-US" w:bidi="fa-IR"/>
        </w:rPr>
        <w:t>۱۴۰۱</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بررسی تأثیرهای فشار زمانی، تعارض کار</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خانواده و ابهام نقش بر رفتارهای کاهندهٔ کیفیت حسابرسی با میانجی‌گری استرس شغلی</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بررسی‌های حسابداری و حسابرسی، </w:t>
      </w:r>
      <w:r>
        <w:rPr>
          <w:rFonts w:ascii="Times New Roman" w:hAnsi="Times New Roman" w:eastAsia="Times New Roman"/>
          <w:sz w:val="24"/>
          <w:sz w:val="24"/>
          <w:szCs w:val="24"/>
          <w:lang w:val="en-US" w:bidi="fa-IR"/>
        </w:rPr>
        <w:t>۲۹</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۴</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۷۱۴</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۷۳۷</w:t>
      </w:r>
      <w:r>
        <w:rPr>
          <w:rFonts w:eastAsia="Times New Roman" w:cs="B Nazanin"/>
          <w:sz w:val="24"/>
          <w:szCs w:val="24"/>
          <w:rtl w:val="true"/>
          <w:lang w:val="en-US" w:bidi="fa-IR"/>
        </w:rPr>
        <w:t xml:space="preserve">. </w:t>
      </w:r>
      <w:r>
        <w:rPr>
          <w:rFonts w:eastAsia="Times New Roman" w:cs="B Nazanin"/>
          <w:sz w:val="24"/>
          <w:szCs w:val="24"/>
          <w:lang w:val="en-US" w:bidi="fa-IR"/>
        </w:rPr>
        <w:t>https://doi.org/</w:t>
      </w:r>
      <w:r>
        <w:rPr>
          <w:rFonts w:ascii="Times New Roman" w:hAnsi="Times New Roman" w:eastAsia="Times New Roman"/>
          <w:sz w:val="24"/>
          <w:sz w:val="24"/>
          <w:szCs w:val="24"/>
          <w:lang w:val="en-US" w:bidi="fa-IR"/>
        </w:rPr>
        <w:t>۱۰٫۲۲۰۵۹</w:t>
      </w:r>
      <w:r>
        <w:rPr>
          <w:rFonts w:eastAsia="Times New Roman" w:cs="B Nazanin"/>
          <w:sz w:val="24"/>
          <w:szCs w:val="24"/>
          <w:lang w:val="en-US" w:bidi="fa-IR"/>
        </w:rPr>
        <w:t>/acctgrev.</w:t>
      </w:r>
      <w:r>
        <w:rPr>
          <w:rFonts w:ascii="Times New Roman" w:hAnsi="Times New Roman" w:eastAsia="Times New Roman"/>
          <w:sz w:val="24"/>
          <w:sz w:val="24"/>
          <w:szCs w:val="24"/>
          <w:lang w:val="en-US" w:bidi="fa-IR"/>
        </w:rPr>
        <w:t>۲۰۲۳٫۳۴۴۲۹۸٫۱۰۰۸۶۹۳</w:t>
      </w:r>
    </w:p>
    <w:p>
      <w:pPr>
        <w:pStyle w:val="Normal"/>
        <w:bidi w:val="1"/>
        <w:spacing w:lineRule="auto" w:line="240" w:before="0" w:after="40"/>
        <w:jc w:val="both"/>
        <w:rPr/>
      </w:pPr>
      <w:r>
        <w:rPr>
          <w:rFonts w:ascii="Times New Roman" w:hAnsi="Times New Roman" w:eastAsia="Times New Roman"/>
          <w:sz w:val="24"/>
          <w:sz w:val="24"/>
          <w:szCs w:val="24"/>
          <w:rtl w:val="true"/>
          <w:lang w:val="en-US" w:bidi="fa-IR"/>
        </w:rPr>
        <w:t xml:space="preserve">ابراهیمی، </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نام</w:t>
      </w:r>
      <w:r>
        <w:rPr>
          <w:rFonts w:eastAsia="Times New Roman" w:cs="B Nazanin"/>
          <w:sz w:val="24"/>
          <w:szCs w:val="24"/>
          <w:highlight w:val="yellow"/>
          <w:rtl w:val="true"/>
          <w:lang w:val="en-US" w:bidi="fa-IR"/>
        </w:rPr>
        <w:t>]</w:t>
      </w:r>
      <w:r>
        <w:rPr>
          <w:rFonts w:ascii="Times New Roman" w:hAnsi="Times New Roman" w:eastAsia="Times New Roman"/>
          <w:sz w:val="24"/>
          <w:sz w:val="24"/>
          <w:szCs w:val="24"/>
          <w:rtl w:val="true"/>
          <w:lang w:val="en-US" w:bidi="fa-IR"/>
        </w:rPr>
        <w:t xml:space="preserve">؛ صفری گرایلی، </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نام</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ولیان، </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نام</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lang w:val="en-US" w:bidi="fa-IR"/>
        </w:rPr>
        <w:t>۱۴۰۱</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طراحی مدل علل تقویت‌کنندهٔ سکوت سازمانی حسابرسان داخلی</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پژوهش‌های تجربی حسابداری، </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دوره</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شماره</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w:t>
      </w:r>
    </w:p>
    <w:p>
      <w:pPr>
        <w:pStyle w:val="Normal"/>
        <w:bidi w:val="1"/>
        <w:spacing w:lineRule="auto" w:line="240" w:before="0" w:after="40"/>
        <w:jc w:val="both"/>
        <w:rPr/>
      </w:pPr>
      <w:r>
        <w:rPr>
          <w:rFonts w:ascii="Times New Roman" w:hAnsi="Times New Roman" w:eastAsia="Times New Roman"/>
          <w:sz w:val="24"/>
          <w:sz w:val="24"/>
          <w:szCs w:val="24"/>
          <w:rtl w:val="true"/>
          <w:lang w:val="en-US" w:bidi="fa-IR"/>
        </w:rPr>
        <w:t xml:space="preserve">مهدوی، غلامحسین؛ بهمنی، رضا و نمازی، نویدرضا </w:t>
      </w:r>
      <w:r>
        <w:rPr>
          <w:rFonts w:eastAsia="Times New Roman" w:cs="B Nazanin"/>
          <w:sz w:val="24"/>
          <w:szCs w:val="24"/>
          <w:rtl w:val="true"/>
          <w:lang w:val="en-US" w:bidi="fa-IR"/>
        </w:rPr>
        <w:t>(</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سال</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نقش میانجی‌گری رفتار ناکارآمد حسابرس در تبیین رابطهٔ بین دین‌داری و تعهد حرفه‌ای با کیفیت حسابرسی</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حسابداری ارزشی و رفتاری، </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دوره</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شماره</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w:t>
      </w:r>
    </w:p>
    <w:p>
      <w:pPr>
        <w:pStyle w:val="Normal"/>
        <w:bidi w:val="1"/>
        <w:spacing w:lineRule="auto" w:line="240" w:before="0" w:after="40"/>
        <w:jc w:val="both"/>
        <w:rPr/>
      </w:pPr>
      <w:r>
        <w:rPr>
          <w:rFonts w:ascii="Times New Roman" w:hAnsi="Times New Roman" w:eastAsia="Times New Roman"/>
          <w:sz w:val="24"/>
          <w:sz w:val="24"/>
          <w:szCs w:val="24"/>
          <w:rtl w:val="true"/>
          <w:lang w:val="en-US" w:bidi="fa-IR"/>
        </w:rPr>
        <w:t xml:space="preserve">مهرانی، ساسان و نعیمی، </w:t>
      </w:r>
      <w:r>
        <w:rPr>
          <w:rFonts w:eastAsia="Times New Roman" w:cs="B Nazanin"/>
          <w:sz w:val="24"/>
          <w:szCs w:val="24"/>
          <w:highlight w:val="yellow"/>
          <w:rtl w:val="true"/>
          <w:lang w:val="en-US" w:bidi="fa-IR"/>
        </w:rPr>
        <w:t>[</w:t>
      </w:r>
      <w:r>
        <w:rPr>
          <w:rFonts w:ascii="Times New Roman" w:hAnsi="Times New Roman" w:eastAsia="Times New Roman"/>
          <w:sz w:val="24"/>
          <w:sz w:val="24"/>
          <w:szCs w:val="24"/>
          <w:highlight w:val="yellow"/>
          <w:rtl w:val="true"/>
          <w:lang w:val="en-US" w:bidi="fa-IR"/>
        </w:rPr>
        <w:t>نام کوچک</w:t>
      </w:r>
      <w:r>
        <w:rPr>
          <w:rFonts w:eastAsia="Times New Roman" w:cs="B Nazanin"/>
          <w:sz w:val="24"/>
          <w:szCs w:val="24"/>
          <w:highlight w:val="yellow"/>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lang w:val="en-US" w:bidi="fa-IR"/>
        </w:rPr>
        <w:t>۱۳۸۲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تئوری اخلاقی و تأثیر فشار بودجهٔ زمانی بر رفتار حسابرسان مستقل</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بررسی‌های حسابداری و حسابرسی، </w:t>
      </w:r>
      <w:r>
        <w:rPr>
          <w:rFonts w:ascii="Times New Roman" w:hAnsi="Times New Roman" w:eastAsia="Times New Roman"/>
          <w:sz w:val="24"/>
          <w:sz w:val="24"/>
          <w:szCs w:val="24"/>
          <w:lang w:val="en-US" w:bidi="fa-IR"/>
        </w:rPr>
        <w:t>۱۰</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۲</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۴۳</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۶۱</w:t>
      </w:r>
      <w:r>
        <w:rPr>
          <w:rFonts w:eastAsia="Times New Roman" w:cs="B Nazanin"/>
          <w:sz w:val="24"/>
          <w:szCs w:val="24"/>
          <w:rtl w:val="true"/>
          <w:lang w:val="en-US" w:bidi="fa-IR"/>
        </w:rPr>
        <w:t>.</w:t>
      </w:r>
    </w:p>
    <w:p>
      <w:pPr>
        <w:pStyle w:val="Normal"/>
        <w:bidi w:val="1"/>
        <w:spacing w:lineRule="auto" w:line="240" w:before="60" w:after="40"/>
        <w:jc w:val="left"/>
        <w:rPr/>
      </w:pPr>
      <w:r>
        <w:rPr>
          <w:rFonts w:ascii="Times New Roman" w:hAnsi="Times New Roman" w:eastAsia="Times New Roman"/>
          <w:b/>
          <w:b/>
          <w:bCs/>
          <w:sz w:val="24"/>
          <w:sz w:val="24"/>
          <w:szCs w:val="24"/>
          <w:rtl w:val="true"/>
          <w:lang w:val="en-US" w:bidi="fa-IR"/>
        </w:rPr>
        <w:t>منابع لاتین</w:t>
      </w:r>
    </w:p>
    <w:p>
      <w:pPr>
        <w:pStyle w:val="Normal"/>
        <w:spacing w:lineRule="auto" w:line="240" w:before="0" w:after="40"/>
        <w:ind w:hanging="567" w:left="567"/>
        <w:jc w:val="left"/>
        <w:rPr/>
      </w:pPr>
      <w:r>
        <w:rPr>
          <w:rFonts w:eastAsia="Times New Roman" w:cs="Times New Roman"/>
          <w:sz w:val="22"/>
          <w:szCs w:val="22"/>
          <w:lang w:val="en-US" w:bidi="fa-IR"/>
        </w:rPr>
        <w:t xml:space="preserve">Bandura, A. (1999). Moral disengagement in the perpetration of inhumanities. </w:t>
      </w:r>
      <w:r>
        <w:rPr>
          <w:rFonts w:eastAsia="Times New Roman" w:cs="Times New Roman"/>
          <w:i/>
          <w:iCs/>
          <w:sz w:val="22"/>
          <w:szCs w:val="22"/>
          <w:lang w:val="en-US" w:bidi="fa-IR"/>
        </w:rPr>
        <w:t>Personality and Social Psychology Review, 3</w:t>
      </w:r>
      <w:r>
        <w:rPr>
          <w:rFonts w:eastAsia="Times New Roman" w:cs="Times New Roman"/>
          <w:sz w:val="22"/>
          <w:szCs w:val="22"/>
          <w:lang w:val="en-US" w:bidi="fa-IR"/>
        </w:rPr>
        <w:t>(3), 193–209. https://doi.org/10.1207/s15327957pspr0303_3</w:t>
      </w:r>
    </w:p>
    <w:p>
      <w:pPr>
        <w:pStyle w:val="Normal"/>
        <w:spacing w:lineRule="auto" w:line="240" w:before="0" w:after="40"/>
        <w:ind w:hanging="567" w:left="567"/>
        <w:jc w:val="left"/>
        <w:rPr/>
      </w:pPr>
      <w:r>
        <w:rPr>
          <w:rFonts w:eastAsia="Times New Roman" w:cs="Times New Roman"/>
          <w:sz w:val="22"/>
          <w:szCs w:val="22"/>
          <w:lang w:val="en-US" w:bidi="fa-IR"/>
        </w:rPr>
        <w:t xml:space="preserve">Baydoun, N., &amp; Willett, R. (2000). Islamic corporate reports. </w:t>
      </w:r>
      <w:r>
        <w:rPr>
          <w:rFonts w:eastAsia="Times New Roman" w:cs="Times New Roman"/>
          <w:i/>
          <w:iCs/>
          <w:sz w:val="22"/>
          <w:szCs w:val="22"/>
          <w:lang w:val="en-US" w:bidi="fa-IR"/>
        </w:rPr>
        <w:t>Abacus, 36</w:t>
      </w:r>
      <w:r>
        <w:rPr>
          <w:rFonts w:eastAsia="Times New Roman" w:cs="Times New Roman"/>
          <w:sz w:val="22"/>
          <w:szCs w:val="22"/>
          <w:lang w:val="en-US" w:bidi="fa-IR"/>
        </w:rPr>
        <w:t>(1), 71–90. https://doi.org/10.1111/1467-6281.00055</w:t>
      </w:r>
    </w:p>
    <w:p>
      <w:pPr>
        <w:pStyle w:val="Normal"/>
        <w:spacing w:lineRule="auto" w:line="240" w:before="0" w:after="40"/>
        <w:ind w:hanging="567" w:left="567"/>
        <w:jc w:val="left"/>
        <w:rPr/>
      </w:pPr>
      <w:r>
        <w:rPr>
          <w:rFonts w:eastAsia="Times New Roman" w:cs="Times New Roman"/>
          <w:sz w:val="22"/>
          <w:szCs w:val="22"/>
          <w:lang w:val="en-US" w:bidi="fa-IR"/>
        </w:rPr>
        <w:t xml:space="preserve">Bazerman, M. H., &amp; Gino, F. (2012). Behavioral ethics: Toward a deeper understanding of moral judgment and dishonesty. </w:t>
      </w:r>
      <w:r>
        <w:rPr>
          <w:rFonts w:eastAsia="Times New Roman" w:cs="Times New Roman"/>
          <w:i/>
          <w:iCs/>
          <w:sz w:val="22"/>
          <w:szCs w:val="22"/>
          <w:lang w:val="en-US" w:bidi="fa-IR"/>
        </w:rPr>
        <w:t>Annual Review of Law and Social Science, 8</w:t>
      </w:r>
      <w:r>
        <w:rPr>
          <w:rFonts w:eastAsia="Times New Roman" w:cs="Times New Roman"/>
          <w:sz w:val="22"/>
          <w:szCs w:val="22"/>
          <w:lang w:val="en-US" w:bidi="fa-IR"/>
        </w:rPr>
        <w:t>, 85–104. https://doi.org/10.1146/annurev-lawsocsci-102811-173815</w:t>
      </w:r>
    </w:p>
    <w:p>
      <w:pPr>
        <w:pStyle w:val="Normal"/>
        <w:spacing w:lineRule="auto" w:line="240" w:before="0" w:after="40"/>
        <w:ind w:hanging="567" w:left="567"/>
        <w:jc w:val="left"/>
        <w:rPr/>
      </w:pPr>
      <w:r>
        <w:rPr>
          <w:rFonts w:eastAsia="Times New Roman" w:cs="Times New Roman"/>
          <w:sz w:val="22"/>
          <w:szCs w:val="22"/>
          <w:lang w:val="en-US" w:bidi="fa-IR"/>
        </w:rPr>
        <w:t xml:space="preserve">Detert, J. R., Treviño, L. K., &amp; Sweitzer, V. L. (2008). Moral disengagement in ethical decision making: A study of antecedents and outcomes. </w:t>
      </w:r>
      <w:r>
        <w:rPr>
          <w:rFonts w:eastAsia="Times New Roman" w:cs="Times New Roman"/>
          <w:i/>
          <w:iCs/>
          <w:sz w:val="22"/>
          <w:szCs w:val="22"/>
          <w:lang w:val="en-US" w:bidi="fa-IR"/>
        </w:rPr>
        <w:t>Journal of Applied Psychology, 93</w:t>
      </w:r>
      <w:r>
        <w:rPr>
          <w:rFonts w:eastAsia="Times New Roman" w:cs="Times New Roman"/>
          <w:sz w:val="22"/>
          <w:szCs w:val="22"/>
          <w:lang w:val="en-US" w:bidi="fa-IR"/>
        </w:rPr>
        <w:t>(2), 374–391. https://doi.org/10.1037/0021-9010.93.2.374</w:t>
      </w:r>
    </w:p>
    <w:p>
      <w:pPr>
        <w:pStyle w:val="Normal"/>
        <w:spacing w:lineRule="auto" w:line="240" w:before="0" w:after="40"/>
        <w:ind w:hanging="567" w:left="567"/>
        <w:jc w:val="left"/>
        <w:rPr/>
      </w:pPr>
      <w:r>
        <w:rPr>
          <w:rFonts w:eastAsia="Times New Roman" w:cs="Times New Roman"/>
          <w:sz w:val="22"/>
          <w:szCs w:val="22"/>
          <w:lang w:val="en-US" w:bidi="fa-IR"/>
        </w:rPr>
        <w:t xml:space="preserve">DeZoort, F. T., &amp; Lord, A. T. (1997). A review and synthesis of pressure effects research in accounting. </w:t>
      </w:r>
      <w:r>
        <w:rPr>
          <w:rFonts w:eastAsia="Times New Roman" w:cs="Times New Roman"/>
          <w:i/>
          <w:iCs/>
          <w:sz w:val="22"/>
          <w:szCs w:val="22"/>
          <w:lang w:val="en-US" w:bidi="fa-IR"/>
        </w:rPr>
        <w:t>Journal of Accounting Literature, 16</w:t>
      </w:r>
      <w:r>
        <w:rPr>
          <w:rFonts w:eastAsia="Times New Roman" w:cs="Times New Roman"/>
          <w:sz w:val="22"/>
          <w:szCs w:val="22"/>
          <w:lang w:val="en-US" w:bidi="fa-IR"/>
        </w:rPr>
        <w:t>, 28–85</w:t>
      </w:r>
      <w:r>
        <w:rPr>
          <w:rFonts w:eastAsia="Times New Roman" w:cs="Times New Roman"/>
          <w:sz w:val="22"/>
          <w:szCs w:val="22"/>
          <w:rtl w:val="true"/>
          <w:lang w:val="en-US" w:bidi="fa-IR"/>
        </w:rPr>
        <w:t>.</w:t>
      </w:r>
    </w:p>
    <w:p>
      <w:pPr>
        <w:pStyle w:val="Normal"/>
        <w:spacing w:lineRule="auto" w:line="240" w:before="0" w:after="40"/>
        <w:ind w:hanging="567" w:left="567"/>
        <w:jc w:val="left"/>
        <w:rPr/>
      </w:pPr>
      <w:r>
        <w:rPr>
          <w:rFonts w:eastAsia="Times New Roman" w:cs="Times New Roman"/>
          <w:sz w:val="22"/>
          <w:szCs w:val="22"/>
          <w:lang w:val="en-US" w:bidi="fa-IR"/>
        </w:rPr>
        <w:t xml:space="preserve">Fornell, C., &amp; Larcker, D. F. (1981). Evaluating structural equation models with unobservable variables and measurement error. </w:t>
      </w:r>
      <w:r>
        <w:rPr>
          <w:rFonts w:eastAsia="Times New Roman" w:cs="Times New Roman"/>
          <w:i/>
          <w:iCs/>
          <w:sz w:val="22"/>
          <w:szCs w:val="22"/>
          <w:lang w:val="en-US" w:bidi="fa-IR"/>
        </w:rPr>
        <w:t>Journal of Marketing Research, 18</w:t>
      </w:r>
      <w:r>
        <w:rPr>
          <w:rFonts w:eastAsia="Times New Roman" w:cs="Times New Roman"/>
          <w:sz w:val="22"/>
          <w:szCs w:val="22"/>
          <w:lang w:val="en-US" w:bidi="fa-IR"/>
        </w:rPr>
        <w:t>(1), 39–50. https://doi.org/10.1177/002224378101800104</w:t>
      </w:r>
    </w:p>
    <w:p>
      <w:pPr>
        <w:pStyle w:val="Normal"/>
        <w:spacing w:lineRule="auto" w:line="240" w:before="0" w:after="40"/>
        <w:ind w:hanging="567" w:left="567"/>
        <w:jc w:val="left"/>
        <w:rPr/>
      </w:pPr>
      <w:r>
        <w:rPr>
          <w:rFonts w:eastAsia="Times New Roman" w:cs="Times New Roman"/>
          <w:sz w:val="22"/>
          <w:szCs w:val="22"/>
          <w:lang w:val="en-US" w:bidi="fa-IR"/>
        </w:rPr>
        <w:t xml:space="preserve">Hayes, A. F. (2015). An index and test of linear moderated mediation. </w:t>
      </w:r>
      <w:r>
        <w:rPr>
          <w:rFonts w:eastAsia="Times New Roman" w:cs="Times New Roman"/>
          <w:i/>
          <w:iCs/>
          <w:sz w:val="22"/>
          <w:szCs w:val="22"/>
          <w:lang w:val="en-US" w:bidi="fa-IR"/>
        </w:rPr>
        <w:t>Multivariate Behavioral Research, 50</w:t>
      </w:r>
      <w:r>
        <w:rPr>
          <w:rFonts w:eastAsia="Times New Roman" w:cs="Times New Roman"/>
          <w:sz w:val="22"/>
          <w:szCs w:val="22"/>
          <w:lang w:val="en-US" w:bidi="fa-IR"/>
        </w:rPr>
        <w:t>(1), 1–22. https://doi.org/10.1080/00273171.2014.962683</w:t>
      </w:r>
    </w:p>
    <w:p>
      <w:pPr>
        <w:pStyle w:val="Normal"/>
        <w:spacing w:lineRule="auto" w:line="240" w:before="0" w:after="40"/>
        <w:ind w:hanging="567" w:left="567"/>
        <w:jc w:val="left"/>
        <w:rPr/>
      </w:pPr>
      <w:r>
        <w:rPr>
          <w:rFonts w:eastAsia="Times New Roman" w:cs="Times New Roman"/>
          <w:sz w:val="22"/>
          <w:szCs w:val="22"/>
          <w:lang w:val="en-US" w:bidi="fa-IR"/>
        </w:rPr>
        <w:t xml:space="preserve">Henseler, J., Ringle, C. M., &amp; Sarstedt, M. (2015). A new criterion for assessing discriminant validity in variance-based structural equation modeling. </w:t>
      </w:r>
      <w:r>
        <w:rPr>
          <w:rFonts w:eastAsia="Times New Roman" w:cs="Times New Roman"/>
          <w:i/>
          <w:iCs/>
          <w:sz w:val="22"/>
          <w:szCs w:val="22"/>
          <w:lang w:val="en-US" w:bidi="fa-IR"/>
        </w:rPr>
        <w:t>Journal of the Academy of Marketing Science, 43</w:t>
      </w:r>
      <w:r>
        <w:rPr>
          <w:rFonts w:eastAsia="Times New Roman" w:cs="Times New Roman"/>
          <w:sz w:val="22"/>
          <w:szCs w:val="22"/>
          <w:lang w:val="en-US" w:bidi="fa-IR"/>
        </w:rPr>
        <w:t>(1), 115–135. https://doi.org/10.1007/s11747-014-0403-8</w:t>
      </w:r>
    </w:p>
    <w:p>
      <w:pPr>
        <w:pStyle w:val="Normal"/>
        <w:spacing w:lineRule="auto" w:line="240" w:before="0" w:after="40"/>
        <w:ind w:hanging="567" w:left="567"/>
        <w:jc w:val="left"/>
        <w:rPr/>
      </w:pPr>
      <w:r>
        <w:rPr>
          <w:rFonts w:eastAsia="Times New Roman" w:cs="Times New Roman"/>
          <w:sz w:val="22"/>
          <w:szCs w:val="22"/>
          <w:lang w:val="en-US" w:bidi="fa-IR"/>
        </w:rPr>
        <w:t xml:space="preserve">Hu, L., &amp; Bentler, P. M. (1999). Cutoff criteria for fit indexes in covariance structure analysis: Conventional criteria versus new alternatives. </w:t>
      </w:r>
      <w:r>
        <w:rPr>
          <w:rFonts w:eastAsia="Times New Roman" w:cs="Times New Roman"/>
          <w:i/>
          <w:iCs/>
          <w:sz w:val="22"/>
          <w:szCs w:val="22"/>
          <w:lang w:val="en-US" w:bidi="fa-IR"/>
        </w:rPr>
        <w:t>Structural Equation Modeling, 6</w:t>
      </w:r>
      <w:r>
        <w:rPr>
          <w:rFonts w:eastAsia="Times New Roman" w:cs="Times New Roman"/>
          <w:sz w:val="22"/>
          <w:szCs w:val="22"/>
          <w:lang w:val="en-US" w:bidi="fa-IR"/>
        </w:rPr>
        <w:t>(1), 1–55. https://doi.org/10.1080/10705519909540118</w:t>
      </w:r>
    </w:p>
    <w:p>
      <w:pPr>
        <w:pStyle w:val="Normal"/>
        <w:spacing w:lineRule="auto" w:line="240" w:before="0" w:after="40"/>
        <w:ind w:hanging="567" w:left="567"/>
        <w:jc w:val="left"/>
        <w:rPr/>
      </w:pPr>
      <w:r>
        <w:rPr>
          <w:rFonts w:eastAsia="Times New Roman" w:cs="Times New Roman"/>
          <w:sz w:val="22"/>
          <w:szCs w:val="22"/>
          <w:lang w:val="en-US" w:bidi="fa-IR"/>
        </w:rPr>
        <w:t xml:space="preserve">Igolkina, A. A., &amp; Meshcheryakov, G. (2020). semopy: A Python package for structural equation modeling. </w:t>
      </w:r>
      <w:r>
        <w:rPr>
          <w:rFonts w:eastAsia="Times New Roman" w:cs="Times New Roman"/>
          <w:i/>
          <w:iCs/>
          <w:sz w:val="22"/>
          <w:szCs w:val="22"/>
          <w:lang w:val="en-US" w:bidi="fa-IR"/>
        </w:rPr>
        <w:t>Structural Equation Modeling, 27</w:t>
      </w:r>
      <w:r>
        <w:rPr>
          <w:rFonts w:eastAsia="Times New Roman" w:cs="Times New Roman"/>
          <w:sz w:val="22"/>
          <w:szCs w:val="22"/>
          <w:lang w:val="en-US" w:bidi="fa-IR"/>
        </w:rPr>
        <w:t>(6), 952–963. https://doi.org/10.1080/10705511.2019.1704289</w:t>
      </w:r>
    </w:p>
    <w:p>
      <w:pPr>
        <w:pStyle w:val="Normal"/>
        <w:spacing w:lineRule="auto" w:line="240" w:before="0" w:after="40"/>
        <w:ind w:hanging="567" w:left="567"/>
        <w:jc w:val="left"/>
        <w:rPr/>
      </w:pPr>
      <w:r>
        <w:rPr>
          <w:rFonts w:eastAsia="Times New Roman" w:cs="Times New Roman"/>
          <w:sz w:val="22"/>
          <w:szCs w:val="22"/>
          <w:lang w:val="en-US" w:bidi="fa-IR"/>
        </w:rPr>
        <w:t xml:space="preserve">Jones, T. M. (1991). Ethical decision making by individuals in organizations: An issue-contingent model. </w:t>
      </w:r>
      <w:r>
        <w:rPr>
          <w:rFonts w:eastAsia="Times New Roman" w:cs="Times New Roman"/>
          <w:i/>
          <w:iCs/>
          <w:sz w:val="22"/>
          <w:szCs w:val="22"/>
          <w:lang w:val="en-US" w:bidi="fa-IR"/>
        </w:rPr>
        <w:t>Academy of Management Review, 16</w:t>
      </w:r>
      <w:r>
        <w:rPr>
          <w:rFonts w:eastAsia="Times New Roman" w:cs="Times New Roman"/>
          <w:sz w:val="22"/>
          <w:szCs w:val="22"/>
          <w:lang w:val="en-US" w:bidi="fa-IR"/>
        </w:rPr>
        <w:t>(2), 366–395. https://doi.org/10.5465/amr.1991.4278958</w:t>
      </w:r>
    </w:p>
    <w:p>
      <w:pPr>
        <w:pStyle w:val="Normal"/>
        <w:spacing w:lineRule="auto" w:line="240" w:before="0" w:after="40"/>
        <w:ind w:hanging="567" w:left="567"/>
        <w:jc w:val="left"/>
        <w:rPr/>
      </w:pPr>
      <w:r>
        <w:rPr>
          <w:rFonts w:eastAsia="Times New Roman" w:cs="Times New Roman"/>
          <w:sz w:val="22"/>
          <w:szCs w:val="22"/>
          <w:lang w:val="en-US" w:bidi="fa-IR"/>
        </w:rPr>
        <w:t xml:space="preserve">Kish-Gephart, J. J., Harrison, D. A., &amp; Treviño, L. K. (2010). Bad apples, bad cases, and bad barrels: Meta-analytic evidence about sources of unethical decisions at work. </w:t>
      </w:r>
      <w:r>
        <w:rPr>
          <w:rFonts w:eastAsia="Times New Roman" w:cs="Times New Roman"/>
          <w:i/>
          <w:iCs/>
          <w:sz w:val="22"/>
          <w:szCs w:val="22"/>
          <w:lang w:val="en-US" w:bidi="fa-IR"/>
        </w:rPr>
        <w:t>Journal of Applied Psychology, 95</w:t>
      </w:r>
      <w:r>
        <w:rPr>
          <w:rFonts w:eastAsia="Times New Roman" w:cs="Times New Roman"/>
          <w:sz w:val="22"/>
          <w:szCs w:val="22"/>
          <w:lang w:val="en-US" w:bidi="fa-IR"/>
        </w:rPr>
        <w:t>(1), 1–31. https://doi.org/10.1037/a0017103</w:t>
      </w:r>
    </w:p>
    <w:p>
      <w:pPr>
        <w:pStyle w:val="Normal"/>
        <w:spacing w:lineRule="auto" w:line="240" w:before="0" w:after="40"/>
        <w:ind w:hanging="567" w:left="567"/>
        <w:jc w:val="left"/>
        <w:rPr/>
      </w:pPr>
      <w:r>
        <w:rPr>
          <w:rFonts w:eastAsia="Times New Roman" w:cs="Times New Roman"/>
          <w:sz w:val="22"/>
          <w:szCs w:val="22"/>
          <w:lang w:val="en-US" w:bidi="fa-IR"/>
        </w:rPr>
        <w:t xml:space="preserve">Lawshe, C. H. (1975). A quantitative approach to content validity. </w:t>
      </w:r>
      <w:r>
        <w:rPr>
          <w:rFonts w:eastAsia="Times New Roman" w:cs="Times New Roman"/>
          <w:i/>
          <w:iCs/>
          <w:sz w:val="22"/>
          <w:szCs w:val="22"/>
          <w:lang w:val="en-US" w:bidi="fa-IR"/>
        </w:rPr>
        <w:t>Personnel Psychology, 28</w:t>
      </w:r>
      <w:r>
        <w:rPr>
          <w:rFonts w:eastAsia="Times New Roman" w:cs="Times New Roman"/>
          <w:sz w:val="22"/>
          <w:szCs w:val="22"/>
          <w:lang w:val="en-US" w:bidi="fa-IR"/>
        </w:rPr>
        <w:t>(4), 563–575. https://doi.org/10.1111/j.1744-6570.1975.tb01393.x</w:t>
      </w:r>
    </w:p>
    <w:p>
      <w:pPr>
        <w:pStyle w:val="Normal"/>
        <w:spacing w:lineRule="auto" w:line="240" w:before="0" w:after="40"/>
        <w:ind w:hanging="567" w:left="567"/>
        <w:jc w:val="left"/>
        <w:rPr/>
      </w:pPr>
      <w:r>
        <w:rPr>
          <w:rFonts w:eastAsia="Times New Roman" w:cs="Times New Roman"/>
          <w:sz w:val="22"/>
          <w:szCs w:val="22"/>
          <w:lang w:val="en-US" w:bidi="fa-IR"/>
        </w:rPr>
        <w:t xml:space="preserve">Lewis, M. K. (2001). Islam and accounting. </w:t>
      </w:r>
      <w:r>
        <w:rPr>
          <w:rFonts w:eastAsia="Times New Roman" w:cs="Times New Roman"/>
          <w:i/>
          <w:iCs/>
          <w:sz w:val="22"/>
          <w:szCs w:val="22"/>
          <w:lang w:val="en-US" w:bidi="fa-IR"/>
        </w:rPr>
        <w:t>Accounting Forum, 25</w:t>
      </w:r>
      <w:r>
        <w:rPr>
          <w:rFonts w:eastAsia="Times New Roman" w:cs="Times New Roman"/>
          <w:sz w:val="22"/>
          <w:szCs w:val="22"/>
          <w:lang w:val="en-US" w:bidi="fa-IR"/>
        </w:rPr>
        <w:t>(2), 103–127. https://doi.org/10.1111/1468-5879.00007</w:t>
      </w:r>
    </w:p>
    <w:p>
      <w:pPr>
        <w:pStyle w:val="Normal"/>
        <w:spacing w:lineRule="auto" w:line="240" w:before="0" w:after="40"/>
        <w:ind w:hanging="567" w:left="567"/>
        <w:jc w:val="left"/>
        <w:rPr/>
      </w:pPr>
      <w:r>
        <w:rPr>
          <w:rFonts w:eastAsia="Times New Roman" w:cs="Times New Roman"/>
          <w:sz w:val="22"/>
          <w:szCs w:val="22"/>
          <w:lang w:val="en-US" w:bidi="fa-IR"/>
        </w:rPr>
        <w:t xml:space="preserve">Little, T. D., Bovaird, J. A., &amp; Widaman, K. F. (2006). On the merits of orthogonalizing powered and product terms: Implications for modeling interactions among latent variables. </w:t>
      </w:r>
      <w:r>
        <w:rPr>
          <w:rFonts w:eastAsia="Times New Roman" w:cs="Times New Roman"/>
          <w:i/>
          <w:iCs/>
          <w:sz w:val="22"/>
          <w:szCs w:val="22"/>
          <w:lang w:val="en-US" w:bidi="fa-IR"/>
        </w:rPr>
        <w:t>Structural Equation Modeling, 13</w:t>
      </w:r>
      <w:r>
        <w:rPr>
          <w:rFonts w:eastAsia="Times New Roman" w:cs="Times New Roman"/>
          <w:sz w:val="22"/>
          <w:szCs w:val="22"/>
          <w:lang w:val="en-US" w:bidi="fa-IR"/>
        </w:rPr>
        <w:t>(4), 497–519. https://doi.org/10.1207/s15328007sem1304_1</w:t>
      </w:r>
    </w:p>
    <w:p>
      <w:pPr>
        <w:pStyle w:val="Normal"/>
        <w:spacing w:lineRule="auto" w:line="240" w:before="0" w:after="40"/>
        <w:ind w:hanging="567" w:left="567"/>
        <w:jc w:val="left"/>
        <w:rPr/>
      </w:pPr>
      <w:r>
        <w:rPr>
          <w:rFonts w:eastAsia="Times New Roman" w:cs="Times New Roman"/>
          <w:sz w:val="22"/>
          <w:szCs w:val="22"/>
          <w:lang w:val="en-US" w:bidi="fa-IR"/>
        </w:rPr>
        <w:t xml:space="preserve">MacCallum, R. C., Browne, M. W., &amp; Sugawara, H. M. (1996). Power analysis and determination of sample size for covariance structure modeling. </w:t>
      </w:r>
      <w:r>
        <w:rPr>
          <w:rFonts w:eastAsia="Times New Roman" w:cs="Times New Roman"/>
          <w:i/>
          <w:iCs/>
          <w:sz w:val="22"/>
          <w:szCs w:val="22"/>
          <w:lang w:val="en-US" w:bidi="fa-IR"/>
        </w:rPr>
        <w:t>Psychological Methods, 1</w:t>
      </w:r>
      <w:r>
        <w:rPr>
          <w:rFonts w:eastAsia="Times New Roman" w:cs="Times New Roman"/>
          <w:sz w:val="22"/>
          <w:szCs w:val="22"/>
          <w:lang w:val="en-US" w:bidi="fa-IR"/>
        </w:rPr>
        <w:t>(2), 130–149. https://doi.org/10.1037/1082-989X.1.2.130</w:t>
      </w:r>
    </w:p>
    <w:p>
      <w:pPr>
        <w:pStyle w:val="Normal"/>
        <w:spacing w:lineRule="auto" w:line="240" w:before="0" w:after="40"/>
        <w:ind w:hanging="567" w:left="567"/>
        <w:jc w:val="left"/>
        <w:rPr/>
      </w:pPr>
      <w:r>
        <w:rPr>
          <w:rFonts w:eastAsia="Times New Roman" w:cs="Times New Roman"/>
          <w:sz w:val="22"/>
          <w:szCs w:val="22"/>
          <w:lang w:val="en-US" w:bidi="fa-IR"/>
        </w:rPr>
        <w:t xml:space="preserve">Malone, C. F., &amp; Roberts, R. W. (1996). Factors associated with the incidence of reduced audit quality behaviors. </w:t>
      </w:r>
      <w:r>
        <w:rPr>
          <w:rFonts w:eastAsia="Times New Roman" w:cs="Times New Roman"/>
          <w:i/>
          <w:iCs/>
          <w:sz w:val="22"/>
          <w:szCs w:val="22"/>
          <w:lang w:val="en-US" w:bidi="fa-IR"/>
        </w:rPr>
        <w:t>Auditing: A Journal of Practice &amp; Theory, 15</w:t>
      </w:r>
      <w:r>
        <w:rPr>
          <w:rFonts w:eastAsia="Times New Roman" w:cs="Times New Roman"/>
          <w:sz w:val="22"/>
          <w:szCs w:val="22"/>
          <w:lang w:val="en-US" w:bidi="fa-IR"/>
        </w:rPr>
        <w:t>(2), 49–64</w:t>
      </w:r>
      <w:r>
        <w:rPr>
          <w:rFonts w:eastAsia="Times New Roman" w:cs="Times New Roman"/>
          <w:sz w:val="22"/>
          <w:szCs w:val="22"/>
          <w:rtl w:val="true"/>
          <w:lang w:val="en-US" w:bidi="fa-IR"/>
        </w:rPr>
        <w:t>.</w:t>
      </w:r>
    </w:p>
    <w:p>
      <w:pPr>
        <w:pStyle w:val="Normal"/>
        <w:spacing w:lineRule="auto" w:line="240" w:before="0" w:after="40"/>
        <w:ind w:hanging="567" w:left="567"/>
        <w:jc w:val="left"/>
        <w:rPr/>
      </w:pPr>
      <w:r>
        <w:rPr>
          <w:rFonts w:eastAsia="Times New Roman" w:cs="Times New Roman"/>
          <w:sz w:val="22"/>
          <w:szCs w:val="22"/>
          <w:lang w:val="en-US" w:bidi="fa-IR"/>
        </w:rPr>
        <w:t xml:space="preserve">Marsh, H. W., Wen, Z., &amp; Hau, K.-T. (2004). Structural equation models of latent interactions: Evaluation of alternative estimation strategies and indicator construction. </w:t>
      </w:r>
      <w:r>
        <w:rPr>
          <w:rFonts w:eastAsia="Times New Roman" w:cs="Times New Roman"/>
          <w:i/>
          <w:iCs/>
          <w:sz w:val="22"/>
          <w:szCs w:val="22"/>
          <w:lang w:val="en-US" w:bidi="fa-IR"/>
        </w:rPr>
        <w:t>Psychological Methods, 9</w:t>
      </w:r>
      <w:r>
        <w:rPr>
          <w:rFonts w:eastAsia="Times New Roman" w:cs="Times New Roman"/>
          <w:sz w:val="22"/>
          <w:szCs w:val="22"/>
          <w:lang w:val="en-US" w:bidi="fa-IR"/>
        </w:rPr>
        <w:t>(3), 275–300. https://doi.org/10.1037/1082-989X.9.3.275</w:t>
      </w:r>
    </w:p>
    <w:p>
      <w:pPr>
        <w:pStyle w:val="Normal"/>
        <w:spacing w:lineRule="auto" w:line="240" w:before="0" w:after="40"/>
        <w:ind w:hanging="567" w:left="567"/>
        <w:jc w:val="left"/>
        <w:rPr/>
      </w:pPr>
      <w:r>
        <w:rPr>
          <w:rFonts w:eastAsia="Times New Roman" w:cs="Times New Roman"/>
          <w:sz w:val="22"/>
          <w:szCs w:val="22"/>
          <w:lang w:val="en-US" w:bidi="fa-IR"/>
        </w:rPr>
        <w:t xml:space="preserve">Moore, C., Detert, J. R., Klebe Treviño, L., Baker, V. L., &amp; Mayer, D. M. (2012). Why employees do bad things: Moral disengagement and unethical organizational behavior. </w:t>
      </w:r>
      <w:r>
        <w:rPr>
          <w:rFonts w:eastAsia="Times New Roman" w:cs="Times New Roman"/>
          <w:i/>
          <w:iCs/>
          <w:sz w:val="22"/>
          <w:szCs w:val="22"/>
          <w:lang w:val="en-US" w:bidi="fa-IR"/>
        </w:rPr>
        <w:t>Personnel Psychology, 65</w:t>
      </w:r>
      <w:r>
        <w:rPr>
          <w:rFonts w:eastAsia="Times New Roman" w:cs="Times New Roman"/>
          <w:sz w:val="22"/>
          <w:szCs w:val="22"/>
          <w:lang w:val="en-US" w:bidi="fa-IR"/>
        </w:rPr>
        <w:t>(1), 1–48. https://doi.org/10.1111/j.1744-6570.2011.01237.x</w:t>
      </w:r>
    </w:p>
    <w:p>
      <w:pPr>
        <w:pStyle w:val="Normal"/>
        <w:spacing w:lineRule="auto" w:line="240" w:before="0" w:after="40"/>
        <w:ind w:hanging="567" w:left="567"/>
        <w:jc w:val="left"/>
        <w:rPr/>
      </w:pPr>
      <w:r>
        <w:rPr>
          <w:rFonts w:eastAsia="Times New Roman" w:cs="Times New Roman"/>
          <w:sz w:val="22"/>
          <w:szCs w:val="22"/>
          <w:lang w:val="en-US" w:bidi="fa-IR"/>
        </w:rPr>
        <w:t xml:space="preserve">Morrison, E. W., &amp; Milliken, F. J. (2000). Organizational silence: A barrier to change and development in a pluralistic world. </w:t>
      </w:r>
      <w:r>
        <w:rPr>
          <w:rFonts w:eastAsia="Times New Roman" w:cs="Times New Roman"/>
          <w:i/>
          <w:iCs/>
          <w:sz w:val="22"/>
          <w:szCs w:val="22"/>
          <w:lang w:val="en-US" w:bidi="fa-IR"/>
        </w:rPr>
        <w:t>Academy of Management Review, 25</w:t>
      </w:r>
      <w:r>
        <w:rPr>
          <w:rFonts w:eastAsia="Times New Roman" w:cs="Times New Roman"/>
          <w:sz w:val="22"/>
          <w:szCs w:val="22"/>
          <w:lang w:val="en-US" w:bidi="fa-IR"/>
        </w:rPr>
        <w:t>(4), 706–725. https://doi.org/10.5465/amr.2000.3707697</w:t>
      </w:r>
    </w:p>
    <w:p>
      <w:pPr>
        <w:pStyle w:val="Normal"/>
        <w:spacing w:lineRule="auto" w:line="240" w:before="0" w:after="40"/>
        <w:ind w:hanging="567" w:left="567"/>
        <w:jc w:val="left"/>
        <w:rPr/>
      </w:pPr>
      <w:r>
        <w:rPr>
          <w:rFonts w:eastAsia="Times New Roman" w:cs="Times New Roman"/>
          <w:sz w:val="22"/>
          <w:szCs w:val="22"/>
          <w:lang w:val="en-US" w:bidi="fa-IR"/>
        </w:rPr>
        <w:t xml:space="preserve">Near, J. P., &amp; Miceli, M. P. (1985). Organizational dissidence: The case of whistle-blowing. </w:t>
      </w:r>
      <w:r>
        <w:rPr>
          <w:rFonts w:eastAsia="Times New Roman" w:cs="Times New Roman"/>
          <w:i/>
          <w:iCs/>
          <w:sz w:val="22"/>
          <w:szCs w:val="22"/>
          <w:lang w:val="en-US" w:bidi="fa-IR"/>
        </w:rPr>
        <w:t>Journal of Business Ethics, 4</w:t>
      </w:r>
      <w:r>
        <w:rPr>
          <w:rFonts w:eastAsia="Times New Roman" w:cs="Times New Roman"/>
          <w:sz w:val="22"/>
          <w:szCs w:val="22"/>
          <w:lang w:val="en-US" w:bidi="fa-IR"/>
        </w:rPr>
        <w:t>(1), 1–16. https://doi.org/10.1007/BF00382668</w:t>
      </w:r>
    </w:p>
    <w:p>
      <w:pPr>
        <w:pStyle w:val="Normal"/>
        <w:spacing w:lineRule="auto" w:line="240" w:before="0" w:after="40"/>
        <w:ind w:hanging="567" w:left="567"/>
        <w:jc w:val="left"/>
        <w:rPr/>
      </w:pPr>
      <w:r>
        <w:rPr>
          <w:rFonts w:eastAsia="Times New Roman" w:cs="Times New Roman"/>
          <w:sz w:val="22"/>
          <w:szCs w:val="22"/>
          <w:lang w:val="en-US" w:bidi="fa-IR"/>
        </w:rPr>
        <w:t xml:space="preserve">Podsakoff, P. M., MacKenzie, S. B., Lee, J.-Y., &amp; Podsakoff, N. P. (2003). Common method biases in behavioral research: A critical review of the literature and recommended remedies. </w:t>
      </w:r>
      <w:r>
        <w:rPr>
          <w:rFonts w:eastAsia="Times New Roman" w:cs="Times New Roman"/>
          <w:i/>
          <w:iCs/>
          <w:sz w:val="22"/>
          <w:szCs w:val="22"/>
          <w:lang w:val="en-US" w:bidi="fa-IR"/>
        </w:rPr>
        <w:t>Journal of Applied Psychology, 88</w:t>
      </w:r>
      <w:r>
        <w:rPr>
          <w:rFonts w:eastAsia="Times New Roman" w:cs="Times New Roman"/>
          <w:sz w:val="22"/>
          <w:szCs w:val="22"/>
          <w:lang w:val="en-US" w:bidi="fa-IR"/>
        </w:rPr>
        <w:t>(5), 879–903. https://doi.org/10.1037/0021-9010.88.5.879</w:t>
      </w:r>
    </w:p>
    <w:p>
      <w:pPr>
        <w:pStyle w:val="Normal"/>
        <w:spacing w:lineRule="auto" w:line="240" w:before="0" w:after="40"/>
        <w:ind w:hanging="567" w:left="567"/>
        <w:jc w:val="left"/>
        <w:rPr/>
      </w:pPr>
      <w:r>
        <w:rPr>
          <w:rFonts w:eastAsia="Times New Roman" w:cs="Times New Roman"/>
          <w:sz w:val="22"/>
          <w:szCs w:val="22"/>
          <w:lang w:val="en-US" w:bidi="fa-IR"/>
        </w:rPr>
        <w:t xml:space="preserve">Polit, D. F., &amp; Beck, C. T. (2006). The content validity index: Are you sure you know what's being reported? Critique and recommendations. </w:t>
      </w:r>
      <w:r>
        <w:rPr>
          <w:rFonts w:eastAsia="Times New Roman" w:cs="Times New Roman"/>
          <w:i/>
          <w:iCs/>
          <w:sz w:val="22"/>
          <w:szCs w:val="22"/>
          <w:lang w:val="en-US" w:bidi="fa-IR"/>
        </w:rPr>
        <w:t>Research in Nursing &amp; Health, 29</w:t>
      </w:r>
      <w:r>
        <w:rPr>
          <w:rFonts w:eastAsia="Times New Roman" w:cs="Times New Roman"/>
          <w:sz w:val="22"/>
          <w:szCs w:val="22"/>
          <w:lang w:val="en-US" w:bidi="fa-IR"/>
        </w:rPr>
        <w:t>(5), 489–497. https://doi.org/10.1002/nur.20147</w:t>
      </w:r>
    </w:p>
    <w:p>
      <w:pPr>
        <w:pStyle w:val="Normal"/>
        <w:spacing w:lineRule="auto" w:line="240" w:before="0" w:after="40"/>
        <w:ind w:hanging="567" w:left="567"/>
        <w:jc w:val="left"/>
        <w:rPr/>
      </w:pPr>
      <w:r>
        <w:rPr>
          <w:rFonts w:eastAsia="Times New Roman" w:cs="Times New Roman"/>
          <w:sz w:val="22"/>
          <w:szCs w:val="22"/>
          <w:lang w:val="en-US" w:bidi="fa-IR"/>
        </w:rPr>
        <w:t xml:space="preserve">Preacher, K. J., &amp; Hayes, A. F. (2008). Asymptotic and resampling strategies for assessing and comparing indirect effects in multiple mediator models. </w:t>
      </w:r>
      <w:r>
        <w:rPr>
          <w:rFonts w:eastAsia="Times New Roman" w:cs="Times New Roman"/>
          <w:i/>
          <w:iCs/>
          <w:sz w:val="22"/>
          <w:szCs w:val="22"/>
          <w:lang w:val="en-US" w:bidi="fa-IR"/>
        </w:rPr>
        <w:t>Behavior Research Methods, 40</w:t>
      </w:r>
      <w:r>
        <w:rPr>
          <w:rFonts w:eastAsia="Times New Roman" w:cs="Times New Roman"/>
          <w:sz w:val="22"/>
          <w:szCs w:val="22"/>
          <w:lang w:val="en-US" w:bidi="fa-IR"/>
        </w:rPr>
        <w:t>(3), 879–891. https://doi.org/10.3758/BRM.40.3.879</w:t>
      </w:r>
    </w:p>
    <w:p>
      <w:pPr>
        <w:pStyle w:val="Normal"/>
        <w:spacing w:lineRule="auto" w:line="240" w:before="0" w:after="40"/>
        <w:ind w:hanging="567" w:left="567"/>
        <w:jc w:val="left"/>
        <w:rPr/>
      </w:pPr>
      <w:r>
        <w:rPr>
          <w:rFonts w:eastAsia="Times New Roman" w:cs="Times New Roman"/>
          <w:sz w:val="22"/>
          <w:szCs w:val="22"/>
          <w:lang w:val="en-US" w:bidi="fa-IR"/>
        </w:rPr>
        <w:t xml:space="preserve">Tenbrunsel, A. E., &amp; Messick, D. M. (2004). Ethical fading: The role of self-deception in unethical behavior. </w:t>
      </w:r>
      <w:r>
        <w:rPr>
          <w:rFonts w:eastAsia="Times New Roman" w:cs="Times New Roman"/>
          <w:i/>
          <w:iCs/>
          <w:sz w:val="22"/>
          <w:szCs w:val="22"/>
          <w:lang w:val="en-US" w:bidi="fa-IR"/>
        </w:rPr>
        <w:t>Social Justice Research, 17</w:t>
      </w:r>
      <w:r>
        <w:rPr>
          <w:rFonts w:eastAsia="Times New Roman" w:cs="Times New Roman"/>
          <w:sz w:val="22"/>
          <w:szCs w:val="22"/>
          <w:lang w:val="en-US" w:bidi="fa-IR"/>
        </w:rPr>
        <w:t>(2), 223–236. https://doi.org/10.1023/B:SORE.0000027411.35832.53</w:t>
      </w:r>
    </w:p>
    <w:p>
      <w:pPr>
        <w:pStyle w:val="Normal"/>
        <w:spacing w:lineRule="auto" w:line="240" w:before="0" w:after="40"/>
        <w:ind w:hanging="567" w:left="567"/>
        <w:jc w:val="left"/>
        <w:rPr/>
      </w:pPr>
      <w:r>
        <w:rPr>
          <w:rFonts w:eastAsia="Times New Roman" w:cs="Times New Roman"/>
          <w:sz w:val="22"/>
          <w:szCs w:val="22"/>
          <w:lang w:val="en-US" w:bidi="fa-IR"/>
        </w:rPr>
        <w:t xml:space="preserve">Treviño, L. K., Weaver, G. R., &amp; Reynolds, S. J. (2006). Behavioral ethics in organizations: A review. </w:t>
      </w:r>
      <w:r>
        <w:rPr>
          <w:rFonts w:eastAsia="Times New Roman" w:cs="Times New Roman"/>
          <w:i/>
          <w:iCs/>
          <w:sz w:val="22"/>
          <w:szCs w:val="22"/>
          <w:lang w:val="en-US" w:bidi="fa-IR"/>
        </w:rPr>
        <w:t>Journal of Management, 32</w:t>
      </w:r>
      <w:r>
        <w:rPr>
          <w:rFonts w:eastAsia="Times New Roman" w:cs="Times New Roman"/>
          <w:sz w:val="22"/>
          <w:szCs w:val="22"/>
          <w:lang w:val="en-US" w:bidi="fa-IR"/>
        </w:rPr>
        <w:t>(6), 951–990. https://doi.org/10.1177/0149206306294258</w:t>
      </w:r>
    </w:p>
    <w:p>
      <w:pPr>
        <w:pStyle w:val="Normal"/>
        <w:spacing w:lineRule="auto" w:line="240" w:before="0" w:after="40"/>
        <w:ind w:hanging="567" w:left="567"/>
        <w:jc w:val="left"/>
        <w:rPr/>
      </w:pPr>
      <w:r>
        <w:rPr>
          <w:rFonts w:eastAsia="Times New Roman" w:cs="Times New Roman"/>
          <w:sz w:val="22"/>
          <w:szCs w:val="22"/>
          <w:lang w:val="en-US" w:bidi="fa-IR"/>
        </w:rPr>
        <w:t xml:space="preserve">Van Dyne, L., Ang, S., &amp; Botero, I. C. (2003). Conceptualizing employee silence and employee voice as multidimensional constructs. </w:t>
      </w:r>
      <w:r>
        <w:rPr>
          <w:rFonts w:eastAsia="Times New Roman" w:cs="Times New Roman"/>
          <w:i/>
          <w:iCs/>
          <w:sz w:val="22"/>
          <w:szCs w:val="22"/>
          <w:lang w:val="en-US" w:bidi="fa-IR"/>
        </w:rPr>
        <w:t>Journal of Management Studies, 40</w:t>
      </w:r>
      <w:r>
        <w:rPr>
          <w:rFonts w:eastAsia="Times New Roman" w:cs="Times New Roman"/>
          <w:sz w:val="22"/>
          <w:szCs w:val="22"/>
          <w:lang w:val="en-US" w:bidi="fa-IR"/>
        </w:rPr>
        <w:t>(6), 1359–1392. https://doi.org/10.1111/1467-6486.00384</w:t>
      </w:r>
    </w:p>
    <w:p>
      <w:pPr>
        <w:pStyle w:val="Normal"/>
        <w:spacing w:lineRule="auto" w:line="240" w:before="0" w:after="40"/>
        <w:ind w:hanging="567" w:left="567"/>
        <w:jc w:val="left"/>
        <w:rPr/>
      </w:pPr>
      <w:r>
        <w:rPr>
          <w:rFonts w:eastAsia="Times New Roman" w:cs="Times New Roman"/>
          <w:sz w:val="22"/>
          <w:szCs w:val="22"/>
          <w:lang w:val="en-US" w:bidi="fa-IR"/>
        </w:rPr>
        <w:t xml:space="preserve">Victor, B., &amp; Cullen, J. B. (1988). The organizational bases of ethical work climates. </w:t>
      </w:r>
      <w:r>
        <w:rPr>
          <w:rFonts w:eastAsia="Times New Roman" w:cs="Times New Roman"/>
          <w:i/>
          <w:iCs/>
          <w:sz w:val="22"/>
          <w:szCs w:val="22"/>
          <w:lang w:val="en-US" w:bidi="fa-IR"/>
        </w:rPr>
        <w:t>Administrative Science Quarterly, 33</w:t>
      </w:r>
      <w:r>
        <w:rPr>
          <w:rFonts w:eastAsia="Times New Roman" w:cs="Times New Roman"/>
          <w:sz w:val="22"/>
          <w:szCs w:val="22"/>
          <w:lang w:val="en-US" w:bidi="fa-IR"/>
        </w:rPr>
        <w:t>(1), 101–125. https://doi.org/10.2307/2392857</w:t>
      </w:r>
    </w:p>
    <w:p>
      <w:pPr>
        <w:pStyle w:val="Normal"/>
        <w:spacing w:lineRule="auto" w:line="240" w:before="80" w:after="40"/>
        <w:jc w:val="left"/>
        <w:rPr/>
      </w:pPr>
      <w:r>
        <w:rPr>
          <w:rFonts w:eastAsia="Times New Roman" w:cs="B Nazanin"/>
          <w:b/>
          <w:bCs/>
          <w:sz w:val="22"/>
          <w:szCs w:val="22"/>
          <w:lang w:val="en-US" w:bidi="fa-IR"/>
        </w:rPr>
        <w:t>References (Persian sources in English)</w:t>
      </w:r>
    </w:p>
    <w:p>
      <w:pPr>
        <w:pStyle w:val="Normal"/>
        <w:spacing w:lineRule="auto" w:line="240" w:before="0" w:after="40"/>
        <w:ind w:hanging="567" w:left="567"/>
        <w:jc w:val="left"/>
        <w:rPr/>
      </w:pPr>
      <w:r>
        <w:rPr>
          <w:rFonts w:eastAsia="Times New Roman" w:cs="Times New Roman"/>
          <w:sz w:val="22"/>
          <w:szCs w:val="22"/>
          <w:highlight w:val="yellow"/>
          <w:rtl w:val="true"/>
          <w:lang w:val="en-US" w:bidi="fa-IR"/>
        </w:rPr>
        <w:t>[</w:t>
      </w:r>
      <w:r>
        <w:rPr>
          <w:rFonts w:eastAsia="Times New Roman" w:cs="Times New Roman"/>
          <w:sz w:val="22"/>
          <w:szCs w:val="22"/>
          <w:highlight w:val="yellow"/>
          <w:lang w:val="en-US" w:bidi="fa-IR"/>
        </w:rPr>
        <w:t>Authors</w:t>
      </w:r>
      <w:r>
        <w:rPr>
          <w:rFonts w:eastAsia="Times New Roman" w:cs="Times New Roman"/>
          <w:sz w:val="22"/>
          <w:szCs w:val="22"/>
          <w:highlight w:val="yellow"/>
          <w:rtl w:val="true"/>
          <w:lang w:val="en-US" w:bidi="fa-IR"/>
        </w:rPr>
        <w:t>]</w:t>
      </w:r>
      <w:r>
        <w:rPr>
          <w:rFonts w:eastAsia="Times New Roman" w:cs="Times New Roman"/>
          <w:sz w:val="22"/>
          <w:szCs w:val="22"/>
          <w:rtl w:val="true"/>
          <w:lang w:val="en-US" w:bidi="fa-IR"/>
        </w:rPr>
        <w:t xml:space="preserve"> (</w:t>
      </w:r>
      <w:r>
        <w:rPr>
          <w:rFonts w:eastAsia="Times New Roman" w:cs="Times New Roman"/>
          <w:sz w:val="22"/>
          <w:szCs w:val="22"/>
          <w:lang w:val="en-US" w:bidi="fa-IR"/>
        </w:rPr>
        <w:t>2022</w:t>
      </w:r>
      <w:r>
        <w:rPr>
          <w:rFonts w:eastAsia="Times New Roman" w:cs="Times New Roman"/>
          <w:sz w:val="22"/>
          <w:szCs w:val="22"/>
          <w:rtl w:val="true"/>
          <w:lang w:val="en-US" w:bidi="fa-IR"/>
        </w:rPr>
        <w:t xml:space="preserve">). </w:t>
      </w:r>
      <w:r>
        <w:rPr>
          <w:rFonts w:eastAsia="Times New Roman" w:cs="Times New Roman"/>
          <w:sz w:val="22"/>
          <w:szCs w:val="22"/>
          <w:lang w:val="en-US" w:bidi="fa-IR"/>
        </w:rPr>
        <w:t xml:space="preserve">The effects of time pressure, work–family conflict and role ambiguity on audit quality reduction behaviors with the mediating role of job stress. </w:t>
      </w:r>
      <w:r>
        <w:rPr>
          <w:rFonts w:eastAsia="Times New Roman" w:cs="Times New Roman"/>
          <w:i/>
          <w:iCs/>
          <w:sz w:val="22"/>
          <w:szCs w:val="22"/>
          <w:lang w:val="en-US" w:bidi="fa-IR"/>
        </w:rPr>
        <w:t>Accounting and Auditing Review, 29</w:t>
      </w:r>
      <w:r>
        <w:rPr>
          <w:rFonts w:eastAsia="Times New Roman" w:cs="Times New Roman"/>
          <w:sz w:val="22"/>
          <w:szCs w:val="22"/>
          <w:lang w:val="en-US" w:bidi="fa-IR"/>
        </w:rPr>
        <w:t>(4), 714–737. https://doi.org/10.22059/acctgrev.2023.344298.1008693 (in Persian)</w:t>
      </w:r>
    </w:p>
    <w:p>
      <w:pPr>
        <w:pStyle w:val="Normal"/>
        <w:spacing w:lineRule="auto" w:line="240" w:before="0" w:after="40"/>
        <w:ind w:hanging="567" w:left="567"/>
        <w:jc w:val="left"/>
        <w:rPr/>
      </w:pPr>
      <w:r>
        <w:rPr>
          <w:rFonts w:eastAsia="Times New Roman" w:cs="Times New Roman"/>
          <w:sz w:val="22"/>
          <w:szCs w:val="22"/>
          <w:lang w:val="en-US" w:bidi="fa-IR"/>
        </w:rPr>
        <w:t xml:space="preserve">Ebrahimi, </w:t>
      </w:r>
      <w:r>
        <w:rPr>
          <w:rFonts w:eastAsia="Times New Roman" w:cs="Times New Roman"/>
          <w:sz w:val="22"/>
          <w:szCs w:val="22"/>
          <w:highlight w:val="yellow"/>
          <w:lang w:val="en-US" w:bidi="fa-IR"/>
        </w:rPr>
        <w:t>[first name]</w:t>
      </w:r>
      <w:r>
        <w:rPr>
          <w:rFonts w:eastAsia="Times New Roman" w:cs="Times New Roman"/>
          <w:sz w:val="22"/>
          <w:szCs w:val="22"/>
          <w:lang w:val="en-US" w:bidi="fa-IR"/>
        </w:rPr>
        <w:t xml:space="preserve">, Safari Gerayeli, </w:t>
      </w:r>
      <w:r>
        <w:rPr>
          <w:rFonts w:eastAsia="Times New Roman" w:cs="Times New Roman"/>
          <w:sz w:val="22"/>
          <w:szCs w:val="22"/>
          <w:highlight w:val="yellow"/>
          <w:lang w:val="en-US" w:bidi="fa-IR"/>
        </w:rPr>
        <w:t>[first name]</w:t>
      </w:r>
      <w:r>
        <w:rPr>
          <w:rFonts w:eastAsia="Times New Roman" w:cs="Times New Roman"/>
          <w:sz w:val="22"/>
          <w:szCs w:val="22"/>
          <w:lang w:val="en-US" w:bidi="fa-IR"/>
        </w:rPr>
        <w:t xml:space="preserve">, &amp; Valian, </w:t>
      </w:r>
      <w:r>
        <w:rPr>
          <w:rFonts w:eastAsia="Times New Roman" w:cs="Times New Roman"/>
          <w:sz w:val="22"/>
          <w:szCs w:val="22"/>
          <w:highlight w:val="yellow"/>
          <w:lang w:val="en-US" w:bidi="fa-IR"/>
        </w:rPr>
        <w:t>[first name]</w:t>
      </w:r>
      <w:r>
        <w:rPr>
          <w:rFonts w:eastAsia="Times New Roman" w:cs="Times New Roman"/>
          <w:sz w:val="22"/>
          <w:szCs w:val="22"/>
          <w:lang w:val="en-US" w:bidi="fa-IR"/>
        </w:rPr>
        <w:t xml:space="preserve"> (2022). Designing a model of the causes that reinforce internal auditors' organizational silence. </w:t>
      </w:r>
      <w:r>
        <w:rPr>
          <w:rFonts w:eastAsia="Times New Roman" w:cs="Times New Roman"/>
          <w:i/>
          <w:iCs/>
          <w:sz w:val="22"/>
          <w:szCs w:val="22"/>
          <w:lang w:val="en-US" w:bidi="fa-IR"/>
        </w:rPr>
        <w:t xml:space="preserve">Empirical Studies in Accounting Research, </w:t>
      </w:r>
      <w:r>
        <w:rPr>
          <w:rFonts w:eastAsia="Times New Roman" w:cs="Times New Roman"/>
          <w:i/>
          <w:iCs/>
          <w:sz w:val="22"/>
          <w:szCs w:val="22"/>
          <w:highlight w:val="yellow"/>
          <w:lang w:val="en-US" w:bidi="fa-IR"/>
        </w:rPr>
        <w:t>[vol.]</w:t>
      </w:r>
      <w:r>
        <w:rPr>
          <w:rFonts w:eastAsia="Times New Roman" w:cs="Times New Roman"/>
          <w:sz w:val="22"/>
          <w:szCs w:val="22"/>
          <w:lang w:val="en-US" w:bidi="fa-IR"/>
        </w:rPr>
        <w:t>(</w:t>
      </w:r>
      <w:r>
        <w:rPr>
          <w:rFonts w:eastAsia="Times New Roman" w:cs="Times New Roman"/>
          <w:sz w:val="22"/>
          <w:szCs w:val="22"/>
          <w:highlight w:val="yellow"/>
          <w:lang w:val="en-US" w:bidi="fa-IR"/>
        </w:rPr>
        <w:t>[no.]</w:t>
      </w:r>
      <w:r>
        <w:rPr>
          <w:rFonts w:eastAsia="Times New Roman" w:cs="Times New Roman"/>
          <w:sz w:val="22"/>
          <w:szCs w:val="22"/>
          <w:lang w:val="en-US" w:bidi="fa-IR"/>
        </w:rPr>
        <w:t xml:space="preserve">), </w:t>
      </w:r>
      <w:r>
        <w:rPr>
          <w:rFonts w:eastAsia="Times New Roman" w:cs="Times New Roman"/>
          <w:sz w:val="22"/>
          <w:szCs w:val="22"/>
          <w:highlight w:val="yellow"/>
          <w:lang w:val="en-US" w:bidi="fa-IR"/>
        </w:rPr>
        <w:t>[pages]</w:t>
      </w:r>
      <w:r>
        <w:rPr>
          <w:rFonts w:eastAsia="Times New Roman" w:cs="Times New Roman"/>
          <w:sz w:val="22"/>
          <w:szCs w:val="22"/>
          <w:lang w:val="en-US" w:bidi="fa-IR"/>
        </w:rPr>
        <w:t>. (in Persian)</w:t>
      </w:r>
    </w:p>
    <w:p>
      <w:pPr>
        <w:pStyle w:val="Normal"/>
        <w:spacing w:lineRule="auto" w:line="240" w:before="0" w:after="40"/>
        <w:ind w:hanging="567" w:left="567"/>
        <w:jc w:val="left"/>
        <w:rPr/>
      </w:pPr>
      <w:r>
        <w:rPr>
          <w:rFonts w:eastAsia="Times New Roman" w:cs="Times New Roman"/>
          <w:sz w:val="22"/>
          <w:szCs w:val="22"/>
          <w:lang w:val="en-US" w:bidi="fa-IR"/>
        </w:rPr>
        <w:t>Mahdavi, G., Bahmani, R., &amp; Namazi, N. R. (</w:t>
      </w:r>
      <w:r>
        <w:rPr>
          <w:rFonts w:eastAsia="Times New Roman" w:cs="Times New Roman"/>
          <w:sz w:val="22"/>
          <w:szCs w:val="22"/>
          <w:highlight w:val="yellow"/>
          <w:lang w:val="en-US" w:bidi="fa-IR"/>
        </w:rPr>
        <w:t>[year]</w:t>
      </w:r>
      <w:r>
        <w:rPr>
          <w:rFonts w:eastAsia="Times New Roman" w:cs="Times New Roman"/>
          <w:sz w:val="22"/>
          <w:szCs w:val="22"/>
          <w:lang w:val="en-US" w:bidi="fa-IR"/>
        </w:rPr>
        <w:t xml:space="preserve">). The mediating role of dysfunctional auditor behavior in explaining the relationship between religiosity and professional commitment with audit quality. </w:t>
      </w:r>
      <w:r>
        <w:rPr>
          <w:rFonts w:eastAsia="Times New Roman" w:cs="Times New Roman"/>
          <w:i/>
          <w:iCs/>
          <w:sz w:val="22"/>
          <w:szCs w:val="22"/>
          <w:lang w:val="en-US" w:bidi="fa-IR"/>
        </w:rPr>
        <w:t xml:space="preserve">Journal of Value and Behavioral Accounting, </w:t>
      </w:r>
      <w:r>
        <w:rPr>
          <w:rFonts w:eastAsia="Times New Roman" w:cs="Times New Roman"/>
          <w:i/>
          <w:iCs/>
          <w:sz w:val="22"/>
          <w:szCs w:val="22"/>
          <w:highlight w:val="yellow"/>
          <w:lang w:val="en-US" w:bidi="fa-IR"/>
        </w:rPr>
        <w:t>[vol.]</w:t>
      </w:r>
      <w:r>
        <w:rPr>
          <w:rFonts w:eastAsia="Times New Roman" w:cs="Times New Roman"/>
          <w:sz w:val="22"/>
          <w:szCs w:val="22"/>
          <w:lang w:val="en-US" w:bidi="fa-IR"/>
        </w:rPr>
        <w:t>(</w:t>
      </w:r>
      <w:r>
        <w:rPr>
          <w:rFonts w:eastAsia="Times New Roman" w:cs="Times New Roman"/>
          <w:sz w:val="22"/>
          <w:szCs w:val="22"/>
          <w:highlight w:val="yellow"/>
          <w:lang w:val="en-US" w:bidi="fa-IR"/>
        </w:rPr>
        <w:t>[no.]</w:t>
      </w:r>
      <w:r>
        <w:rPr>
          <w:rFonts w:eastAsia="Times New Roman" w:cs="Times New Roman"/>
          <w:sz w:val="22"/>
          <w:szCs w:val="22"/>
          <w:lang w:val="en-US" w:bidi="fa-IR"/>
        </w:rPr>
        <w:t xml:space="preserve">), </w:t>
      </w:r>
      <w:r>
        <w:rPr>
          <w:rFonts w:eastAsia="Times New Roman" w:cs="Times New Roman"/>
          <w:sz w:val="22"/>
          <w:szCs w:val="22"/>
          <w:highlight w:val="yellow"/>
          <w:lang w:val="en-US" w:bidi="fa-IR"/>
        </w:rPr>
        <w:t>[pages]</w:t>
      </w:r>
      <w:r>
        <w:rPr>
          <w:rFonts w:eastAsia="Times New Roman" w:cs="Times New Roman"/>
          <w:sz w:val="22"/>
          <w:szCs w:val="22"/>
          <w:lang w:val="en-US" w:bidi="fa-IR"/>
        </w:rPr>
        <w:t>. (in Persian)</w:t>
      </w:r>
    </w:p>
    <w:p>
      <w:pPr>
        <w:pStyle w:val="Normal"/>
        <w:spacing w:lineRule="auto" w:line="240" w:before="0" w:after="40"/>
        <w:ind w:hanging="567" w:left="567"/>
        <w:jc w:val="left"/>
        <w:rPr/>
      </w:pPr>
      <w:r>
        <w:rPr>
          <w:rFonts w:eastAsia="Times New Roman" w:cs="Times New Roman"/>
          <w:sz w:val="22"/>
          <w:szCs w:val="22"/>
          <w:lang w:val="en-US" w:bidi="fa-IR"/>
        </w:rPr>
        <w:t xml:space="preserve">Mehrani, S., &amp; Naimi, </w:t>
      </w:r>
      <w:r>
        <w:rPr>
          <w:rFonts w:eastAsia="Times New Roman" w:cs="Times New Roman"/>
          <w:sz w:val="22"/>
          <w:szCs w:val="22"/>
          <w:highlight w:val="yellow"/>
          <w:lang w:val="en-US" w:bidi="fa-IR"/>
        </w:rPr>
        <w:t>[first name]</w:t>
      </w:r>
      <w:r>
        <w:rPr>
          <w:rFonts w:eastAsia="Times New Roman" w:cs="Times New Roman"/>
          <w:sz w:val="22"/>
          <w:szCs w:val="22"/>
          <w:lang w:val="en-US" w:bidi="fa-IR"/>
        </w:rPr>
        <w:t xml:space="preserve"> (2003). Moral theory and the effect of time budget pressure on the behavior of independent auditors. </w:t>
      </w:r>
      <w:r>
        <w:rPr>
          <w:rFonts w:eastAsia="Times New Roman" w:cs="Times New Roman"/>
          <w:i/>
          <w:iCs/>
          <w:sz w:val="22"/>
          <w:szCs w:val="22"/>
          <w:lang w:val="en-US" w:bidi="fa-IR"/>
        </w:rPr>
        <w:t>Accounting and Auditing Review, 10</w:t>
      </w:r>
      <w:r>
        <w:rPr>
          <w:rFonts w:eastAsia="Times New Roman" w:cs="Times New Roman"/>
          <w:sz w:val="22"/>
          <w:szCs w:val="22"/>
          <w:lang w:val="en-US" w:bidi="fa-IR"/>
        </w:rPr>
        <w:t>(2), 43–61. (in Persian)</w:t>
      </w:r>
    </w:p>
    <w:p>
      <w:pPr>
        <w:pStyle w:val="Normal"/>
        <w:spacing w:lineRule="auto" w:line="240" w:before="240" w:after="100"/>
        <w:jc w:val="center"/>
        <w:rPr/>
      </w:pPr>
      <w:r>
        <w:rPr>
          <w:rFonts w:eastAsia="Times New Roman" w:cs="Arial"/>
          <w:b/>
          <w:bCs/>
          <w:i/>
          <w:iCs/>
          <w:sz w:val="28"/>
          <w:szCs w:val="28"/>
          <w:lang w:val="en-US" w:bidi="fa-IR"/>
        </w:rPr>
        <w:t>Why Do Auditors Stay Silent? Time-Budget Pressure, Moral Disengagement and the Role of Professional Conscience</w:t>
      </w:r>
    </w:p>
    <w:p>
      <w:pPr>
        <w:pStyle w:val="Normal"/>
        <w:spacing w:lineRule="auto" w:line="240" w:before="0" w:after="60"/>
        <w:jc w:val="both"/>
        <w:rPr/>
      </w:pPr>
      <w:r>
        <w:rPr>
          <w:rFonts w:eastAsia="Times New Roman" w:cs="B Nazanin"/>
          <w:b/>
          <w:bCs/>
          <w:sz w:val="18"/>
          <w:szCs w:val="18"/>
          <w:lang w:val="en-US" w:bidi="fa-IR"/>
        </w:rPr>
        <w:t>Abstract:</w:t>
      </w:r>
      <w:r>
        <w:rPr>
          <w:rFonts w:eastAsia="Times New Roman" w:cs="B Nazanin"/>
          <w:sz w:val="18"/>
          <w:szCs w:val="18"/>
          <w:lang w:val="en-US" w:bidi="fa-IR"/>
        </w:rPr>
        <w:t xml:space="preserve"> Purpose: This study examines how time-budget pressure and organisational ethical climate affect auditors' silence about a detected irregularity through moral disengagement, and whether professional conscience weakens this process. Design/methodology/approach: A survey of 364 auditors working in the Audit Organization and audit firms was analysed with covariance-based structural equation modelling using fully latent variables (no item composites), two latent interaction terms and 2,000 bootstrap draws. Findings: Time-budget pressure increased moral disengagement (β = 0.54) and ethical climate reduced it (β = -0.23). Moral disengagement was the strongest predictor of silence (β = 0.43); ethical climate also had a direct negative effect on silence (β = -0.14), while the direct effect of time pressure was not significant, which indicates that it works mainly through justification. Professional conscience weakened both the effect of time pressure on moral disengagement (β = -0.20) and the effect of moral disengagement on silence (β = -0.19); the indirect effect of time pressure on silence fell from 0.47 at low conscience to 0.10 at high conscience. The model explained 46% of the variance in silence. Results were stable across DWLS estimation, residual-centred product indicators, a respecified model and outlier trimming; a reverse-path model fitted almost equally well, so the causal direction rests on theory. Originality/value: The study treats silence as the end point of a chain of pressure, justification and silence, and shows that organisational climate and internalised professional values act on different links of this chain. Practical implications: Protected time for unusual findings, training that makes justification mechanisms visible, ethical leadership and safe channels for raising concerns are likely to reduce silence more effectively than exhortation to report</w:t>
      </w:r>
      <w:r>
        <w:rPr>
          <w:rFonts w:eastAsia="Times New Roman" w:cs="B Nazanin"/>
          <w:sz w:val="18"/>
          <w:szCs w:val="18"/>
          <w:rtl w:val="true"/>
          <w:lang w:val="en-US" w:bidi="fa-IR"/>
        </w:rPr>
        <w:t>.</w:t>
      </w:r>
    </w:p>
    <w:p>
      <w:pPr>
        <w:pStyle w:val="Normal"/>
        <w:spacing w:lineRule="auto" w:line="240" w:before="0" w:after="0"/>
        <w:jc w:val="left"/>
        <w:rPr/>
      </w:pPr>
      <w:r>
        <w:rPr>
          <w:rFonts w:eastAsia="Times New Roman" w:cs="B Nazanin"/>
          <w:b/>
          <w:bCs/>
          <w:sz w:val="16"/>
          <w:szCs w:val="16"/>
          <w:lang w:val="en-US" w:bidi="fa-IR"/>
        </w:rPr>
        <w:t>Keywords:</w:t>
      </w:r>
      <w:r>
        <w:rPr>
          <w:rFonts w:eastAsia="Times New Roman" w:cs="B Nazanin"/>
          <w:sz w:val="16"/>
          <w:szCs w:val="16"/>
          <w:lang w:val="en-US" w:bidi="fa-IR"/>
        </w:rPr>
        <w:t xml:space="preserve"> Ethical climate, Auditing, Moral disengagement, Silence, Time-budget pressure, Professional conscience</w:t>
      </w:r>
    </w:p>
    <w:sectPr>
      <w:footerReference w:type="even" r:id="rId12"/>
      <w:footerReference w:type="default" r:id="rId13"/>
      <w:footerReference w:type="first" r:id="rId14"/>
      <w:footnotePr>
        <w:numFmt w:val="decimal"/>
      </w:footnotePr>
      <w:type w:val="nextPage"/>
      <w:pgSz w:w="11906" w:h="16838"/>
      <w:pgMar w:left="1417" w:right="1417" w:gutter="0" w:header="0" w:top="1417" w:footer="708" w:bottom="1417"/>
      <w:pgNumType w:fmt="decimal"/>
      <w:formProt w:val="false"/>
      <w:textDirection w:val="lrTb"/>
      <w:bidi/>
      <w:docGrid w:type="default" w:linePitch="100" w:charSpace="-409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7</w:t>
    </w:r>
    <w:r>
      <w:rPr>
        <w:rtl w:val="tru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7</w:t>
    </w:r>
    <w:r>
      <w:rPr>
        <w:rtl w:val="true"/>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8</w:t>
    </w:r>
    <w:r>
      <w:rPr>
        <w:rtl w:val="true"/>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15</w:t>
    </w:r>
    <w:r>
      <w:rPr>
        <w:rtl w:val="true"/>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spacing w:lineRule="auto" w:line="240" w:before="0" w:after="0"/>
        <w:jc w:val="left"/>
        <w:rPr/>
      </w:pPr>
      <w:r>
        <w:rPr>
          <w:rStyle w:val="FootnoteCharacters"/>
        </w:rPr>
        <w:footnoteRef/>
      </w:r>
      <w:r>
        <w:rPr>
          <w:rFonts w:cs="Times New Roman"/>
          <w:sz w:val="22"/>
          <w:szCs w:val="22"/>
        </w:rPr>
        <w:t>. Treviño, Weaver, &amp; Reynolds</w:t>
      </w:r>
    </w:p>
  </w:footnote>
  <w:footnote w:id="3">
    <w:p>
      <w:pPr>
        <w:pStyle w:val="FootnoteText"/>
        <w:bidi w:val="0"/>
        <w:spacing w:lineRule="auto" w:line="240" w:before="0" w:after="0"/>
        <w:jc w:val="left"/>
        <w:rPr/>
      </w:pPr>
      <w:r>
        <w:rPr>
          <w:rStyle w:val="FootnoteCharacters"/>
        </w:rPr>
        <w:footnoteRef/>
      </w:r>
      <w:r>
        <w:rPr>
          <w:rFonts w:cs="Times New Roman"/>
          <w:sz w:val="22"/>
          <w:szCs w:val="22"/>
        </w:rPr>
        <w:t>. Bazerman &amp; Gino</w:t>
      </w:r>
    </w:p>
  </w:footnote>
  <w:footnote w:id="4">
    <w:p>
      <w:pPr>
        <w:pStyle w:val="FootnoteText"/>
        <w:bidi w:val="0"/>
        <w:spacing w:lineRule="auto" w:line="240" w:before="0" w:after="0"/>
        <w:jc w:val="left"/>
        <w:rPr/>
      </w:pPr>
      <w:r>
        <w:rPr>
          <w:rStyle w:val="FootnoteCharacters"/>
        </w:rPr>
        <w:footnoteRef/>
      </w:r>
      <w:r>
        <w:rPr>
          <w:rFonts w:cs="Times New Roman"/>
          <w:sz w:val="22"/>
          <w:szCs w:val="22"/>
        </w:rPr>
        <w:t>. Mehrani &amp; Naimi</w:t>
      </w:r>
    </w:p>
  </w:footnote>
  <w:footnote w:id="5">
    <w:p>
      <w:pPr>
        <w:pStyle w:val="FootnoteText"/>
        <w:bidi w:val="0"/>
        <w:spacing w:lineRule="auto" w:line="240" w:before="0" w:after="0"/>
        <w:jc w:val="left"/>
        <w:rPr/>
      </w:pPr>
      <w:r>
        <w:rPr>
          <w:rStyle w:val="FootnoteCharacters"/>
        </w:rPr>
        <w:footnoteRef/>
      </w:r>
      <w:r>
        <w:rPr>
          <w:rFonts w:cs="Times New Roman"/>
          <w:sz w:val="22"/>
          <w:szCs w:val="22"/>
        </w:rPr>
        <w:t>. Authors</w:t>
      </w:r>
    </w:p>
  </w:footnote>
  <w:footnote w:id="6">
    <w:p>
      <w:pPr>
        <w:pStyle w:val="FootnoteText"/>
        <w:bidi w:val="0"/>
        <w:spacing w:lineRule="auto" w:line="240" w:before="0" w:after="0"/>
        <w:jc w:val="left"/>
        <w:rPr/>
      </w:pPr>
      <w:r>
        <w:rPr>
          <w:rStyle w:val="FootnoteCharacters"/>
        </w:rPr>
        <w:footnoteRef/>
      </w:r>
      <w:r>
        <w:rPr>
          <w:rFonts w:cs="Times New Roman"/>
          <w:sz w:val="22"/>
          <w:szCs w:val="22"/>
        </w:rPr>
        <w:t>. Ebrahimi, Safari Gerayeli, &amp; Valian</w:t>
      </w:r>
    </w:p>
  </w:footnote>
  <w:footnote w:id="7">
    <w:p>
      <w:pPr>
        <w:pStyle w:val="FootnoteText"/>
        <w:bidi w:val="0"/>
        <w:spacing w:lineRule="auto" w:line="240" w:before="0" w:after="0"/>
        <w:jc w:val="left"/>
        <w:rPr/>
      </w:pPr>
      <w:r>
        <w:rPr>
          <w:rStyle w:val="FootnoteCharacters"/>
        </w:rPr>
        <w:footnoteRef/>
      </w:r>
      <w:r>
        <w:rPr>
          <w:rFonts w:cs="Times New Roman"/>
          <w:sz w:val="22"/>
          <w:szCs w:val="22"/>
        </w:rPr>
        <w:t>. Tenbrunsel &amp; Messick</w:t>
      </w:r>
    </w:p>
  </w:footnote>
  <w:footnote w:id="8">
    <w:p>
      <w:pPr>
        <w:pStyle w:val="FootnoteText"/>
        <w:bidi w:val="0"/>
        <w:spacing w:lineRule="auto" w:line="240" w:before="0" w:after="0"/>
        <w:jc w:val="left"/>
        <w:rPr/>
      </w:pPr>
      <w:r>
        <w:rPr>
          <w:rStyle w:val="FootnoteCharacters"/>
        </w:rPr>
        <w:footnoteRef/>
      </w:r>
      <w:r>
        <w:rPr>
          <w:rFonts w:cs="Times New Roman"/>
          <w:sz w:val="22"/>
          <w:szCs w:val="22"/>
        </w:rPr>
        <w:t>. Bandura</w:t>
      </w:r>
    </w:p>
  </w:footnote>
  <w:footnote w:id="9">
    <w:p>
      <w:pPr>
        <w:pStyle w:val="FootnoteText"/>
        <w:bidi w:val="0"/>
        <w:spacing w:lineRule="auto" w:line="240" w:before="0" w:after="0"/>
        <w:jc w:val="left"/>
        <w:rPr/>
      </w:pPr>
      <w:r>
        <w:rPr>
          <w:rStyle w:val="FootnoteCharacters"/>
        </w:rPr>
        <w:footnoteRef/>
      </w:r>
      <w:r>
        <w:rPr>
          <w:rFonts w:cs="Times New Roman"/>
          <w:sz w:val="22"/>
          <w:szCs w:val="22"/>
        </w:rPr>
        <w:t>. Lewis</w:t>
      </w:r>
    </w:p>
  </w:footnote>
  <w:footnote w:id="10">
    <w:p>
      <w:pPr>
        <w:pStyle w:val="FootnoteText"/>
        <w:bidi w:val="0"/>
        <w:spacing w:lineRule="auto" w:line="240" w:before="0" w:after="0"/>
        <w:jc w:val="left"/>
        <w:rPr/>
      </w:pPr>
      <w:r>
        <w:rPr>
          <w:rStyle w:val="FootnoteCharacters"/>
        </w:rPr>
        <w:footnoteRef/>
      </w:r>
      <w:r>
        <w:rPr>
          <w:rFonts w:cs="Times New Roman"/>
          <w:sz w:val="22"/>
          <w:szCs w:val="22"/>
        </w:rPr>
        <w:t>. Baydoun &amp; Willett</w:t>
      </w:r>
    </w:p>
  </w:footnote>
  <w:footnote w:id="11">
    <w:p>
      <w:pPr>
        <w:pStyle w:val="FootnoteText"/>
        <w:bidi w:val="0"/>
        <w:spacing w:lineRule="auto" w:line="240" w:before="0" w:after="0"/>
        <w:jc w:val="left"/>
        <w:rPr/>
      </w:pPr>
      <w:r>
        <w:rPr>
          <w:rStyle w:val="FootnoteCharacters"/>
        </w:rPr>
        <w:footnoteRef/>
      </w:r>
      <w:r>
        <w:rPr>
          <w:rFonts w:cs="Times New Roman"/>
          <w:sz w:val="22"/>
          <w:szCs w:val="22"/>
        </w:rPr>
        <w:t>. Jones</w:t>
      </w:r>
    </w:p>
  </w:footnote>
  <w:footnote w:id="12">
    <w:p>
      <w:pPr>
        <w:pStyle w:val="FootnoteText"/>
        <w:bidi w:val="0"/>
        <w:spacing w:lineRule="auto" w:line="240" w:before="0" w:after="0"/>
        <w:jc w:val="left"/>
        <w:rPr/>
      </w:pPr>
      <w:r>
        <w:rPr>
          <w:rStyle w:val="FootnoteCharacters"/>
        </w:rPr>
        <w:footnoteRef/>
      </w:r>
      <w:r>
        <w:rPr>
          <w:rFonts w:cs="Times New Roman"/>
          <w:sz w:val="22"/>
          <w:szCs w:val="22"/>
        </w:rPr>
        <w:t>. Moore et al.</w:t>
      </w:r>
    </w:p>
  </w:footnote>
  <w:footnote w:id="13">
    <w:p>
      <w:pPr>
        <w:pStyle w:val="FootnoteText"/>
        <w:bidi w:val="0"/>
        <w:spacing w:lineRule="auto" w:line="240" w:before="0" w:after="0"/>
        <w:jc w:val="left"/>
        <w:rPr/>
      </w:pPr>
      <w:r>
        <w:rPr>
          <w:rStyle w:val="FootnoteCharacters"/>
        </w:rPr>
        <w:footnoteRef/>
      </w:r>
      <w:r>
        <w:rPr>
          <w:rFonts w:cs="Times New Roman"/>
          <w:sz w:val="22"/>
          <w:szCs w:val="22"/>
        </w:rPr>
        <w:t>. Detert, Treviño, &amp; Sweitzer</w:t>
      </w:r>
    </w:p>
  </w:footnote>
  <w:footnote w:id="14">
    <w:p>
      <w:pPr>
        <w:pStyle w:val="FootnoteText"/>
        <w:bidi w:val="0"/>
        <w:spacing w:lineRule="auto" w:line="240" w:before="0" w:after="0"/>
        <w:jc w:val="left"/>
        <w:rPr/>
      </w:pPr>
      <w:r>
        <w:rPr>
          <w:rStyle w:val="FootnoteCharacters"/>
        </w:rPr>
        <w:footnoteRef/>
      </w:r>
      <w:r>
        <w:rPr>
          <w:rFonts w:cs="Times New Roman"/>
          <w:sz w:val="22"/>
          <w:szCs w:val="22"/>
        </w:rPr>
        <w:t>. Kish-Gephart, Harrison, &amp; Treviño</w:t>
      </w:r>
    </w:p>
  </w:footnote>
  <w:footnote w:id="15">
    <w:p>
      <w:pPr>
        <w:pStyle w:val="FootnoteText"/>
        <w:bidi w:val="0"/>
        <w:spacing w:lineRule="auto" w:line="240" w:before="0" w:after="0"/>
        <w:jc w:val="left"/>
        <w:rPr/>
      </w:pPr>
      <w:r>
        <w:rPr>
          <w:rStyle w:val="FootnoteCharacters"/>
        </w:rPr>
        <w:footnoteRef/>
      </w:r>
      <w:r>
        <w:rPr>
          <w:rFonts w:cs="Times New Roman"/>
          <w:sz w:val="22"/>
          <w:szCs w:val="22"/>
        </w:rPr>
        <w:t>. DeZoort &amp; Lord</w:t>
      </w:r>
    </w:p>
  </w:footnote>
  <w:footnote w:id="16">
    <w:p>
      <w:pPr>
        <w:pStyle w:val="FootnoteText"/>
        <w:bidi w:val="0"/>
        <w:spacing w:lineRule="auto" w:line="240" w:before="0" w:after="0"/>
        <w:jc w:val="left"/>
        <w:rPr/>
      </w:pPr>
      <w:r>
        <w:rPr>
          <w:rStyle w:val="FootnoteCharacters"/>
        </w:rPr>
        <w:footnoteRef/>
      </w:r>
      <w:r>
        <w:rPr>
          <w:rFonts w:cs="Times New Roman"/>
          <w:sz w:val="22"/>
          <w:szCs w:val="22"/>
        </w:rPr>
        <w:t>. Malone &amp; Roberts</w:t>
      </w:r>
    </w:p>
  </w:footnote>
  <w:footnote w:id="17">
    <w:p>
      <w:pPr>
        <w:pStyle w:val="FootnoteText"/>
        <w:bidi w:val="0"/>
        <w:spacing w:lineRule="auto" w:line="240" w:before="0" w:after="0"/>
        <w:jc w:val="left"/>
        <w:rPr/>
      </w:pPr>
      <w:r>
        <w:rPr>
          <w:rStyle w:val="FootnoteCharacters"/>
        </w:rPr>
        <w:footnoteRef/>
      </w:r>
      <w:r>
        <w:rPr>
          <w:rFonts w:cs="Times New Roman"/>
          <w:sz w:val="22"/>
          <w:szCs w:val="22"/>
        </w:rPr>
        <w:t>. Victor &amp; Cullen</w:t>
      </w:r>
    </w:p>
  </w:footnote>
  <w:footnote w:id="18">
    <w:p>
      <w:pPr>
        <w:pStyle w:val="FootnoteText"/>
        <w:bidi w:val="0"/>
        <w:spacing w:lineRule="auto" w:line="240" w:before="0" w:after="0"/>
        <w:jc w:val="left"/>
        <w:rPr/>
      </w:pPr>
      <w:r>
        <w:rPr>
          <w:rStyle w:val="FootnoteCharacters"/>
        </w:rPr>
        <w:footnoteRef/>
      </w:r>
      <w:r>
        <w:rPr>
          <w:rFonts w:cs="Times New Roman"/>
          <w:sz w:val="22"/>
          <w:szCs w:val="22"/>
        </w:rPr>
        <w:t>. Morrison &amp; Milliken</w:t>
      </w:r>
    </w:p>
  </w:footnote>
  <w:footnote w:id="19">
    <w:p>
      <w:pPr>
        <w:pStyle w:val="FootnoteText"/>
        <w:bidi w:val="0"/>
        <w:spacing w:lineRule="auto" w:line="240" w:before="0" w:after="0"/>
        <w:jc w:val="left"/>
        <w:rPr/>
      </w:pPr>
      <w:r>
        <w:rPr>
          <w:rStyle w:val="FootnoteCharacters"/>
        </w:rPr>
        <w:footnoteRef/>
      </w:r>
      <w:r>
        <w:rPr>
          <w:rFonts w:cs="Times New Roman"/>
          <w:sz w:val="22"/>
          <w:szCs w:val="22"/>
        </w:rPr>
        <w:t>. Van Dyne, Ang, &amp; Botero</w:t>
      </w:r>
    </w:p>
  </w:footnote>
  <w:footnote w:id="20">
    <w:p>
      <w:pPr>
        <w:pStyle w:val="FootnoteText"/>
        <w:bidi w:val="0"/>
        <w:spacing w:lineRule="auto" w:line="240" w:before="0" w:after="0"/>
        <w:jc w:val="left"/>
        <w:rPr/>
      </w:pPr>
      <w:r>
        <w:rPr>
          <w:rStyle w:val="FootnoteCharacters"/>
        </w:rPr>
        <w:footnoteRef/>
      </w:r>
      <w:r>
        <w:rPr>
          <w:rFonts w:cs="Times New Roman"/>
          <w:sz w:val="22"/>
          <w:szCs w:val="22"/>
        </w:rPr>
        <w:t>. Near &amp; Miceli</w:t>
      </w:r>
    </w:p>
  </w:footnote>
  <w:footnote w:id="21">
    <w:p>
      <w:pPr>
        <w:pStyle w:val="FootnoteText"/>
        <w:bidi w:val="0"/>
        <w:spacing w:lineRule="auto" w:line="240" w:before="0" w:after="0"/>
        <w:jc w:val="left"/>
        <w:rPr/>
      </w:pPr>
      <w:r>
        <w:rPr>
          <w:rStyle w:val="FootnoteCharacters"/>
        </w:rPr>
        <w:footnoteRef/>
      </w:r>
      <w:r>
        <w:rPr>
          <w:rFonts w:cs="Times New Roman"/>
          <w:sz w:val="22"/>
          <w:szCs w:val="22"/>
        </w:rPr>
        <w:t>. Mahdavi, Bahmani, &amp; Namazi</w:t>
      </w:r>
    </w:p>
  </w:footnote>
  <w:footnote w:id="22">
    <w:p>
      <w:pPr>
        <w:pStyle w:val="FootnoteText"/>
        <w:bidi w:val="0"/>
        <w:spacing w:lineRule="auto" w:line="240" w:before="0" w:after="0"/>
        <w:jc w:val="left"/>
        <w:rPr/>
      </w:pPr>
      <w:r>
        <w:rPr>
          <w:rStyle w:val="FootnoteCharacters"/>
        </w:rPr>
        <w:footnoteRef/>
      </w:r>
      <w:r>
        <w:rPr>
          <w:rFonts w:cs="Times New Roman"/>
          <w:sz w:val="22"/>
          <w:szCs w:val="22"/>
        </w:rPr>
        <w:t>. Lawshe</w:t>
      </w:r>
    </w:p>
  </w:footnote>
  <w:footnote w:id="23">
    <w:p>
      <w:pPr>
        <w:pStyle w:val="FootnoteText"/>
        <w:bidi w:val="0"/>
        <w:spacing w:lineRule="auto" w:line="240" w:before="0" w:after="0"/>
        <w:jc w:val="left"/>
        <w:rPr/>
      </w:pPr>
      <w:r>
        <w:rPr>
          <w:rStyle w:val="FootnoteCharacters"/>
        </w:rPr>
        <w:footnoteRef/>
      </w:r>
      <w:r>
        <w:rPr>
          <w:rFonts w:cs="Times New Roman"/>
          <w:sz w:val="22"/>
          <w:szCs w:val="22"/>
        </w:rPr>
        <w:t>. Polit &amp; Beck</w:t>
      </w:r>
    </w:p>
  </w:footnote>
  <w:footnote w:id="24">
    <w:p>
      <w:pPr>
        <w:pStyle w:val="FootnoteText"/>
        <w:bidi w:val="0"/>
        <w:spacing w:lineRule="auto" w:line="240" w:before="0" w:after="0"/>
        <w:jc w:val="left"/>
        <w:rPr/>
      </w:pPr>
      <w:r>
        <w:rPr>
          <w:rStyle w:val="FootnoteCharacters"/>
        </w:rPr>
        <w:footnoteRef/>
      </w:r>
      <w:r>
        <w:rPr>
          <w:rFonts w:cs="Times New Roman"/>
          <w:sz w:val="22"/>
          <w:szCs w:val="22"/>
        </w:rPr>
        <w:t>. MacCallum, Browne, &amp; Sugawara</w:t>
      </w:r>
    </w:p>
  </w:footnote>
  <w:footnote w:id="25">
    <w:p>
      <w:pPr>
        <w:pStyle w:val="FootnoteText"/>
        <w:bidi w:val="0"/>
        <w:spacing w:lineRule="auto" w:line="240" w:before="0" w:after="0"/>
        <w:jc w:val="left"/>
        <w:rPr/>
      </w:pPr>
      <w:r>
        <w:rPr>
          <w:rStyle w:val="FootnoteCharacters"/>
        </w:rPr>
        <w:footnoteRef/>
      </w:r>
      <w:r>
        <w:rPr>
          <w:rFonts w:cs="Times New Roman"/>
          <w:sz w:val="22"/>
          <w:szCs w:val="22"/>
        </w:rPr>
        <w:t>. Igolkina &amp; Meshcheryakov</w:t>
      </w:r>
    </w:p>
  </w:footnote>
  <w:footnote w:id="26">
    <w:p>
      <w:pPr>
        <w:pStyle w:val="FootnoteText"/>
        <w:bidi w:val="0"/>
        <w:spacing w:lineRule="auto" w:line="240" w:before="0" w:after="0"/>
        <w:jc w:val="left"/>
        <w:rPr/>
      </w:pPr>
      <w:r>
        <w:rPr>
          <w:rStyle w:val="FootnoteCharacters"/>
        </w:rPr>
        <w:footnoteRef/>
      </w:r>
      <w:r>
        <w:rPr>
          <w:rFonts w:cs="Times New Roman"/>
          <w:sz w:val="22"/>
          <w:szCs w:val="22"/>
        </w:rPr>
        <w:t>. Marsh, Wen, &amp; Hau</w:t>
      </w:r>
    </w:p>
  </w:footnote>
  <w:footnote w:id="27">
    <w:p>
      <w:pPr>
        <w:pStyle w:val="FootnoteText"/>
        <w:bidi w:val="0"/>
        <w:spacing w:lineRule="auto" w:line="240" w:before="0" w:after="0"/>
        <w:jc w:val="left"/>
        <w:rPr/>
      </w:pPr>
      <w:r>
        <w:rPr>
          <w:rStyle w:val="FootnoteCharacters"/>
        </w:rPr>
        <w:footnoteRef/>
      </w:r>
      <w:r>
        <w:rPr>
          <w:rFonts w:cs="Times New Roman"/>
          <w:sz w:val="22"/>
          <w:szCs w:val="22"/>
        </w:rPr>
        <w:t>. Little, Bovaird, &amp; Widaman</w:t>
      </w:r>
    </w:p>
  </w:footnote>
  <w:footnote w:id="28">
    <w:p>
      <w:pPr>
        <w:pStyle w:val="FootnoteText"/>
        <w:bidi w:val="0"/>
        <w:spacing w:lineRule="auto" w:line="240" w:before="0" w:after="0"/>
        <w:jc w:val="left"/>
        <w:rPr/>
      </w:pPr>
      <w:r>
        <w:rPr>
          <w:rStyle w:val="FootnoteCharacters"/>
        </w:rPr>
        <w:footnoteRef/>
      </w:r>
      <w:r>
        <w:rPr>
          <w:rFonts w:cs="Times New Roman"/>
          <w:sz w:val="22"/>
          <w:szCs w:val="22"/>
        </w:rPr>
        <w:t>. Preacher &amp; Hayes</w:t>
      </w:r>
    </w:p>
  </w:footnote>
  <w:footnote w:id="29">
    <w:p>
      <w:pPr>
        <w:pStyle w:val="FootnoteText"/>
        <w:bidi w:val="0"/>
        <w:spacing w:lineRule="auto" w:line="240" w:before="0" w:after="0"/>
        <w:jc w:val="left"/>
        <w:rPr/>
      </w:pPr>
      <w:r>
        <w:rPr>
          <w:rStyle w:val="FootnoteCharacters"/>
        </w:rPr>
        <w:footnoteRef/>
      </w:r>
      <w:r>
        <w:rPr>
          <w:rFonts w:cs="Times New Roman"/>
          <w:sz w:val="22"/>
          <w:szCs w:val="22"/>
        </w:rPr>
        <w:t>. Hayes</w:t>
      </w:r>
    </w:p>
  </w:footnote>
  <w:footnote w:id="30">
    <w:p>
      <w:pPr>
        <w:pStyle w:val="FootnoteText"/>
        <w:bidi w:val="0"/>
        <w:spacing w:lineRule="auto" w:line="240" w:before="0" w:after="0"/>
        <w:jc w:val="left"/>
        <w:rPr/>
      </w:pPr>
      <w:r>
        <w:rPr>
          <w:rStyle w:val="FootnoteCharacters"/>
        </w:rPr>
        <w:footnoteRef/>
      </w:r>
      <w:r>
        <w:rPr>
          <w:rFonts w:cs="Times New Roman"/>
          <w:sz w:val="22"/>
          <w:szCs w:val="22"/>
        </w:rPr>
        <w:t>. Hu &amp; Bentler</w:t>
      </w:r>
    </w:p>
  </w:footnote>
  <w:footnote w:id="31">
    <w:p>
      <w:pPr>
        <w:pStyle w:val="FootnoteText"/>
        <w:bidi w:val="0"/>
        <w:spacing w:lineRule="auto" w:line="240" w:before="0" w:after="0"/>
        <w:jc w:val="left"/>
        <w:rPr/>
      </w:pPr>
      <w:r>
        <w:rPr>
          <w:rStyle w:val="FootnoteCharacters"/>
        </w:rPr>
        <w:footnoteRef/>
      </w:r>
      <w:r>
        <w:rPr>
          <w:rFonts w:cs="Times New Roman"/>
          <w:sz w:val="22"/>
          <w:szCs w:val="22"/>
        </w:rPr>
        <w:t>. Fornell &amp; Larcker</w:t>
      </w:r>
    </w:p>
  </w:footnote>
  <w:footnote w:id="32">
    <w:p>
      <w:pPr>
        <w:pStyle w:val="FootnoteText"/>
        <w:bidi w:val="0"/>
        <w:spacing w:lineRule="auto" w:line="240" w:before="0" w:after="0"/>
        <w:jc w:val="left"/>
        <w:rPr/>
      </w:pPr>
      <w:r>
        <w:rPr>
          <w:rStyle w:val="FootnoteCharacters"/>
        </w:rPr>
        <w:footnoteRef/>
      </w:r>
      <w:r>
        <w:rPr>
          <w:rFonts w:cs="Times New Roman"/>
          <w:sz w:val="22"/>
          <w:szCs w:val="22"/>
        </w:rPr>
        <w:t>. Henseler, Ringle, &amp; Sarstedt</w:t>
      </w:r>
    </w:p>
  </w:footnote>
  <w:footnote w:id="33">
    <w:p>
      <w:pPr>
        <w:pStyle w:val="FootnoteText"/>
        <w:bidi w:val="0"/>
        <w:spacing w:lineRule="auto" w:line="240" w:before="0" w:after="0"/>
        <w:jc w:val="left"/>
        <w:rPr/>
      </w:pPr>
      <w:r>
        <w:rPr>
          <w:rStyle w:val="FootnoteCharacters"/>
        </w:rPr>
        <w:footnoteRef/>
      </w:r>
      <w:r>
        <w:rPr>
          <w:rFonts w:cs="Times New Roman"/>
          <w:sz w:val="22"/>
          <w:szCs w:val="22"/>
        </w:rPr>
        <w:t>. Podsakoff et al.</w:t>
      </w:r>
    </w:p>
  </w:footnote>
</w:footnotes>
</file>

<file path=word/settings.xml><?xml version="1.0" encoding="utf-8"?>
<w:settings xmlns:w="http://schemas.openxmlformats.org/wordprocessingml/2006/main">
  <w:view w:val="print"/>
  <w:zoom w:percent="100"/>
  <w:defaultTabStop w:val="720"/>
  <w:autoHyphenation w:val="true"/>
  <w:footnotePr>
    <w:numFmt w:val="decimal"/>
    <w:footnote w:id="0"/>
    <w:footnote w:id="1"/>
  </w:footnotePr>
  <w:compat>
    <w:compatSetting w:name="compatibilityMode" w:uri="http://schemas.microsoft.com/office/word" w:val="15"/>
  </w:compat>
  <w:themeFontLang w:val="en-US" w:eastAsia="" w:bidi="fa-I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B Nazanin"/>
        <w:sz w:val="26"/>
        <w:szCs w:val="26"/>
        <w:lang w:val="en-US" w:eastAsia="zh-CN" w:bidi="fa-IR"/>
      </w:rPr>
    </w:rPrDefault>
    <w:pPrDefault>
      <w:pPr>
        <w:suppressAutoHyphens w:val="true"/>
      </w:pPr>
    </w:pPrDefault>
  </w:docDefaults>
  <w:style w:type="paragraph" w:styleId="Normal" w:default="1">
    <w:name w:val="Normal"/>
    <w:qFormat/>
    <w:pPr>
      <w:widowControl/>
      <w:bidi w:val="1"/>
      <w:spacing w:before="0" w:after="0"/>
      <w:jc w:val="left"/>
    </w:pPr>
    <w:rPr>
      <w:rFonts w:ascii="Times New Roman" w:hAnsi="Times New Roman" w:eastAsia="WenQuanYi Zen Hei" w:cs="B Nazanin"/>
      <w:color w:val="auto"/>
      <w:kern w:val="0"/>
      <w:sz w:val="26"/>
      <w:szCs w:val="26"/>
      <w:lang w:val="en-US" w:eastAsia="zh-CN" w:bidi="fa-IR"/>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pacing w:lineRule="auto" w:line="240" w:before="0" w:after="0"/>
    </w:pPr>
    <w:rPr>
      <w:sz w:val="18"/>
      <w:szCs w:val="18"/>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notes" Target="footnotes.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fa-IR</dc:language>
  <cp:lastModifiedBy/>
  <cp:revision>0</cp:revision>
  <dc:subject/>
  <dc:title>Article</dc:title>
</cp:coreProperties>
</file>