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4"/>
          <w:sz w:val="24"/>
          <w:szCs w:val="24"/>
          <w:rtl w:val="true"/>
          <w:lang w:val="en-US" w:bidi="fa-IR"/>
        </w:rPr>
        <w:t>پرسشنامهٔ پژوهش</w:t>
      </w:r>
      <w:r>
        <w:rPr>
          <w:rFonts w:eastAsia="Times New Roman" w:cs="B Titr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 w:cs="B Titr"/>
          <w:b/>
          <w:b/>
          <w:bCs/>
          <w:sz w:val="24"/>
          <w:sz w:val="24"/>
          <w:szCs w:val="24"/>
          <w:rtl w:val="true"/>
          <w:lang w:val="en-US" w:bidi="fa-IR"/>
        </w:rPr>
        <w:t>فشار زمانی، جو اخلاقی، رفع تعهد اخلاقی، وجدان حرفه‌ای و سکوت حسابرسان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راهنما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پاسخ‌ها محرمانه و تجمیعی گزارش می‌شود و هیچ اطلاعات هویتی صاحبکار خواسته نمی‌شود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لطفاً میزان موافقت خود را با هر عبارت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مشخص 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عبارت‌های سکوت دربارهٔ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گرایش شما در موقعیت فرضی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است، نه اعتراف به رفتار واقعی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الف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ویژگی‌های جمعیت‌شناختی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>پرسش‌های جمعیت‌شناختی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00"/>
        <w:gridCol w:w="8099"/>
      </w:tblGrid>
      <w:tr>
        <w:trPr>
          <w:tblHeader w:val="true"/>
        </w:trPr>
        <w:tc>
          <w:tcPr>
            <w:tcW w:w="9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8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پرسش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جنسیت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سن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سابقهٔ کار حسابرسی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رتبهٔ سازمانی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حسابرس مقدماتی؛ حسابرس ارشد؛ سرپرست؛ مدیر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/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شریک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محل کار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سازمان حسابرسی؛ مؤسسهٔ حسابرسی خصوصی؛ سایر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8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تحصیلات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کارشناسی؛ کارشناسی ارشد؛ دکتری</w:t>
            </w:r>
          </w:p>
        </w:tc>
      </w:tr>
      <w:tr>
        <w:trPr>
          <w:cantSplit w:val="true"/>
        </w:trPr>
        <w:tc>
          <w:tcPr>
            <w:tcW w:w="9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</w:p>
        </w:tc>
        <w:tc>
          <w:tcPr>
            <w:tcW w:w="8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عضویت در جامعهٔ حسابداران رسمی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بله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/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خیر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ب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خلاصهٔ منشأ هر مقیاس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نوع منشأ 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>محقق‌ساخته یا پژوهش‌محور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>و منابع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700"/>
        <w:gridCol w:w="1700"/>
        <w:gridCol w:w="599"/>
        <w:gridCol w:w="2001"/>
        <w:gridCol w:w="4000"/>
      </w:tblGrid>
      <w:tr>
        <w:trPr>
          <w:tblHeader w:val="true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نماد</w:t>
            </w:r>
          </w:p>
        </w:tc>
        <w:tc>
          <w:tcPr>
            <w:tcW w:w="1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سازه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20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منشأ</w:t>
            </w:r>
          </w:p>
        </w:tc>
        <w:tc>
          <w:tcPr>
            <w:tcW w:w="4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منابع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TBP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فشار بودجهٔ زمانی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دیزورت و لرد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۱۹۹۷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مالون و رابرتس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۱۹۹۶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مهرانی و نعیمی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۱۳۸۲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ECL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جو اخلاقی سازمان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پژوهش‌محور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اقتباس‌شده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ویکتور و کالن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۱۹۸۸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کیش‌گفارت، هریسون و ترونیو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۲۰۱۰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CON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وجدان حرفه‌ای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محقق‌ساخته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برگرفته از نظریه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لوئیس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۲۰۰۱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بیدون و ویلت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۲۰۰۰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مهدوی، بهمنی و نمازی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۱۴۰۰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رفع تعهد اخلاقی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پژوهش‌محور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اقتباس‌شده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بندورا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۱۹۹۹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مور و همکاران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۲۰۱۲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دترت، ترونیو و سوایتزر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۲۰۰۸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SIL</w:t>
            </w:r>
          </w:p>
        </w:tc>
        <w:tc>
          <w:tcPr>
            <w:tcW w:w="1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سکوت دربارهٔ تخلف کشف‌شده</w:t>
            </w:r>
          </w:p>
        </w:tc>
        <w:tc>
          <w:tcPr>
            <w:tcW w:w="5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0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پژوهش‌محور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اقتباس‌شده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موریسون و میلیکن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۲۰۰۰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ون‌داین، آنگ و بوترو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۲۰۰۳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نیر و میسلی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۱۹۸۵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ابراهیمی، صفری گرایلی و ولیان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۱۴۰۱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فشار بودجهٔ زمانی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TBP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‌درجه‌ای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توضیح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مقیاس منتشرشدهٔ هم‌خوان با بافت مؤسسات حسابرسی ایران یافت نشد؛ گویه‌ها بر پایهٔ مفهوم فشار بودجهٔ زمانی در ادبیات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دیزورت و لرد؛ مالون و رابرتس؛ مهرانی و نعیمی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نوشته شده‌اند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Titr"/>
          <w:b/>
          <w:bCs/>
          <w:sz w:val="20"/>
          <w:szCs w:val="20"/>
          <w:lang w:val="en-US" w:bidi="fa-IR"/>
        </w:rPr>
        <w:t>TBP</w:t>
      </w:r>
    </w:p>
    <w:tbl>
      <w:tblPr>
        <w:bidiVisual w:val="true"/>
        <w:tblW w:w="895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699"/>
        <w:gridCol w:w="6000"/>
        <w:gridCol w:w="451"/>
        <w:gridCol w:w="450"/>
        <w:gridCol w:w="449"/>
        <w:gridCol w:w="450"/>
        <w:gridCol w:w="450"/>
      </w:tblGrid>
      <w:tr>
        <w:trPr>
          <w:tblHeader w:val="true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</w:t>
            </w:r>
          </w:p>
        </w:tc>
        <w:tc>
          <w:tcPr>
            <w:tcW w:w="6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45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44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TBP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بودجهٔ زمانی تعیین‌شده برای کارهای حسابرسی من معمولاً کمتر از زمان لازم برای انجام دقیق آن‌هاست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TBP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مهلت‌های تحویل کار در مؤسسهٔ ما به‌گونه‌ای است که فرصت کافی برای بررسی دقیق باقی نمی‌گذارد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TBP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عملکرد من بیش از هر چیز بر پایهٔ رعایت بودجهٔ زمانی ارزیابی می‌شود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TBP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6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در فصل اوج کار، حجم کار آن‌قدر است که فرصت تأمل در یافته‌های غیرمعمول را ندارم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DeZoort, F. T., &amp; Lord, A. T. (1997). A review and synthesis of pressure effects research in accounting.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Journal of Accounting Literature, 16</w:t>
      </w:r>
      <w:r>
        <w:rPr>
          <w:rFonts w:eastAsia="Times New Roman" w:cs="Times New Roman"/>
          <w:sz w:val="22"/>
          <w:szCs w:val="22"/>
          <w:lang w:val="en-US" w:bidi="fa-IR"/>
        </w:rPr>
        <w:t>, 28–85</w:t>
      </w:r>
      <w:r>
        <w:rPr>
          <w:rFonts w:eastAsia="Times New Roman" w:cs="Times New Roman"/>
          <w:sz w:val="22"/>
          <w:szCs w:val="22"/>
          <w:rtl w:val="true"/>
          <w:lang w:val="en-US" w:bidi="fa-IR"/>
        </w:rPr>
        <w:t>.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Malone, C. F., &amp; Roberts, R. W. (1996). Factors associated with the incidence of reduced audit quality behaviors.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Auditing: A Journal of Practice &amp; Theory, 15</w:t>
      </w:r>
      <w:r>
        <w:rPr>
          <w:rFonts w:eastAsia="Times New Roman" w:cs="Times New Roman"/>
          <w:sz w:val="22"/>
          <w:szCs w:val="22"/>
          <w:lang w:val="en-US" w:bidi="fa-IR"/>
        </w:rPr>
        <w:t>(2), 49–64</w:t>
      </w:r>
      <w:r>
        <w:rPr>
          <w:rFonts w:eastAsia="Times New Roman" w:cs="Times New Roman"/>
          <w:sz w:val="22"/>
          <w:szCs w:val="22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مهرانی، ساسان و نعیمی،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 کوچک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۱۳۸۲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تئوری اخلاقی و تأثیر فشار بودجهٔ زمانی بر رفتار حسابرسان مستقل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بررسی‌های حسابداری و حسابرسی،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-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جو اخلاقی سازمان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ECL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پژوهش‌محور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اقتباس‌شده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‌درجه‌ای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توضیح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اقتباس از پرسشنامهٔ جو اخلاقی ویکتور و کالن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۱۹۸۸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 سه بُعد توجه به دیگران، قواعد و قانون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آیین‌نامه و پیگیری امن نگرانی‌های اخلاقی؛ گویه‌ها بازنویسی و کوتاه شده‌اند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۴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Titr"/>
          <w:b/>
          <w:bCs/>
          <w:sz w:val="20"/>
          <w:szCs w:val="20"/>
          <w:lang w:val="en-US" w:bidi="fa-IR"/>
        </w:rPr>
        <w:t>ECL</w:t>
      </w:r>
    </w:p>
    <w:tbl>
      <w:tblPr>
        <w:bidiVisual w:val="true"/>
        <w:tblW w:w="895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699"/>
        <w:gridCol w:w="6000"/>
        <w:gridCol w:w="451"/>
        <w:gridCol w:w="450"/>
        <w:gridCol w:w="449"/>
        <w:gridCol w:w="450"/>
        <w:gridCol w:w="450"/>
      </w:tblGrid>
      <w:tr>
        <w:trPr>
          <w:tblHeader w:val="true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</w:t>
            </w:r>
          </w:p>
        </w:tc>
        <w:tc>
          <w:tcPr>
            <w:tcW w:w="6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45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44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ECL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در مؤسسهٔ ما همکاران به منافع یکدیگر و ذی‌نفعان توجه واقعی دارند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ECL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در مؤسسهٔ ما از همه انتظار می‌رود پیش از هر چیز قوانین و استانداردهای حرفه‌ای را رعایت کنند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ECL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رفتار اخلاقی مدیران ارشد مؤسسهٔ ما الگوی عملی برای دیگران است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ECL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6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در مؤسسهٔ ما کسی که نگرانی اخلاقی مطرح می‌کند تنبیه نمی‌شود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Victor, B., &amp; Cullen, J. B. (1988). The organizational bases of ethical work climates.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Administrative Science Quarterly, 33</w:t>
      </w:r>
      <w:r>
        <w:rPr>
          <w:rFonts w:eastAsia="Times New Roman" w:cs="Times New Roman"/>
          <w:sz w:val="22"/>
          <w:szCs w:val="22"/>
          <w:lang w:val="en-US" w:bidi="fa-IR"/>
        </w:rPr>
        <w:t>(1), 101–125. https://doi.org/10.2307/2392857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Kish-Gephart, J. J., Harrison, D. A., &amp; Treviño, L. K. (2010). Bad apples, bad cases, and bad barrels: Meta-analytic evidence about sources of unethical decisions at work.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Journal of Applied Psychology, 95</w:t>
      </w:r>
      <w:r>
        <w:rPr>
          <w:rFonts w:eastAsia="Times New Roman" w:cs="Times New Roman"/>
          <w:sz w:val="22"/>
          <w:szCs w:val="22"/>
          <w:lang w:val="en-US" w:bidi="fa-IR"/>
        </w:rPr>
        <w:t>(1), 1–31. https://doi.org/10.1037/a0017103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وجدان حرفه‌ای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CON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برگرفته از نظریه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‌درجه‌ای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توضیح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سازه به درونی‌سازی ارزش‌های اخلاقی و حرفه‌ای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امانت‌داری، پاسخگویی در برابر وجدان و خداوند، تقدم نفع عمومی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اشاره دارد که در ادبیات اخلاق اسلامی در حسابداری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لوئیس؛ بیدون و ویلت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مطرح شده است؛ مقیاس استانداردی با این تعریف نیست و گویه‌ها محقق‌ساخته‌اند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۵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Titr"/>
          <w:b/>
          <w:bCs/>
          <w:sz w:val="20"/>
          <w:szCs w:val="20"/>
          <w:lang w:val="en-US" w:bidi="fa-IR"/>
        </w:rPr>
        <w:t>CON</w:t>
      </w:r>
    </w:p>
    <w:tbl>
      <w:tblPr>
        <w:bidiVisual w:val="true"/>
        <w:tblW w:w="895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699"/>
        <w:gridCol w:w="6000"/>
        <w:gridCol w:w="451"/>
        <w:gridCol w:w="450"/>
        <w:gridCol w:w="449"/>
        <w:gridCol w:w="450"/>
        <w:gridCol w:w="450"/>
      </w:tblGrid>
      <w:tr>
        <w:trPr>
          <w:tblHeader w:val="true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</w:t>
            </w:r>
          </w:p>
        </w:tc>
        <w:tc>
          <w:tcPr>
            <w:tcW w:w="6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45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44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CON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حفظ امانت‌داری در برابر استفاده‌کنندگان از گزارش را وظیفه‌ای وجدانی می‌دانم، حتی اگر کسی بر آن نظارت نکند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CON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خود را در برابر وجدان و باورهای اخلاقی‌ام پاسخگوی نتایج کارم می‌دانم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CON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نفع عمومی را بر آسایش شخصی و سازمانی مقدم می‌دارم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CON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6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ارزش‌های اخلاقی‌ام در تصمیم‌های حرفه‌ای من نقش تعیین‌کننده دارد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Lewis, M. K. (2001). Islam and accounting.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Accounting Forum, 25</w:t>
      </w:r>
      <w:r>
        <w:rPr>
          <w:rFonts w:eastAsia="Times New Roman" w:cs="Times New Roman"/>
          <w:sz w:val="22"/>
          <w:szCs w:val="22"/>
          <w:lang w:val="en-US" w:bidi="fa-IR"/>
        </w:rPr>
        <w:t>(2), 103–127. https://doi.org/10.1111/1468-5879.00007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Baydoun, N., &amp; Willett, R. (2000). Islamic corporate reports.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Abacus, 36</w:t>
      </w:r>
      <w:r>
        <w:rPr>
          <w:rFonts w:eastAsia="Times New Roman" w:cs="Times New Roman"/>
          <w:sz w:val="22"/>
          <w:szCs w:val="22"/>
          <w:lang w:val="en-US" w:bidi="fa-IR"/>
        </w:rPr>
        <w:t>(1), 71–90. https://doi.org/10.1111/1467-6281.00055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مهدوی، غلامحسین؛ بهمنی، رضا و نمازی، نویدرضا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سال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نقش میانجی‌گری رفتار ناکارآمد حسابرس در تبیین رابطهٔ بین دین‌داری و تعهد حرفه‌ای با کیفیت حسابرسی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حسابداری ارزشی و رفتاری،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دوره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شماره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صفحات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رفع تعهد اخلاقی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MD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پژوهش‌محور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اقتباس‌شده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‌درجه‌ای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توضیح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اقتباس از مقیاس گرایش به رفع تعهد اخلاقی مور و همکاران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۲۰۱۲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دترت و همکاران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۲۰۰۸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برای پنج سازوکار توجیه اخلاقی، برچسب‌زنی تلطیف‌شده، مقایسهٔ سودمند، جابه‌جایی و پخش مسئولیت؛ گویه‌ها با بافت حسابرسی بازنویسی شده‌اند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۶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Titr"/>
          <w:b/>
          <w:bCs/>
          <w:sz w:val="20"/>
          <w:szCs w:val="20"/>
          <w:lang w:val="en-US" w:bidi="fa-IR"/>
        </w:rPr>
        <w:t>MD</w:t>
      </w:r>
    </w:p>
    <w:tbl>
      <w:tblPr>
        <w:bidiVisual w:val="true"/>
        <w:tblW w:w="895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699"/>
        <w:gridCol w:w="6000"/>
        <w:gridCol w:w="451"/>
        <w:gridCol w:w="450"/>
        <w:gridCol w:w="449"/>
        <w:gridCol w:w="450"/>
        <w:gridCol w:w="450"/>
      </w:tblGrid>
      <w:tr>
        <w:trPr>
          <w:tblHeader w:val="true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</w:t>
            </w:r>
          </w:p>
        </w:tc>
        <w:tc>
          <w:tcPr>
            <w:tcW w:w="6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45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44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اگر هدف خوبی در میان باشد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مثل حفظ صاحبکار یا رعایت زمان‌بندی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، چشم‌پوشی از اشکال‌های کوچک را موجه می‌دانم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به برخی اشتباهات می‌توان نام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تفاوت سلیقه در برآورد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 xml:space="preserve">»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داد و آن‌ها را جدی نگرفت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در مقایسه با تخلف‌های بزرگی که در حرفه دیده می‌شود، بعضی انحرافات کوچک اهمیتی ندارد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اگر مدیر ارشد تصمیم بگیرد، مسئولیت پیامد با او است، نه با من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6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وقتی همهٔ اعضای تیم یک رویه را می‌پذیرند، مسئولیت فردی من برای مخالفت کمرنگ می‌شود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Bandura, A. (1999). Moral disengagement in the perpetration of inhumanities.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Personality and Social Psychology Review, 3</w:t>
      </w:r>
      <w:r>
        <w:rPr>
          <w:rFonts w:eastAsia="Times New Roman" w:cs="Times New Roman"/>
          <w:sz w:val="22"/>
          <w:szCs w:val="22"/>
          <w:lang w:val="en-US" w:bidi="fa-IR"/>
        </w:rPr>
        <w:t>(3), 193–209. https://doi.org/10.1207/s15327957pspr0303_3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Moore, C., Detert, J. R., Klebe Treviño, L., Baker, V. L., &amp; Mayer, D. M. (2012). Why employees do bad things: Moral disengagement and unethical organizational behavior.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Personnel Psychology, 65</w:t>
      </w:r>
      <w:r>
        <w:rPr>
          <w:rFonts w:eastAsia="Times New Roman" w:cs="Times New Roman"/>
          <w:sz w:val="22"/>
          <w:szCs w:val="22"/>
          <w:lang w:val="en-US" w:bidi="fa-IR"/>
        </w:rPr>
        <w:t>(1), 1–48. https://doi.org/10.1111/j.1744-6570.2011.01237.x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Detert, J. R., Treviño, L. K., &amp; Sweitzer, V. L. (2008). Moral disengagement in ethical decision making: A study of antecedents and outcomes.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Journal of Applied Psychology, 93</w:t>
      </w:r>
      <w:r>
        <w:rPr>
          <w:rFonts w:eastAsia="Times New Roman" w:cs="Times New Roman"/>
          <w:sz w:val="22"/>
          <w:szCs w:val="22"/>
          <w:lang w:val="en-US" w:bidi="fa-IR"/>
        </w:rPr>
        <w:t>(2), 374–391. https://doi.org/10.1037/0021-9010.93.2.374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سکوت دربارهٔ تخلف کشف‌شده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SIL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منشأ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پژوهش‌محور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اقتباس‌شده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مقیاس پاسخ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‌درجه‌ای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 …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توضیح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اقتباس از ابعاد سکوت تسلیم‌شده و سکوت دفاعی ون‌داین و همکاران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۲۰۰۳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مفهوم سکوت سازمانی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موریسون و میلیکن،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۲۰۰۰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 بازنویسی برای وضعیت مشاهدهٔ ناهنجاری در مدارک صاحبکار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نمرهٔ بالاتر یعنی سکوت بیشتر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lang w:val="en-US" w:bidi="fa-IR"/>
        </w:rPr>
        <w:t>۷</w:t>
      </w:r>
      <w:r>
        <w:rPr>
          <w:rFonts w:eastAsia="Times New Roman" w:cs="B Tit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Tit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</w:t>
      </w:r>
      <w:r>
        <w:rPr>
          <w:rFonts w:eastAsia="Times New Roman" w:cs="B Titr"/>
          <w:b/>
          <w:bCs/>
          <w:sz w:val="20"/>
          <w:szCs w:val="20"/>
          <w:lang w:val="en-US" w:bidi="fa-IR"/>
        </w:rPr>
        <w:t>SIL</w:t>
      </w:r>
    </w:p>
    <w:tbl>
      <w:tblPr>
        <w:bidiVisual w:val="true"/>
        <w:tblW w:w="895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699"/>
        <w:gridCol w:w="6000"/>
        <w:gridCol w:w="451"/>
        <w:gridCol w:w="450"/>
        <w:gridCol w:w="449"/>
        <w:gridCol w:w="450"/>
        <w:gridCol w:w="450"/>
      </w:tblGrid>
      <w:tr>
        <w:trPr>
          <w:tblHeader w:val="true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</w:t>
            </w:r>
          </w:p>
        </w:tc>
        <w:tc>
          <w:tcPr>
            <w:tcW w:w="6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45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44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45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SIL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اگر ناهنجاری مشکوکی در مدارک صاحبکار ببینم، ترجیح می‌دهم موضوع را با سرپرست مطرح نکنم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SIL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اگر نگران پیامدهای شخصی باشم، دربارهٔ یافتهٔ مشکوک سکوت می‌کنم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SIL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معمولاً موضوعات حساس را در گزارش‌های کاری نمی‌آورم تا درگیری پیش نیاید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SIL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6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فکر می‌کنم طرح مسئله تغییری ایجاد نمی‌کند، بنابراین ساکت می‌مانم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SIL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6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برای حفظ موقعیت شغلی‌ام دربارهٔ اشکال‌های مشاهده‌شده سخن نمی‌گویم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.</w:t>
            </w:r>
          </w:p>
        </w:tc>
        <w:tc>
          <w:tcPr>
            <w:tcW w:w="45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4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  <w:tc>
          <w:tcPr>
            <w:tcW w:w="45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○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3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منابع این متغیر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Morrison, E. W., &amp; Milliken, F. J. (2000). Organizational silence: A barrier to change and development in a pluralistic world.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Academy of Management Review, 25</w:t>
      </w:r>
      <w:r>
        <w:rPr>
          <w:rFonts w:eastAsia="Times New Roman" w:cs="Times New Roman"/>
          <w:sz w:val="22"/>
          <w:szCs w:val="22"/>
          <w:lang w:val="en-US" w:bidi="fa-IR"/>
        </w:rPr>
        <w:t>(4), 706–725. https://doi.org/10.5465/amr.2000.3707697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Van Dyne, L., Ang, S., &amp; Botero, I. C. (2003). Conceptualizing employee silence and employee voice as multidimensional constructs.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Journal of Management Studies, 40</w:t>
      </w:r>
      <w:r>
        <w:rPr>
          <w:rFonts w:eastAsia="Times New Roman" w:cs="Times New Roman"/>
          <w:sz w:val="22"/>
          <w:szCs w:val="22"/>
          <w:lang w:val="en-US" w:bidi="fa-IR"/>
        </w:rPr>
        <w:t>(6), 1359–1392. https://doi.org/10.1111/1467-6486.00384</w:t>
      </w:r>
    </w:p>
    <w:p>
      <w:pPr>
        <w:pStyle w:val="Normal"/>
        <w:spacing w:lineRule="auto" w:line="240" w:before="0" w:after="40"/>
        <w:ind w:hanging="567" w:left="567"/>
        <w:jc w:val="left"/>
        <w:rPr/>
      </w:pPr>
      <w:r>
        <w:rPr>
          <w:rFonts w:eastAsia="Times New Roman" w:cs="Times New Roman"/>
          <w:sz w:val="22"/>
          <w:szCs w:val="22"/>
          <w:lang w:val="en-US" w:bidi="fa-IR"/>
        </w:rPr>
        <w:t xml:space="preserve">Near, J. P., &amp; Miceli, M. P. (1985). Organizational dissidence: The case of whistle-blowing. </w:t>
      </w:r>
      <w:r>
        <w:rPr>
          <w:rFonts w:eastAsia="Times New Roman" w:cs="Times New Roman"/>
          <w:i/>
          <w:iCs/>
          <w:sz w:val="22"/>
          <w:szCs w:val="22"/>
          <w:lang w:val="en-US" w:bidi="fa-IR"/>
        </w:rPr>
        <w:t>Journal of Business Ethics, 4</w:t>
      </w:r>
      <w:r>
        <w:rPr>
          <w:rFonts w:eastAsia="Times New Roman" w:cs="Times New Roman"/>
          <w:sz w:val="22"/>
          <w:szCs w:val="22"/>
          <w:lang w:val="en-US" w:bidi="fa-IR"/>
        </w:rPr>
        <w:t>(1), 1–16. https://doi.org/10.1007/BF00382668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ابراهیمی،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صفری گرایلی،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ولیان،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۱۴۰۱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طراحی مدل علل تقویت‌کنندهٔ سکوت سازمانی حسابرسان داخلی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پژوهش‌های تجربی حسابداری،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دوره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شماره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[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صفحات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]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پ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روایی، پایایی و نمره‌گذاری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روایی محتوا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پنل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خبره؛ </w:t>
      </w:r>
      <w:r>
        <w:rPr>
          <w:rFonts w:eastAsia="Times New Roman" w:cs="B Nazanin"/>
          <w:sz w:val="24"/>
          <w:szCs w:val="24"/>
          <w:lang w:val="en-US" w:bidi="fa-IR"/>
        </w:rPr>
        <w:t>CVR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لاوشه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۰٫۶۲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برای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خبره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sz w:val="24"/>
          <w:szCs w:val="24"/>
          <w:lang w:val="en-US" w:bidi="fa-IR"/>
        </w:rPr>
        <w:t>CVI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سطح گویه 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۰٫۷۸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سطح مقیاس 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۰٫۹۰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مقیاس‌های محقق‌ساخته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فشار زمانی، وجدان حرفه‌ای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پیش از اجرای اصلی باید مطالعهٔ مقدماتی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نفر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و تحلیل عاملی اکتشافی را بگذرانند؛ مقیاس‌های اقتباسی باید ترجمهٔ رفت‌وبرگشت شوند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نمره‌گذاری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هیچ نمرهٔ ترکیبی ساخته نمی‌شود؛ هر گویه نشانگر متغیر پنهان خود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در </w:t>
      </w:r>
      <w:r>
        <w:rPr>
          <w:rFonts w:eastAsia="Times New Roman" w:cs="B Nazanin"/>
          <w:sz w:val="24"/>
          <w:szCs w:val="24"/>
          <w:lang w:val="en-US" w:bidi="fa-IR"/>
        </w:rPr>
        <w:t>SIL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sz w:val="24"/>
          <w:szCs w:val="24"/>
          <w:lang w:val="en-US" w:bidi="fa-IR"/>
        </w:rPr>
        <w:t>MD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نمرهٔ بالاتر یعنی سکوت و رفع تعهد بیشتر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اخلاق پژوهش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رضایت آگاهانه، ناشناس‌بودن، امکان خروج در هر مرحله، و عدم ثبت هویت صاحبکاران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settings.xml><?xml version="1.0" encoding="utf-8"?>
<w:settings xmlns:w="http://schemas.openxmlformats.org/wordprocessingml/2006/main">
  <w:view w:val="print"/>
  <w:zoom w:percent="100"/>
  <w:defaultTabStop w:val="720"/>
  <w:autoHyphenation w:val="true"/>
  <w:compat>
    <w:compatSetting w:name="compatibilityMode" w:uri="http://schemas.microsoft.com/office/word" w:val="15"/>
  </w:compat>
  <w:themeFontLang w:val="en-US" w:eastAsia="" w:bidi="fa-IR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B Nazanin"/>
        <w:sz w:val="24"/>
        <w:szCs w:val="24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0"/>
      <w:jc w:val="left"/>
    </w:pPr>
    <w:rPr>
      <w:rFonts w:ascii="Times New Roman" w:hAnsi="Times New Roman" w:eastAsia="WenQuanYi Zen Hei" w:cs="B Nazanin"/>
      <w:color w:val="auto"/>
      <w:kern w:val="0"/>
      <w:sz w:val="24"/>
      <w:szCs w:val="24"/>
      <w:lang w:val="en-US" w:eastAsia="zh-CN" w:bidi="fa-IR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fa-IR</dc:language>
  <cp:lastModifiedBy/>
  <cp:revision>0</cp:revision>
  <dc:subject/>
  <dc:title>Article</dc:title>
</cp:coreProperties>
</file>