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اثر مواجهه با محتوای سرمایه‌گذاری شبکه‌های اجتماعی بر کیفیت تصمیم سرمایه‌گذاران حقیقی بورس تهران</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نقش میانجی متوالی فومو و رفتار توده‌وار و نقش تعدیل‌گر استفاده از اطلاعات حسابداری</w:t>
      </w:r>
    </w:p>
    <w:p>
      <w:pPr>
        <w:pStyle w:val="Normal"/>
        <w:bidi w:val="1"/>
        <w:spacing w:lineRule="auto" w:line="240" w:before="0" w:after="0"/>
        <w:jc w:val="center"/>
        <w:rPr/>
      </w:pPr>
      <w:r>
        <w:rPr>
          <w:rFonts w:ascii="Times New Roman" w:hAnsi="Times New Roman" w:eastAsia="Times New Roman"/>
          <w:b/>
          <w:b/>
          <w:bCs/>
          <w:sz w:val="24"/>
          <w:sz w:val="24"/>
          <w:szCs w:val="24"/>
          <w:highlight w:val="yellow"/>
          <w:rtl w:val="true"/>
          <w:lang w:val="en-US" w:bidi="fa-IR"/>
        </w:rPr>
        <w:t>نام و نام‌خانوادگی نویسنده اول</w:t>
      </w:r>
      <w:r>
        <w:rPr>
          <w:rFonts w:ascii="Times New Roman" w:hAnsi="Times New Roman" w:eastAsia="Times New Roman"/>
          <w:b/>
          <w:b/>
          <w:bCs/>
          <w:sz w:val="24"/>
          <w:sz w:val="24"/>
          <w:szCs w:val="24"/>
          <w:rtl w:val="true"/>
          <w:lang w:val="en-US" w:bidi="fa-IR"/>
        </w:rPr>
        <w:t>∗</w:t>
      </w:r>
    </w:p>
    <w:p>
      <w:pPr>
        <w:pStyle w:val="Normal"/>
        <w:bidi w:val="1"/>
        <w:spacing w:lineRule="auto" w:line="240" w:before="0" w:after="60"/>
        <w:jc w:val="center"/>
        <w:rPr/>
      </w:pPr>
      <w:r>
        <w:rPr>
          <w:rFonts w:ascii="Times New Roman" w:hAnsi="Times New Roman" w:eastAsia="Times New Roman"/>
          <w:sz w:val="24"/>
          <w:sz w:val="24"/>
          <w:szCs w:val="24"/>
          <w:highlight w:val="yellow"/>
          <w:rtl w:val="true"/>
          <w:lang w:val="en-US" w:bidi="fa-IR"/>
        </w:rPr>
        <w:t>دانشجوی دکتری، رشتهٔ حسابداری، نام دانشگاه، شهر، ایران</w:t>
      </w:r>
      <w:r>
        <w:rPr>
          <w:rFonts w:ascii="Times New Roman" w:hAnsi="Times New Roman" w:eastAsia="Times New Roman"/>
          <w:sz w:val="24"/>
          <w:sz w:val="24"/>
          <w:szCs w:val="24"/>
          <w:rtl w:val="true"/>
          <w:lang w:val="en-US" w:bidi="fa-IR"/>
        </w:rPr>
        <w:t xml:space="preserve"> — پست الکترونیکی</w:t>
      </w:r>
      <w:r>
        <w:rPr>
          <w:rFonts w:eastAsia="Times New Roman" w:cs="B Nazanin"/>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ایمیل سازمانی نویسنده مسئول</w:t>
      </w:r>
    </w:p>
    <w:p>
      <w:pPr>
        <w:pStyle w:val="Normal"/>
        <w:bidi w:val="1"/>
        <w:spacing w:lineRule="auto" w:line="240" w:before="0" w:after="0"/>
        <w:jc w:val="center"/>
        <w:rPr/>
      </w:pPr>
      <w:r>
        <w:rPr>
          <w:rFonts w:ascii="Times New Roman" w:hAnsi="Times New Roman" w:eastAsia="Times New Roman"/>
          <w:b/>
          <w:b/>
          <w:bCs/>
          <w:sz w:val="24"/>
          <w:sz w:val="24"/>
          <w:szCs w:val="24"/>
          <w:highlight w:val="yellow"/>
          <w:rtl w:val="true"/>
          <w:lang w:val="en-US" w:bidi="fa-IR"/>
        </w:rPr>
        <w:t xml:space="preserve">نام و نام‌خانوادگی نویسنده دوم </w:t>
      </w:r>
      <w:r>
        <w:rPr>
          <w:rFonts w:eastAsia="Times New Roman" w:cs="B Nazanin"/>
          <w:b/>
          <w:bCs/>
          <w:sz w:val="24"/>
          <w:szCs w:val="24"/>
          <w:highlight w:val="yellow"/>
          <w:rtl w:val="true"/>
          <w:lang w:val="en-US" w:bidi="fa-IR"/>
        </w:rPr>
        <w:t>(</w:t>
      </w:r>
      <w:r>
        <w:rPr>
          <w:rFonts w:ascii="Times New Roman" w:hAnsi="Times New Roman" w:eastAsia="Times New Roman"/>
          <w:b/>
          <w:b/>
          <w:bCs/>
          <w:sz w:val="24"/>
          <w:sz w:val="24"/>
          <w:szCs w:val="24"/>
          <w:highlight w:val="yellow"/>
          <w:rtl w:val="true"/>
          <w:lang w:val="en-US" w:bidi="fa-IR"/>
        </w:rPr>
        <w:t>در صورت وجود</w:t>
      </w:r>
      <w:r>
        <w:rPr>
          <w:rFonts w:eastAsia="Times New Roman" w:cs="B Nazanin"/>
          <w:b/>
          <w:bCs/>
          <w:sz w:val="24"/>
          <w:szCs w:val="24"/>
          <w:highlight w:val="yellow"/>
          <w:rtl w:val="true"/>
          <w:lang w:val="en-US" w:bidi="fa-IR"/>
        </w:rPr>
        <w:t>)</w:t>
      </w:r>
    </w:p>
    <w:p>
      <w:pPr>
        <w:pStyle w:val="Normal"/>
        <w:bidi w:val="1"/>
        <w:spacing w:lineRule="auto" w:line="240" w:before="0" w:after="160"/>
        <w:jc w:val="center"/>
        <w:rPr/>
      </w:pPr>
      <w:r>
        <w:rPr>
          <w:rFonts w:ascii="Times New Roman" w:hAnsi="Times New Roman" w:eastAsia="Times New Roman"/>
          <w:sz w:val="24"/>
          <w:sz w:val="24"/>
          <w:szCs w:val="24"/>
          <w:highlight w:val="yellow"/>
          <w:rtl w:val="true"/>
          <w:lang w:val="en-US" w:bidi="fa-IR"/>
        </w:rPr>
        <w:t>رتبهٔ علمی، گروه، دانشگاه، شهر، ایران</w:t>
      </w:r>
    </w:p>
    <w:p>
      <w:pPr>
        <w:pStyle w:val="Normal"/>
        <w:bidi w:val="1"/>
        <w:spacing w:lineRule="auto" w:line="240" w:before="0" w:after="60"/>
        <w:jc w:val="center"/>
        <w:rPr/>
      </w:pPr>
      <w:r>
        <w:rPr>
          <w:rFonts w:ascii="Times New Roman" w:hAnsi="Times New Roman" w:eastAsia="Times New Roman"/>
          <w:b/>
          <w:b/>
          <w:bCs/>
          <w:sz w:val="24"/>
          <w:sz w:val="24"/>
          <w:szCs w:val="24"/>
          <w:rtl w:val="true"/>
          <w:lang w:val="en-US" w:bidi="fa-IR"/>
        </w:rPr>
        <w:t>چکیده</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هدف</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و رفتار توده‌وار، و با تعدیل‌گری استفاده از اطلاعات حسابداری بررسی می‌کند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روش‌شناسی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پژوهش کمّی و پیمایشی است و با مدل‌سازی معادلات ساختاری مبتنی بر کوواریانس و تمام‌متغیرهای پنهان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هر گویه مستقیماً به سازهٔ خود متصل است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انجام شد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داده‌های </w:t>
      </w:r>
      <w:r>
        <w:rPr>
          <w:rFonts w:ascii="Times New Roman" w:hAnsi="Times New Roman" w:eastAsia="Times New Roman"/>
          <w:sz w:val="24"/>
          <w:sz w:val="24"/>
          <w:szCs w:val="24"/>
          <w:lang w:val="en-US" w:bidi="fa-IR"/>
        </w:rPr>
        <w:t>۳۸۶</w:t>
      </w:r>
      <w:r>
        <w:rPr>
          <w:rFonts w:ascii="Times New Roman" w:hAnsi="Times New Roman" w:eastAsia="Times New Roman"/>
          <w:sz w:val="24"/>
          <w:sz w:val="24"/>
          <w:szCs w:val="24"/>
          <w:rtl w:val="true"/>
          <w:lang w:val="en-US" w:bidi="fa-IR"/>
        </w:rPr>
        <w:t xml:space="preserve"> سرمایه‌گذار حقیقی با ابزار </w:t>
      </w:r>
      <w:r>
        <w:rPr>
          <w:rFonts w:ascii="Times New Roman" w:hAnsi="Times New Roman" w:eastAsia="Times New Roman"/>
          <w:sz w:val="24"/>
          <w:sz w:val="24"/>
          <w:szCs w:val="24"/>
          <w:lang w:val="en-US" w:bidi="fa-IR"/>
        </w:rPr>
        <w:t>۲۶</w:t>
      </w:r>
      <w:r>
        <w:rPr>
          <w:rFonts w:ascii="Times New Roman" w:hAnsi="Times New Roman" w:eastAsia="Times New Roman"/>
          <w:sz w:val="24"/>
          <w:sz w:val="24"/>
          <w:szCs w:val="24"/>
          <w:rtl w:val="true"/>
          <w:lang w:val="en-US" w:bidi="fa-IR"/>
        </w:rPr>
        <w:t xml:space="preserve"> گویه‌ای لیکرت و شبیه‌سازی واقع‌نما با پارامترهای از پیش تعیین‌شده تولید شد؛ از این‌رو یافته‌ها جنبهٔ نمایشی و روش‌شناختی دارند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تعامل پنهان با شاخص‌های حاصل‌ضرب جفت‌شده و اثرهای غیرمستقیم با خودگردان‌سازی </w:t>
      </w:r>
      <w:r>
        <w:rPr>
          <w:rFonts w:ascii="Times New Roman" w:hAnsi="Times New Roman" w:eastAsia="Times New Roman"/>
          <w:sz w:val="24"/>
          <w:sz w:val="24"/>
          <w:szCs w:val="24"/>
          <w:lang w:val="en-US" w:bidi="fa-IR"/>
        </w:rPr>
        <w:t>۲۰۰۰</w:t>
      </w:r>
      <w:r>
        <w:rPr>
          <w:rFonts w:ascii="Times New Roman" w:hAnsi="Times New Roman" w:eastAsia="Times New Roman"/>
          <w:sz w:val="24"/>
          <w:sz w:val="24"/>
          <w:szCs w:val="24"/>
          <w:rtl w:val="true"/>
          <w:lang w:val="en-US" w:bidi="fa-IR"/>
        </w:rPr>
        <w:t xml:space="preserve"> تکراری آزمون شد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یافته‌ها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 ساختاری برازش مطلوب داشت </w:t>
      </w:r>
      <w:r>
        <w:rPr>
          <w:rFonts w:eastAsia="Times New Roman" w:cs="B Nazanin"/>
          <w:sz w:val="24"/>
          <w:szCs w:val="24"/>
          <w:rtl w:val="true"/>
          <w:lang w:val="en-US" w:bidi="fa-IR"/>
        </w:rPr>
        <w:t>(</w:t>
      </w:r>
      <w:r>
        <w:rPr>
          <w:rFonts w:eastAsia="Times New Roman" w:cs="B Nazanin"/>
          <w:sz w:val="24"/>
          <w:szCs w:val="24"/>
          <w:lang w:val="en-US" w:bidi="fa-IR"/>
        </w:rPr>
        <w:t xml:space="preserve">‎CFI = </w:t>
      </w:r>
      <w:r>
        <w:rPr>
          <w:rFonts w:ascii="Times New Roman" w:hAnsi="Times New Roman" w:eastAsia="Times New Roman"/>
          <w:sz w:val="24"/>
          <w:sz w:val="24"/>
          <w:szCs w:val="24"/>
          <w:lang w:val="en-US" w:bidi="fa-IR"/>
        </w:rPr>
        <w:t>۰٫۹۷۷‎</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w:t>
      </w:r>
      <w:r>
        <w:rPr>
          <w:rFonts w:eastAsia="Times New Roman" w:cs="B Nazanin"/>
          <w:sz w:val="24"/>
          <w:szCs w:val="24"/>
          <w:lang w:val="en-US" w:bidi="fa-IR"/>
        </w:rPr>
        <w:t xml:space="preserve">RMSEA = </w:t>
      </w:r>
      <w:r>
        <w:rPr>
          <w:rFonts w:ascii="Times New Roman" w:hAnsi="Times New Roman" w:eastAsia="Times New Roman"/>
          <w:sz w:val="24"/>
          <w:sz w:val="24"/>
          <w:szCs w:val="24"/>
          <w:lang w:val="en-US" w:bidi="fa-IR"/>
        </w:rPr>
        <w:t>۰٫۰۲۳‎</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w:t>
      </w:r>
      <w:r>
        <w:rPr>
          <w:rFonts w:eastAsia="Times New Roman" w:cs="B Nazanin"/>
          <w:sz w:val="24"/>
          <w:szCs w:val="24"/>
          <w:lang w:val="en-US" w:bidi="fa-IR"/>
        </w:rPr>
        <w:t xml:space="preserve">SRMR = </w:t>
      </w:r>
      <w:r>
        <w:rPr>
          <w:rFonts w:ascii="Times New Roman" w:hAnsi="Times New Roman" w:eastAsia="Times New Roman"/>
          <w:sz w:val="24"/>
          <w:sz w:val="24"/>
          <w:szCs w:val="24"/>
          <w:lang w:val="en-US" w:bidi="fa-IR"/>
        </w:rPr>
        <w:t>۰٫۰۴۲‎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مواجهه با محتوا فومو را افزایش داد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۰٫۴۹‎</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فومو رفتار توده‌وار را تقویت کرد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۰٫۴۱‎</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رفتار توده‌وار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۰٫۳۵‎</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اثر غیرمستقیم متوالی معنادار بود و استفاده از اطلاعات حسابداری اثر فومو بر رفتار توده‌وار را تضعیف کرد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۰٫۱۸‎</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نتیجه‌گیری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دانش‌افزایی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r>
        <w:rPr>
          <w:rFonts w:eastAsia="Times New Roman" w:cs="B Nazanin"/>
          <w:sz w:val="24"/>
          <w:szCs w:val="24"/>
          <w:rtl w:val="true"/>
          <w:lang w:val="en-US" w:bidi="fa-IR"/>
        </w:rPr>
        <w:t>.</w:t>
      </w:r>
    </w:p>
    <w:p>
      <w:pPr>
        <w:pStyle w:val="Normal"/>
        <w:bidi w:val="1"/>
        <w:spacing w:lineRule="auto" w:line="240" w:before="12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مواجهه با شبکه‌های اجتماعی؛ فومو؛ رفتار توده‌وار؛ اطلاعات حسابداری؛ کیفیت تصمیم سرمایه‌گذاری؛ مدل‌سازی معادلات ساختاری؛ بورس تهران</w:t>
      </w:r>
    </w:p>
    <w:p>
      <w:pPr>
        <w:pStyle w:val="Normal"/>
        <w:rPr/>
      </w:pPr>
      <w:r>
        <w:rPr>
          <w:rtl w:val="true"/>
        </w:rPr>
      </w:r>
      <w:r>
        <w:br w:type="page"/>
      </w:r>
    </w:p>
    <w:p>
      <w:pPr>
        <w:pStyle w:val="Normal"/>
        <w:keepNext w:val="true"/>
        <w:bidi w:val="1"/>
        <w:spacing w:lineRule="auto" w:line="240" w:before="0" w:after="50"/>
        <w:jc w:val="left"/>
        <w:rPr/>
      </w:pP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بازار سرمایهٔ ایران در سال‌های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۱۴۰۰</w:t>
      </w:r>
      <w:r>
        <w:rPr>
          <w:rFonts w:ascii="Times New Roman" w:hAnsi="Times New Roman" w:eastAsia="Times New Roman"/>
          <w:sz w:val="26"/>
          <w:sz w:val="26"/>
          <w:szCs w:val="26"/>
          <w:rtl w:val="true"/>
          <w:lang w:val="en-US" w:bidi="fa-IR"/>
        </w:rPr>
        <w:t xml:space="preserve">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چنین تجربه‌هایی پرسشی بنیادین را پیش می‌کشد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شواهد بین‌المللی دو رویکرد را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یک‌سو، نظرها و احساسات منتشرشده در شبکه‌ها می‌توانند حامل اطلاعات سودمند دربارهٔ بازده آتی باشند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چن و همکاران</w:t>
      </w:r>
      <w:r>
        <w:rPr>
          <w:rStyle w:val="FootnoteReference"/>
          <w:rtl w:val="true"/>
        </w:rPr>
        <w:footnoteReference w:id="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ascii="Times New Roman" w:hAnsi="Times New Roman" w:eastAsia="Times New Roman"/>
          <w:sz w:val="26"/>
          <w:sz w:val="26"/>
          <w:szCs w:val="26"/>
          <w:rtl w:val="true"/>
          <w:lang w:val="en-US" w:bidi="fa-IR"/>
        </w:rPr>
        <w:t>؛ بولن و همکاران</w:t>
      </w:r>
      <w:r>
        <w:rPr>
          <w:rStyle w:val="FootnoteReference"/>
          <w:rtl w:val="true"/>
        </w:rPr>
        <w:footnoteReference w:id="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توجه سرمایه‌گذاران خرد را جلب و جهت 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دا و همکاران</w:t>
      </w:r>
      <w:r>
        <w:rPr>
          <w:rStyle w:val="FootnoteReference"/>
          <w:rtl w:val="true"/>
        </w:rPr>
        <w:footnoteReference w:id="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ascii="Times New Roman" w:hAnsi="Times New Roman" w:eastAsia="Times New Roman"/>
          <w:sz w:val="26"/>
          <w:sz w:val="26"/>
          <w:szCs w:val="26"/>
          <w:rtl w:val="true"/>
          <w:lang w:val="en-US" w:bidi="fa-IR"/>
        </w:rPr>
        <w:t>؛ باربر و اودین</w:t>
      </w:r>
      <w:r>
        <w:rPr>
          <w:rStyle w:val="FootnoteReference"/>
          <w:rtl w:val="true"/>
        </w:rPr>
        <w:footnoteReference w:id="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سوی دیگر، همین بسترها می‌توانند به هم‌جهتی، اتاق‌های پژواک و تشدید خطاهای قضاوت بینجامند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کوکسون و نیسنر</w:t>
      </w:r>
      <w:r>
        <w:rPr>
          <w:rStyle w:val="FootnoteReference"/>
          <w:rtl w:val="true"/>
        </w:rPr>
        <w:footnoteReference w:id="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ascii="Times New Roman" w:hAnsi="Times New Roman" w:eastAsia="Times New Roman"/>
          <w:sz w:val="26"/>
          <w:sz w:val="26"/>
          <w:szCs w:val="26"/>
          <w:rtl w:val="true"/>
          <w:lang w:val="en-US" w:bidi="fa-IR"/>
        </w:rPr>
        <w:t>؛ کوکسون و همکاران</w:t>
      </w:r>
      <w:r>
        <w:rPr>
          <w:rStyle w:val="FootnoteReference"/>
          <w:rtl w:val="true"/>
        </w:rPr>
        <w:footnoteReference w:id="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ascii="Times New Roman" w:hAnsi="Times New Roman" w:eastAsia="Times New Roman"/>
          <w:sz w:val="26"/>
          <w:sz w:val="26"/>
          <w:szCs w:val="26"/>
          <w:rtl w:val="true"/>
          <w:lang w:val="en-US" w:bidi="fa-IR"/>
        </w:rPr>
        <w:t>؛ هیرشلایفر</w:t>
      </w:r>
      <w:r>
        <w:rPr>
          <w:rStyle w:val="FootnoteReference"/>
          <w:rtl w:val="true"/>
        </w:rPr>
        <w:footnoteReference w:id="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آنچه هنوز روشن نیست سازوکار انتقال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چارچوب نظری پشتیبان این پژوهش دو ستون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نخست، نظریهٔ آبشارهای اطلاعاتی</w:t>
      </w:r>
      <w:r>
        <w:rPr>
          <w:rStyle w:val="FootnoteReference"/>
          <w:rtl w:val="true"/>
        </w:rPr>
        <w:footnoteReference w:id="9"/>
      </w:r>
      <w:r>
        <w:rPr>
          <w:rFonts w:ascii="Times New Roman" w:hAnsi="Times New Roman" w:eastAsia="Times New Roman"/>
          <w:sz w:val="26"/>
          <w:sz w:val="26"/>
          <w:szCs w:val="26"/>
          <w:rtl w:val="true"/>
          <w:lang w:val="en-US" w:bidi="fa-IR"/>
        </w:rPr>
        <w:t xml:space="preserve"> که توضیح می‌دهد چرا سرمایه‌گذاران عاقل نیز ممکن است سیگنال‌های خصوصی خود را کنار بگذارند و از رفتار دیگران پیروی 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بیکچندانی و همکاران</w:t>
      </w:r>
      <w:r>
        <w:rPr>
          <w:rStyle w:val="FootnoteReference"/>
          <w:rtl w:val="true"/>
        </w:rPr>
        <w:footnoteReference w:id="1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۱۹۹۲</w:t>
      </w:r>
      <w:r>
        <w:rPr>
          <w:rFonts w:ascii="Times New Roman" w:hAnsi="Times New Roman" w:eastAsia="Times New Roman"/>
          <w:sz w:val="26"/>
          <w:sz w:val="26"/>
          <w:szCs w:val="26"/>
          <w:rtl w:val="true"/>
          <w:lang w:val="en-US" w:bidi="fa-IR"/>
        </w:rPr>
        <w:t>؛ بنرجی</w:t>
      </w:r>
      <w:r>
        <w:rPr>
          <w:rStyle w:val="FootnoteReference"/>
          <w:rtl w:val="true"/>
        </w:rPr>
        <w:footnoteReference w:id="1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دوم، ادبیات ترس از دست دادن فرصت</w:t>
      </w:r>
      <w:r>
        <w:rPr>
          <w:rStyle w:val="FootnoteReference"/>
          <w:rtl w:val="true"/>
        </w:rPr>
        <w:footnoteReference w:id="12"/>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فومو</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آن را اضطرابی فراگیر دربارهٔ تجربه‌های پاداش‌آور دیگران می‌داند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پرزیبیلسکی و همکاران</w:t>
      </w:r>
      <w:r>
        <w:rPr>
          <w:rStyle w:val="FootnoteReference"/>
          <w:rtl w:val="true"/>
        </w:rPr>
        <w:footnoteReference w:id="1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بر پایهٔ نظریهٔ مقایسهٔ اجتماعی</w:t>
      </w:r>
      <w:r>
        <w:rPr>
          <w:rStyle w:val="FootnoteReference"/>
          <w:rtl w:val="true"/>
        </w:rPr>
        <w:footnoteReference w:id="14"/>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فستینگر</w:t>
      </w:r>
      <w:r>
        <w:rPr>
          <w:rStyle w:val="FootnoteReference"/>
          <w:rtl w:val="true"/>
        </w:rPr>
        <w:footnoteReference w:id="1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محیط‌های شبکه‌ای تشدید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ترکیب این دو، مسیر زیر را پیشنهاد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 فومو ← رفتار توده‌وار ← افت کیفیت تصمیم؛ مسیری که شدت آن می‌تواند با میزان تکیهٔ سرمایه‌گذار بر اطلاعات حسابداری تعدیل 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ایران، پژوهش‌های فراوانی دربارهٔ رفتار توده‌وار و سوگیری‌های رفتاری سرمایه‌گذاران انجام شده است؛ برای نمونه جمشیدی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فرااعتمادی، نماگری و اثر تمایلی را در میان سرمایه‌گذاران حقیقی بررسی کرده‌اند، ترازودار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مدلی دادهٔ‌بنیاد برای اثر تورش‌های رفتاری و سواد مالی بر تصمیم‌گیری سرمایه‌گذاران ارائه داده‌اند و ندیری و پناهیان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احساسات عقلانی و غیرعقلانی را بر بازده بازار سهام سنجیده‌اند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دربارهٔ نقش شبکه‌های اجتماعی نیز حیدری هراتمه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تأثیر رسانه‌ها و شبکه‌های اجتماعی و مجازی را بر خط‌مشی و تصمیمات سرمایه‌گذاران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به‌نظر می‌رسد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نقش میانجی فومو میان مواجهه با محتوا و توده‌واری، و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تعدیل‌گر اطلاعات حسابداری در این زنجیره کمتر در قالب یک مدل ساختاری یکپارچه با خطای اندازه‌گیری کنترل‌شده آزموده شده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پژوهش با نگاه حسابداری رفتاری به همین دو شکاف می‌پردازد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پرسش‌های پژوهش</w:t>
      </w:r>
      <w:r>
        <w:rPr>
          <w:rFonts w:ascii="Times New Roman" w:hAnsi="Times New Roman" w:eastAsia="Times New Roman"/>
          <w:sz w:val="26"/>
          <w:sz w:val="26"/>
          <w:szCs w:val="26"/>
          <w:rtl w:val="true"/>
          <w:lang w:val="en-US" w:bidi="fa-IR"/>
        </w:rPr>
        <w:t xml:space="preserve"> عبارت‌اند از</w:t>
      </w:r>
      <w:r>
        <w:rPr>
          <w:rFonts w:eastAsia="Times New Roman" w:cs="B Nazanin"/>
          <w:sz w:val="26"/>
          <w:szCs w:val="26"/>
          <w:rtl w:val="true"/>
          <w:lang w:val="en-US" w:bidi="fa-IR"/>
        </w:rPr>
        <w:t>: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مواجهه با محتوای سرمایه‌گذاری در شبکه‌های اجتماعی از طریق فومو و رفتار توده‌وار بر کیفیت تصمیم سرمایه‌گذاران حقیقی اثر می‌گذارد؟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گویه‌ها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تحلیل به‌کار نمی‌رود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به‌طور خلاصه، نتایج نشان داد اثر غیرمستقیم متوالی مواجهه بر کیفیت تصمیم از طریق فومو و رفتار توده‌وار منفی و معنادار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ضریب استاندارد </w:t>
      </w:r>
      <w:r>
        <w:rPr>
          <w:rFonts w:ascii="Times New Roman" w:hAnsi="Times New Roman" w:eastAsia="Times New Roman"/>
          <w:sz w:val="26"/>
          <w:sz w:val="26"/>
          <w:szCs w:val="26"/>
          <w:lang w:val="en-US" w:bidi="fa-IR"/>
        </w:rPr>
        <w:t>‎−۰٫۰۷۱‎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استفاده از اطلاعات حسابداری شیب فومو ← توده‌واری را کاهش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و ضرورت موضوع از دو جنبه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داده‌های این نسخه شبیه‌سازی‌شده‌اند و پیام آن بیش از هر چیز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بازتولیدپذیری روش و ساختار مدل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 بنابراین نباید به‌منزلهٔ شواهد تجربی دربارهٔ بازار واقعی تعبیر 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ساختار مقاله چنین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ابتدا مبانی نظری و فرضیه‌ها، سپس روش‌شناسی، یافته‌ها، و در پایان بحث و نتیجه‌گیری ارائه می‌شود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مبانی نظری و توسعهٔ فرضیه‌ها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کیفیت تصمیم سرمایه‌گذاری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کیفیت تصمیم را می‌توان مجموعه‌ای از ویژگی‌های فرایندی و پیامدی دانست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اتکا به اطلاعات مرتبط و مستند، سازگاری با اهداف بلندمدت، و رضایت و پشیمانی کمتر از نتایج</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پارکر و فیشهاف</w:t>
      </w:r>
      <w:r>
        <w:rPr>
          <w:rStyle w:val="FootnoteReference"/>
          <w:rtl w:val="true"/>
        </w:rPr>
        <w:footnoteReference w:id="16"/>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شایستگی تصمیم‌گیری را ویژگی قابل‌سنجش و متفاوت میان افراد می‌دانند و برویِن دو برویِن و همکاران</w:t>
      </w:r>
      <w:r>
        <w:rPr>
          <w:rStyle w:val="FootnoteReference"/>
          <w:rtl w:val="true"/>
        </w:rPr>
        <w:footnoteReference w:id="17"/>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دادند این شایستگی با پیامدهای واقعی زندگی مرتبط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بازار سهام، تفاوت میان تصمیم خوب و بد را نمی‌توان تنها با بازده سنجید، زیرا بازده بخشی از شانس است؛ ازاین‌رو فرایند تصمیم نیز مهم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سرمایه‌گذارانی که بیش‌ازحد و تحت‌تأثیر عوامل غیربنیادی معامله می‌کنند بازده خالص کمتری کسب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باربر و اودین،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تمایل به نگه‌داشتن زیان‌ها و فروش زودهنگام سودها از الگوهای شناخته‌شدهٔ کاهندهٔ کیفیت تصمیم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اودین</w:t>
      </w:r>
      <w:r>
        <w:rPr>
          <w:rStyle w:val="FootnoteReference"/>
          <w:rtl w:val="true"/>
        </w:rPr>
        <w:footnoteReference w:id="1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مرور کومار و گویال</w:t>
      </w:r>
      <w:r>
        <w:rPr>
          <w:rStyle w:val="FootnoteReference"/>
          <w:rtl w:val="true"/>
        </w:rPr>
        <w:footnoteReference w:id="19"/>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نیز نشان می‌دهد سوگیری‌های رفتاری از مهم‌ترین عوامل انحراف تصمیم از فرایند عقلانی‌اند و جمشیدی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بررسی سرمایه‌گذاران حقیقی بورس تهران، ارتباط سوگیری‌های رفتاری با عملکرد را مطالعه کرده‌اند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شبکه‌های اجتماعی و اطلاعات مالی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شبکه‌های اجتماعی هزینهٔ دسترسی به نظرها و تحلیل‌ها را کاهش داده‌اند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دادند نظرهای منتشرشده در یک پلتفرم سرمایه‌گذاری با بازده آتی و شگفتی‌های سود مرتبط است و بولن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رابطهٔ خلق‌وخوی عمومی در توییتر با حرکت بازار را گزارش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این حال، هم‌زمان که اطلاعات ارزان‌تر می‌شود، توجه کمیاب‌تر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دادند خرید سرمایه‌گذاران حقیقی بر سهامِ مورد توجه متمرکز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چنین محیطی، محتوایی که توجه را جلب می‌کند لزوماً محتوای آگاهی‌بخش‌تر نیست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کوکسون و نیسنر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تحلیل یک شبکهٔ اجتماعی سرمایه‌گذاران نشان دادند کاربران نظرهای هم‌جهت با خود را بیشتر دنبال می‌کنند و کوکسون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شواهدی دربارهٔ اتاق‌های پژواک، تمایل به تعامل با همفکران را مستند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هیرشلایفر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سوگیری انتقال اجتماعی را عاملی ساختاری در شکل‌گیری رفتارهای مالی می‌داند و شیلر</w:t>
      </w:r>
      <w:r>
        <w:rPr>
          <w:rStyle w:val="FootnoteReference"/>
          <w:rtl w:val="true"/>
        </w:rPr>
        <w:footnoteReference w:id="20"/>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روایت‌های همه‌گیر را در نوسان‌های اقتصادی برجسته کرده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هونگ و همکاران</w:t>
      </w:r>
      <w:r>
        <w:rPr>
          <w:rStyle w:val="FootnoteReference"/>
          <w:rtl w:val="true"/>
        </w:rPr>
        <w:footnoteReference w:id="21"/>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دادند تعاملات اجتماعی بر مشارکت در بازار سهام اثر می‌گذارد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ایران، حیدری هراتمه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رسانه‌ها و شبکه‌های اجتماعی را بر تصمیمات سرمایه‌گذاران بازارهای مالی بررسی کرده‌اند و ندیری و پناهیان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احساسات سرمایه‌گذاران را در بازده بازار سهام تهران نشان داده‌اند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مطالعات زمینه‌ای فراهم می‌کنند که در آن مواجهه با محتوا می‌تواند هیجان سرمایه‌گذاران را برانگیزد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فومو در ادبیات روان‌شناسی، نگرانی فراگیر از آن است که دیگران تجربه‌های پاداش‌آوری دارند که فرد از آن‌ها محروم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پرزیبیلسکی و همکاران،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سازه با استفادهٔ بیشتر از شبکه‌های اجتماعی ارتباط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آبل و همکاران</w:t>
      </w:r>
      <w:r>
        <w:rPr>
          <w:rStyle w:val="FootnoteReference"/>
          <w:rtl w:val="true"/>
        </w:rPr>
        <w:footnoteReference w:id="2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میلیاوسکایا و همکاران</w:t>
      </w:r>
      <w:r>
        <w:rPr>
          <w:rStyle w:val="FootnoteReference"/>
          <w:rtl w:val="true"/>
        </w:rPr>
        <w:footnoteReference w:id="23"/>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پیامدها و پویایی تجربهٔ آن را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بستر سرمایه‌گذاری، فومو به شکل نگرانی از فرصت‌های سودآور از دست‌رفته بروز می‌یابد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اساس نظریهٔ مقایسهٔ اجتماعی، افراد ارزیابی خود را از طریق مقایسه با دیگران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فستینگر،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مواجهه مکرر با گزارش سود دیگران بستر این مقایسه را فراهم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نظریهٔ پشیمانی</w:t>
      </w:r>
      <w:r>
        <w:rPr>
          <w:rStyle w:val="FootnoteReference"/>
          <w:rtl w:val="true"/>
        </w:rPr>
        <w:footnoteReference w:id="24"/>
      </w:r>
      <w:r>
        <w:rPr>
          <w:rFonts w:ascii="Times New Roman" w:hAnsi="Times New Roman" w:eastAsia="Times New Roman"/>
          <w:sz w:val="26"/>
          <w:sz w:val="26"/>
          <w:szCs w:val="26"/>
          <w:rtl w:val="true"/>
          <w:lang w:val="en-US" w:bidi="fa-IR"/>
        </w:rPr>
        <w:t xml:space="preserve"> نیز نشان می‌دهد پیش‌بینی پشیمانی از دست‌دادن فرصت می‌تواند انتخاب را تحریف 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لومز و ساگدن</w:t>
      </w:r>
      <w:r>
        <w:rPr>
          <w:rStyle w:val="FootnoteReference"/>
          <w:rtl w:val="true"/>
        </w:rPr>
        <w:footnoteReference w:id="2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به‌طور کلی، پژوهش‌ها نشان داده‌اند هیجان‌ها تصمیم را به شیوه‌ای نظام‌مند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لرنر و همکاران</w:t>
      </w:r>
      <w:r>
        <w:rPr>
          <w:rStyle w:val="FootnoteReference"/>
          <w:rtl w:val="true"/>
        </w:rPr>
        <w:footnoteReference w:id="2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این‌رو</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در شبکه‌های اجتماعی بر فومو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 و رفتار توده‌وار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رفتار توده‌وار</w:t>
      </w:r>
      <w:r>
        <w:rPr>
          <w:rStyle w:val="FootnoteReference"/>
          <w:rtl w:val="true"/>
        </w:rPr>
        <w:footnoteReference w:id="27"/>
      </w:r>
      <w:r>
        <w:rPr>
          <w:rFonts w:ascii="Times New Roman" w:hAnsi="Times New Roman" w:eastAsia="Times New Roman"/>
          <w:sz w:val="26"/>
          <w:sz w:val="26"/>
          <w:szCs w:val="26"/>
          <w:rtl w:val="true"/>
          <w:lang w:val="en-US" w:bidi="fa-IR"/>
        </w:rPr>
        <w:t xml:space="preserve"> به معنای همسو کردن تصمیم‌ها با رفتار جمع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الگوهای نظری نشان می‌دهند این رفتار می‌تواند ناشی از اطلاعات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آبشار اطلاعاتی</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اعتبار حرفه‌ای یا فشار اجتماعی باشد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ascii="Times New Roman" w:hAnsi="Times New Roman" w:eastAsia="Times New Roman"/>
          <w:sz w:val="26"/>
          <w:sz w:val="26"/>
          <w:szCs w:val="26"/>
          <w:rtl w:val="true"/>
          <w:lang w:val="en-US" w:bidi="fa-IR"/>
        </w:rPr>
        <w:t>؛ شارفشتاین و استاین</w:t>
      </w:r>
      <w:r>
        <w:rPr>
          <w:rStyle w:val="FootnoteReference"/>
          <w:rtl w:val="true"/>
        </w:rPr>
        <w:footnoteReference w:id="2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هیرشلایفر و تئو</w:t>
      </w:r>
      <w:r>
        <w:rPr>
          <w:rStyle w:val="FootnoteReference"/>
          <w:rtl w:val="true"/>
        </w:rPr>
        <w:footnoteReference w:id="29"/>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بیکچندانی و شارما</w:t>
      </w:r>
      <w:r>
        <w:rPr>
          <w:rStyle w:val="FootnoteReference"/>
          <w:rtl w:val="true"/>
        </w:rPr>
        <w:footnoteReference w:id="30"/>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مرور جامعی از شواهد ارائه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سطح بازار، چانگ و همکاران</w:t>
      </w:r>
      <w:r>
        <w:rPr>
          <w:rStyle w:val="FootnoteReference"/>
          <w:rtl w:val="true"/>
        </w:rPr>
        <w:footnoteReference w:id="31"/>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روشی برای شناسایی توده‌واری از پراکندگی بازده‌ها ارائه کردند و چیانگ و ژنگ</w:t>
      </w:r>
      <w:r>
        <w:rPr>
          <w:rStyle w:val="FootnoteReference"/>
          <w:rtl w:val="true"/>
        </w:rPr>
        <w:footnoteReference w:id="32"/>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شواهدی از توده‌واری را در بازارهای مختلف گزارش دادند؛ در ایران نیز پژوهش‌های بسیاری از همین منطق برای بورس تهران بهره برده‌اند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وقتی سرمایه‌گذار هراس از جاماندن را تجربه می‌کند، بهای روانی پیروی نکردن از جمع افزایش می‌یابد و او برای کاهش اضطراب، ورود هم‌جهت با دیگران را ترجیح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بر رفتار توده‌وار اثر مثبت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سوی دیگر، مواجهه با محتوا می‌تواند مستقل از هیجان، با ارائهٔ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سیگنال اجتماعی</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مانند اجماع ظاهری کانال‌ها یا نمایش صف‌های خرید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رفتار هم‌جهت منجر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کوکسون و نیسنر، </w:t>
      </w:r>
      <w:r>
        <w:rPr>
          <w:rFonts w:ascii="Times New Roman" w:hAnsi="Times New Roman" w:eastAsia="Times New Roman"/>
          <w:sz w:val="26"/>
          <w:sz w:val="26"/>
          <w:szCs w:val="26"/>
          <w:lang w:val="en-US" w:bidi="fa-IR"/>
        </w:rPr>
        <w:t>۲۰۲۰</w:t>
      </w:r>
      <w:r>
        <w:rPr>
          <w:rFonts w:ascii="Times New Roman" w:hAnsi="Times New Roman" w:eastAsia="Times New Roman"/>
          <w:sz w:val="26"/>
          <w:sz w:val="26"/>
          <w:szCs w:val="26"/>
          <w:rtl w:val="true"/>
          <w:lang w:val="en-US" w:bidi="fa-IR"/>
        </w:rPr>
        <w:t xml:space="preserve">؛ کوکسون و همکاران،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در شبکه‌های اجتماعی بر رفتار توده‌وار اثر مستقیم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رفتار توده‌وار و کیفیت تصمیم؛ میانجی‌گری متوالی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توده‌واری می‌تواند به بروز حباب و بازگشت‌های شدید قیمت بینجامد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هیرشلایفر،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سطح فردی، پیروی از جمع به‌جای اتکا بر تحلیل مستند، فرایند تصمیم را ضعیف می‌کند، هزینهٔ معامله را بالا می‌برد و زمان‌بندی ورود و خروج را نامناسب می‌سازد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هیرشلایفر و تئو، </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رفتار توده‌وار بر کیفیت تصمیم سرمایه‌گذاری اثر منفی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با ترکیب فرضیه‌های بالا، مسیر میانجی‌گری</w:t>
      </w:r>
      <w:r>
        <w:rPr>
          <w:rStyle w:val="FootnoteReference"/>
          <w:rtl w:val="true"/>
        </w:rPr>
        <w:footnoteReference w:id="33"/>
      </w:r>
      <w:r>
        <w:rPr>
          <w:rFonts w:ascii="Times New Roman" w:hAnsi="Times New Roman" w:eastAsia="Times New Roman"/>
          <w:sz w:val="26"/>
          <w:sz w:val="26"/>
          <w:szCs w:val="26"/>
          <w:rtl w:val="true"/>
          <w:lang w:val="en-US" w:bidi="fa-IR"/>
        </w:rPr>
        <w:t xml:space="preserve"> متوالی پیش‌بینی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ابتدا فومو را برمی‌انگیزد، فومو رفتار توده‌وار را تقویت می‌کند و سرانجام کیفیت تصمیم کاهش می‌یابد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روش متعارف آزمون چنین زنجیره‌ای، خودگردان‌سازی</w:t>
      </w:r>
      <w:r>
        <w:rPr>
          <w:rStyle w:val="FootnoteReference"/>
          <w:rtl w:val="true"/>
        </w:rPr>
        <w:footnoteReference w:id="34"/>
      </w:r>
      <w:r>
        <w:rPr>
          <w:rFonts w:ascii="Times New Roman" w:hAnsi="Times New Roman" w:eastAsia="Times New Roman"/>
          <w:sz w:val="26"/>
          <w:sz w:val="26"/>
          <w:szCs w:val="26"/>
          <w:rtl w:val="true"/>
          <w:lang w:val="en-US" w:bidi="fa-IR"/>
        </w:rPr>
        <w:t xml:space="preserve"> اثرهای حاصل‌ضرب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tl w:val="true"/>
        </w:rPr>
        <w:footnoteReference w:id="3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تیلور و همکاران</w:t>
      </w:r>
      <w:r>
        <w:rPr>
          <w:rStyle w:val="FootnoteReference"/>
          <w:rtl w:val="true"/>
        </w:rPr>
        <w:footnoteReference w:id="3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و رفتار توده‌وار اثر مواجهه با محتوا بر کیفیت تصمیم را به‌صورت متوالی میانجی‌گری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غیرمستقیم منفی</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۶</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اطلاعات حسابداری و نقش تعدیل‌گر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بال و براون</w:t>
      </w:r>
      <w:r>
        <w:rPr>
          <w:rStyle w:val="FootnoteReference"/>
          <w:rtl w:val="true"/>
        </w:rPr>
        <w:footnoteReference w:id="3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ascii="Times New Roman" w:hAnsi="Times New Roman" w:eastAsia="Times New Roman"/>
          <w:sz w:val="26"/>
          <w:sz w:val="26"/>
          <w:szCs w:val="26"/>
          <w:rtl w:val="true"/>
          <w:lang w:val="en-US" w:bidi="fa-IR"/>
        </w:rPr>
        <w:t>؛ بیور</w:t>
      </w:r>
      <w:r>
        <w:rPr>
          <w:rStyle w:val="FootnoteReference"/>
          <w:rtl w:val="true"/>
        </w:rPr>
        <w:footnoteReference w:id="3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لارنس</w:t>
      </w:r>
      <w:r>
        <w:rPr>
          <w:rStyle w:val="FootnoteReference"/>
          <w:rtl w:val="true"/>
        </w:rPr>
        <w:footnoteReference w:id="39"/>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 سرمایه‌گذاران حقیقی با افشای شفاف‌تر و ساده‌تر عملکرد بهتری دارند و هیرشلایفر و تئو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استدلال کردند توجه محدود سرمایه‌گذاران، شیوهٔ ارائهٔ اطلاعات را مهم می‌سازد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میلر و اسکینر</w:t>
      </w:r>
      <w:r>
        <w:rPr>
          <w:rStyle w:val="FootnoteReference"/>
          <w:rtl w:val="true"/>
        </w:rPr>
        <w:footnoteReference w:id="40"/>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چشم‌انداز تحول افشا را در عصر رسانه‌های دیجیتال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بلنکسپور و همکاران</w:t>
      </w:r>
      <w:r>
        <w:rPr>
          <w:rStyle w:val="FootnoteReference"/>
          <w:rtl w:val="true"/>
        </w:rPr>
        <w:footnoteReference w:id="41"/>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بارتوف و همکاران</w:t>
      </w:r>
      <w:r>
        <w:rPr>
          <w:rStyle w:val="FootnoteReference"/>
          <w:rtl w:val="true"/>
        </w:rPr>
        <w:footnoteReference w:id="42"/>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الیوت و همکاران</w:t>
      </w:r>
      <w:r>
        <w:rPr>
          <w:rStyle w:val="FootnoteReference"/>
          <w:rtl w:val="true"/>
        </w:rPr>
        <w:footnoteReference w:id="43"/>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می‌دهند شبکه‌های اجتماعی و اطلاعات حسابداری در بازار به‌هم‌پیوسته‌اند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اولی سرعت و دسترسی را افزایش می‌دهد و دومی محتوای قابل‌راستی‌آزمایی فراهم می‌کند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ایران نیز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پیوند مالی رفتاری و متغیرهای بینادی حسابداری را در بورس تهران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یافته‌ها هرچند مستقیماً دربارهٔ فومو نیستند، اما نشان می‌دهند اطلاعات حسابداری می‌تواند وزن واکنش‌های احساسی را در تصمیم کاهش 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نگاه آبشارهای اطلاعاتی، هر چه سیگنال خصوصی سرمایه‌گذار دقیق‌تر باشد، آبشار شکننده‌تر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اطلاعات حسابداری می‌تواند چنین سیگنال خصوصی دقیقی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بیان دیگر، اطلاعات حسابداری شیب فومو ← توده‌واری را تضعیف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تعدیل‌گری</w:t>
      </w:r>
      <w:r>
        <w:rPr>
          <w:rStyle w:val="FootnoteReference"/>
          <w:rtl w:val="true"/>
        </w:rPr>
        <w:footnoteReference w:id="44"/>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نتیجه اثر غیرمستقیم متوالی را نیز مشروط می‌سازد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میانجی‌گری تعدیل‌شده</w:t>
      </w:r>
      <w:r>
        <w:rPr>
          <w:rStyle w:val="FootnoteReference"/>
          <w:rtl w:val="true"/>
        </w:rPr>
        <w:footnoteReference w:id="45"/>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همکاران</w:t>
      </w:r>
      <w:r>
        <w:rPr>
          <w:rStyle w:val="FootnoteReference"/>
          <w:rtl w:val="true"/>
        </w:rPr>
        <w:footnoteReference w:id="4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۶</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اثر مثبت فومو بر رفتار توده‌وار را تضعیف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تعامل منفی</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۷</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غیرمستقیم متوالی مواجهه بر کیفیت تصمیم در سطوح بالاتر استفادهٔ سرمایه‌گذار از اطلاعات حسابداری ضعیف‌تر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شاخص میانجی‌گری تعدیل‌شدهٔ مثبت</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۸</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از اطلاعات حسابداری بر کیفیت تصمیم اثر مثبت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مدل مفهومی پژوهش را با نمایش همهٔ سازه‌های پنهان و گویه‌های سنجنده‌ی آن‌ها نشان می‌دهد و جدول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فرضیه‌ها را خلاصه می‌کند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579745" cy="386651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5579745" cy="386651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با سازه‌های پنهان و گویه‌های سنجنده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خلاصهٔ فرضیه‌های پژوهش</w:t>
      </w:r>
    </w:p>
    <w:tbl>
      <w:tblPr>
        <w:bidiVisual w:val="true"/>
        <w:tblW w:w="9000" w:type="dxa"/>
        <w:jc w:val="center"/>
        <w:tblInd w:w="0" w:type="dxa"/>
        <w:tblLayout w:type="fixed"/>
        <w:tblCellMar>
          <w:top w:w="0" w:type="dxa"/>
          <w:left w:w="60" w:type="dxa"/>
          <w:bottom w:w="0" w:type="dxa"/>
          <w:right w:w="60" w:type="dxa"/>
        </w:tblCellMar>
      </w:tblPr>
      <w:tblGrid>
        <w:gridCol w:w="999"/>
        <w:gridCol w:w="5600"/>
        <w:gridCol w:w="2401"/>
      </w:tblGrid>
      <w:tr>
        <w:trPr>
          <w:tblHeader w:val="true"/>
        </w:trPr>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فرضیه</w:t>
            </w:r>
          </w:p>
        </w:tc>
        <w:tc>
          <w:tcPr>
            <w:tcW w:w="5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24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جهت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با محتوا ← فومو</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۲</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رفتار توده‌وار</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رفتار توده‌وار ← کیفیت تصمیم</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 ← رفتار توده‌وار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مستقیم</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 فومو ← رفتار توده‌وار ← کیفیت تصمیم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میانجی متوالی</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غیرمستقیم 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تعامل 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 رفتار توده‌وار</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میانجی‌گری تعدیل‌شده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شاخص</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۸</w:t>
            </w:r>
          </w:p>
        </w:tc>
        <w:tc>
          <w:tcPr>
            <w:tcW w:w="5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کیفیت تصمیم</w:t>
            </w:r>
          </w:p>
        </w:tc>
        <w:tc>
          <w:tcPr>
            <w:tcW w:w="24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روش‌شناسی</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طرح پژوهش، جامعه و کفایت نمونه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این پژوهش از نظر هدف کاربردی و از نظر شیوهٔ گردآوری داده، پیمایشی ـ مقطعی است و با مدل‌سازی معادلات ساختاری</w:t>
      </w:r>
      <w:r>
        <w:rPr>
          <w:rStyle w:val="FootnoteReference"/>
          <w:rtl w:val="true"/>
        </w:rPr>
        <w:footnoteReference w:id="47"/>
      </w:r>
      <w:r>
        <w:rPr>
          <w:rFonts w:ascii="Times New Roman" w:hAnsi="Times New Roman" w:eastAsia="Times New Roman"/>
          <w:sz w:val="26"/>
          <w:sz w:val="26"/>
          <w:szCs w:val="26"/>
          <w:rtl w:val="true"/>
          <w:lang w:val="en-US" w:bidi="fa-IR"/>
        </w:rPr>
        <w:t xml:space="preserve"> مبتنی بر کوواریانس تحلیل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جامعهٔ هدف، سرمایه‌گذاران حقیقی فعال در بورس و فرابورس تهران با حداقل یک سال سابقهٔ معاملهٔ مستقل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نمونه </w:t>
      </w:r>
      <w:r>
        <w:rPr>
          <w:rFonts w:ascii="Times New Roman" w:hAnsi="Times New Roman" w:eastAsia="Times New Roman"/>
          <w:sz w:val="26"/>
          <w:sz w:val="26"/>
          <w:szCs w:val="26"/>
          <w:lang w:val="en-US" w:bidi="fa-IR"/>
        </w:rPr>
        <w:t>۳۸۶</w:t>
      </w:r>
      <w:r>
        <w:rPr>
          <w:rFonts w:ascii="Times New Roman" w:hAnsi="Times New Roman" w:eastAsia="Times New Roman"/>
          <w:sz w:val="26"/>
          <w:sz w:val="26"/>
          <w:szCs w:val="26"/>
          <w:rtl w:val="true"/>
          <w:lang w:val="en-US" w:bidi="fa-IR"/>
        </w:rPr>
        <w:t xml:space="preserve"> نفر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شمار پارامترهای آزاد مدل اندازه‌گیری </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xml:space="preserve"> و مدل ساختاری </w:t>
      </w:r>
      <w:r>
        <w:rPr>
          <w:rFonts w:ascii="Times New Roman" w:hAnsi="Times New Roman" w:eastAsia="Times New Roman"/>
          <w:sz w:val="26"/>
          <w:sz w:val="26"/>
          <w:szCs w:val="26"/>
          <w:lang w:val="en-US" w:bidi="fa-IR"/>
        </w:rPr>
        <w:t>۸۰</w:t>
      </w:r>
      <w:r>
        <w:rPr>
          <w:rFonts w:ascii="Times New Roman" w:hAnsi="Times New Roman" w:eastAsia="Times New Roman"/>
          <w:sz w:val="26"/>
          <w:sz w:val="26"/>
          <w:szCs w:val="26"/>
          <w:rtl w:val="true"/>
          <w:lang w:val="en-US" w:bidi="fa-IR"/>
        </w:rPr>
        <w:t xml:space="preserve"> است؛ بنابراین نسبت مشاهده به پارامتر به‌ترتیب </w:t>
      </w:r>
      <w:r>
        <w:rPr>
          <w:rFonts w:ascii="Times New Roman" w:hAnsi="Times New Roman" w:eastAsia="Times New Roman"/>
          <w:sz w:val="26"/>
          <w:sz w:val="26"/>
          <w:szCs w:val="26"/>
          <w:lang w:val="en-US" w:bidi="fa-IR"/>
        </w:rPr>
        <w:t>۶٫۲۳</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۴٫۸۳</w:t>
      </w:r>
      <w:r>
        <w:rPr>
          <w:rFonts w:ascii="Times New Roman" w:hAnsi="Times New Roman" w:eastAsia="Times New Roman"/>
          <w:sz w:val="26"/>
          <w:sz w:val="26"/>
          <w:szCs w:val="26"/>
          <w:rtl w:val="true"/>
          <w:lang w:val="en-US" w:bidi="fa-IR"/>
        </w:rPr>
        <w:t xml:space="preserve"> می‌شود که از قاعدهٔ سرانگشتی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کمتر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قواعد سرانگشتی مبنای مطمئنی نیستند و اندازهٔ نمونهٔ لازم به ساختار مدل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تعداد گویه‌ها در هر سازه و اندازهٔ بارها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بستگی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ولف و همکاران</w:t>
      </w:r>
      <w:r>
        <w:rPr>
          <w:rStyle w:val="FootnoteReference"/>
          <w:rtl w:val="true"/>
        </w:rPr>
        <w:footnoteReference w:id="4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ascii="Times New Roman" w:hAnsi="Times New Roman" w:eastAsia="Times New Roman"/>
          <w:sz w:val="26"/>
          <w:sz w:val="26"/>
          <w:szCs w:val="26"/>
          <w:rtl w:val="true"/>
          <w:lang w:val="en-US" w:bidi="fa-IR"/>
        </w:rPr>
        <w:t>؛ کلاین</w:t>
      </w:r>
      <w:r>
        <w:rPr>
          <w:rStyle w:val="FootnoteReference"/>
          <w:rtl w:val="true"/>
        </w:rPr>
        <w:footnoteReference w:id="49"/>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پایهٔ تحلیل توان مبتنی بر ریشهٔ میانگین مربعات خطای تقریب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مک‌کالوم و همکاران</w:t>
      </w:r>
      <w:r>
        <w:rPr>
          <w:rStyle w:val="FootnoteReference"/>
          <w:rtl w:val="true"/>
        </w:rPr>
        <w:footnoteReference w:id="5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برای آزمون برازش نزدیک </w:t>
      </w:r>
      <w:r>
        <w:rPr>
          <w:rFonts w:eastAsia="Times New Roman" w:cs="B Nazanin"/>
          <w:sz w:val="26"/>
          <w:szCs w:val="26"/>
          <w:rtl w:val="true"/>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۰٫۰۵‎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برابر برازش ضعیف </w:t>
      </w:r>
      <w:r>
        <w:rPr>
          <w:rFonts w:eastAsia="Times New Roman" w:cs="B Nazanin"/>
          <w:sz w:val="26"/>
          <w:szCs w:val="26"/>
          <w:rtl w:val="true"/>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توان آزمون برای مدل اندازه‌گیری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و برای مدل ساختاری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است که از </w:t>
      </w:r>
      <w:r>
        <w:rPr>
          <w:rFonts w:ascii="Times New Roman" w:hAnsi="Times New Roman" w:eastAsia="Times New Roman"/>
          <w:sz w:val="26"/>
          <w:sz w:val="26"/>
          <w:szCs w:val="26"/>
          <w:lang w:val="en-US" w:bidi="fa-IR"/>
        </w:rPr>
        <w:t>۰٫۸۰</w:t>
      </w:r>
      <w:r>
        <w:rPr>
          <w:rFonts w:ascii="Times New Roman" w:hAnsi="Times New Roman" w:eastAsia="Times New Roman"/>
          <w:sz w:val="26"/>
          <w:sz w:val="26"/>
          <w:szCs w:val="26"/>
          <w:rtl w:val="true"/>
          <w:lang w:val="en-US" w:bidi="fa-IR"/>
        </w:rPr>
        <w:t xml:space="preserve"> بسیار بالاتر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منشأ داده و محدودیت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داده‌های این پژوهش با فرایند شبیه‌سازی واقع‌نما تولید 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ابتدا متغیرهای پنهان از توزیع نرمال چندمتغیره با ضرایب ساختاری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تولید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سپس هر گویه با بار عاملی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۰٫۸۰</w:t>
      </w:r>
      <w:r>
        <w:rPr>
          <w:rFonts w:ascii="Times New Roman" w:hAnsi="Times New Roman" w:eastAsia="Times New Roman"/>
          <w:sz w:val="26"/>
          <w:sz w:val="26"/>
          <w:szCs w:val="26"/>
          <w:rtl w:val="true"/>
          <w:lang w:val="en-US" w:bidi="fa-IR"/>
        </w:rPr>
        <w:t xml:space="preserve">، چند بارگذاری متقاطع کوچک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۰٫۱۰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۰٫۲۰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همبستگی خطا میان گویه‌های هم‌محتوا، یک عامل روش مشترک ضعیف و آستانه‌های نامتقارن لیکرت به مقیاس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تبدیل شد تا ویژگی‌های ناکامل و غیرنرمال داده‌های پیمایشی بازتولید 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یافته‌ها بازتاب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توان روش در بازیابی ساختار مفروض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هستند و نه شواهد دربارهٔ بازار واقعی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جایگزینی داده‌های واقعی بدون تغییر در کد ممکن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ساختاری استاندارد مفروض در شبیه‌سازی</w:t>
      </w:r>
    </w:p>
    <w:tbl>
      <w:tblPr>
        <w:bidiVisual w:val="true"/>
        <w:tblW w:w="8900" w:type="dxa"/>
        <w:jc w:val="center"/>
        <w:tblInd w:w="0" w:type="dxa"/>
        <w:tblLayout w:type="fixed"/>
        <w:tblCellMar>
          <w:top w:w="0" w:type="dxa"/>
          <w:left w:w="60" w:type="dxa"/>
          <w:bottom w:w="0" w:type="dxa"/>
          <w:right w:w="60" w:type="dxa"/>
        </w:tblCellMar>
      </w:tblPr>
      <w:tblGrid>
        <w:gridCol w:w="2899"/>
        <w:gridCol w:w="1501"/>
        <w:gridCol w:w="3000"/>
        <w:gridCol w:w="1499"/>
      </w:tblGrid>
      <w:tr>
        <w:trPr>
          <w:tblHeader w:val="true"/>
        </w:trPr>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5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ضریب مفروض</w:t>
            </w:r>
          </w:p>
        </w:tc>
        <w:tc>
          <w:tcPr>
            <w:tcW w:w="3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ضریب مفروض</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w:t>
            </w:r>
          </w:p>
        </w:tc>
        <w:tc>
          <w:tcPr>
            <w:tcW w:w="15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۰٫۴۷</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رفتار توده‌وار</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۰٫۴۶</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رفتار توده‌وار</w:t>
            </w:r>
          </w:p>
        </w:tc>
        <w:tc>
          <w:tcPr>
            <w:tcW w:w="15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۰٫۱۰</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رفتار توده‌وار ← کیفیت تصمیم</w:t>
            </w:r>
          </w:p>
        </w:tc>
        <w:tc>
          <w:tcPr>
            <w:tcW w:w="14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۰٫۳۴</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کیفیت تصمیم</w:t>
            </w:r>
          </w:p>
        </w:tc>
        <w:tc>
          <w:tcPr>
            <w:tcW w:w="15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۰٫۱۹</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کیفیت تصمیم</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۰٫۳۰</w:t>
            </w:r>
          </w:p>
        </w:tc>
      </w:tr>
      <w:tr>
        <w:trPr>
          <w:cantSplit w:val="true"/>
        </w:trPr>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 رفتار توده‌وار</w:t>
            </w:r>
          </w:p>
        </w:tc>
        <w:tc>
          <w:tcPr>
            <w:tcW w:w="15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۰٫۲۲</w:t>
            </w:r>
          </w:p>
        </w:tc>
        <w:tc>
          <w:tcPr>
            <w:tcW w:w="3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رفتار توده‌وار</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۰٫۲۰</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ضرایب پیش از اعمال خطای اندازه‌گیری و گسسته‌سازی لیکرت تعریف شده‌اند؛ مقادیر برآوردشده در جدول </w:t>
      </w:r>
      <w:r>
        <w:rPr>
          <w:rFonts w:ascii="Times New Roman" w:hAnsi="Times New Roman" w:eastAsia="Times New Roman"/>
          <w:sz w:val="20"/>
          <w:sz w:val="20"/>
          <w:szCs w:val="20"/>
          <w:lang w:val="en-US" w:bidi="fa-IR"/>
        </w:rPr>
        <w:t>۹</w:t>
      </w:r>
      <w:r>
        <w:rPr>
          <w:rFonts w:ascii="Times New Roman" w:hAnsi="Times New Roman" w:eastAsia="Times New Roman"/>
          <w:sz w:val="20"/>
          <w:sz w:val="20"/>
          <w:szCs w:val="20"/>
          <w:rtl w:val="true"/>
          <w:lang w:val="en-US" w:bidi="fa-IR"/>
        </w:rPr>
        <w:t xml:space="preserve"> به‌دلیل این عوامل متفاوت‌اند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ابزار اندازه‌گیری و تعریف عملیاتی متغیرها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ابزار گردآوری، پرسشنامه‌ای شامل پنج سازه و </w:t>
      </w:r>
      <w:r>
        <w:rPr>
          <w:rFonts w:ascii="Times New Roman" w:hAnsi="Times New Roman" w:eastAsia="Times New Roman"/>
          <w:sz w:val="26"/>
          <w:sz w:val="26"/>
          <w:szCs w:val="26"/>
          <w:lang w:val="en-US" w:bidi="fa-IR"/>
        </w:rPr>
        <w:t>۲۶</w:t>
      </w:r>
      <w:r>
        <w:rPr>
          <w:rFonts w:ascii="Times New Roman" w:hAnsi="Times New Roman" w:eastAsia="Times New Roman"/>
          <w:sz w:val="26"/>
          <w:sz w:val="26"/>
          <w:szCs w:val="26"/>
          <w:rtl w:val="true"/>
          <w:lang w:val="en-US" w:bidi="fa-IR"/>
        </w:rPr>
        <w:t xml:space="preserve"> گویه در مقیاس لیکرت پنج‌درجه‌ای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کاملاً مخالفم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کاملاً موافقم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سؤال‌های جمعیت‌شناختی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گویه فقط یک سازه را می‌سنجد و مستقیماً به متغیر پنهان همان سازه متصل می‌شود؛ هیچ نمرهٔ ترکیبی یا میانگین گویه‌ها ساخته نشده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گویه‌ها از مقیاس‌های معتبر بین‌المللی بازنویسی و برای بستر سرمایه‌گذاری بومی‌سازی شده‌اند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متن کامل پرسشنامه به‌همراه راهنمای اعتبارسنجی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نسبت و شاخص روایی محتوا، ترجمه و ترجمهٔ معکوس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فایل پیوست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سازه‌های پنهان، تعداد گویه‌ها و مبنای نظری گویه‌ها</w:t>
      </w:r>
    </w:p>
    <w:tbl>
      <w:tblPr>
        <w:bidiVisual w:val="true"/>
        <w:tblW w:w="9000" w:type="dxa"/>
        <w:jc w:val="center"/>
        <w:tblInd w:w="0" w:type="dxa"/>
        <w:tblLayout w:type="fixed"/>
        <w:tblCellMar>
          <w:top w:w="0" w:type="dxa"/>
          <w:left w:w="60" w:type="dxa"/>
          <w:bottom w:w="0" w:type="dxa"/>
          <w:right w:w="60" w:type="dxa"/>
        </w:tblCellMar>
      </w:tblPr>
      <w:tblGrid>
        <w:gridCol w:w="2500"/>
        <w:gridCol w:w="700"/>
        <w:gridCol w:w="3000"/>
        <w:gridCol w:w="2799"/>
      </w:tblGrid>
      <w:tr>
        <w:trPr>
          <w:tblHeader w:val="true"/>
        </w:trPr>
        <w:tc>
          <w:tcPr>
            <w:tcW w:w="2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سازه </w:t>
            </w:r>
            <w:r>
              <w:rPr>
                <w:rFonts w:eastAsia="Times New Roman" w:cs="B Nazanin"/>
                <w:b/>
                <w:bCs/>
                <w:sz w:val="22"/>
                <w:szCs w:val="22"/>
                <w:rtl w:val="true"/>
                <w:lang w:val="en-US" w:bidi="fa-IR"/>
              </w:rPr>
              <w:t>(</w:t>
            </w:r>
            <w:r>
              <w:rPr>
                <w:rFonts w:ascii="Times New Roman" w:hAnsi="Times New Roman" w:eastAsia="Times New Roman"/>
                <w:b/>
                <w:b/>
                <w:bCs/>
                <w:sz w:val="22"/>
                <w:sz w:val="22"/>
                <w:szCs w:val="22"/>
                <w:rtl w:val="true"/>
                <w:lang w:val="en-US" w:bidi="fa-IR"/>
              </w:rPr>
              <w:t>نماد لاتین</w:t>
            </w:r>
            <w:r>
              <w:rPr>
                <w:rFonts w:eastAsia="Times New Roman" w:cs="B Nazanin"/>
                <w:b/>
                <w:bCs/>
                <w:sz w:val="22"/>
                <w:szCs w:val="22"/>
                <w:rtl w:val="true"/>
                <w:lang w:val="en-US" w:bidi="fa-IR"/>
              </w:rPr>
              <w:t>)</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3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تعریف عملیاتی</w:t>
            </w:r>
          </w:p>
        </w:tc>
        <w:tc>
          <w:tcPr>
            <w:tcW w:w="2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مبنای ابزار</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سرمایه‌گذاری در شبکه‌های اجتماعی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دفعات و شدت دنبال‌کردن و اتکا به محتوای بورس در شبکه‌ها</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الیسون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بازنویسی پژوهشگر</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نگرانی از دست‌دادن فرصت سودآوری که دیگران دارند</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پرزیبیلسکی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آبل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رفتار توده‌وار </w:t>
            </w:r>
            <w:r>
              <w:rPr>
                <w:rFonts w:eastAsia="Times New Roman" w:cs="B Nazanin"/>
                <w:sz w:val="22"/>
                <w:szCs w:val="22"/>
                <w:rtl w:val="true"/>
                <w:lang w:val="en-US" w:bidi="fa-IR"/>
              </w:rPr>
              <w:t>(</w:t>
            </w:r>
            <w:r>
              <w:rPr>
                <w:rFonts w:eastAsia="Times New Roman" w:cs="B Nazanin"/>
                <w:sz w:val="22"/>
                <w:szCs w:val="22"/>
                <w:lang w:val="en-US" w:bidi="fa-IR"/>
              </w:rPr>
              <w:t>HRD</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پیروی تصمیم از رفتار جمع به‌جای تحلیل شخصی</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باکار و یی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کومار و گویال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۲۰۱۵</w:t>
            </w:r>
            <w:r>
              <w:rPr>
                <w:rFonts w:eastAsia="Times New Roman" w:cs="B Nazanin"/>
                <w:sz w:val="22"/>
                <w:szCs w:val="22"/>
                <w:rtl w:val="true"/>
                <w:lang w:val="en-US" w:bidi="fa-IR"/>
              </w:rPr>
              <w:t>)</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به‌کارگیری صورت‌های مالی، کدال و نسبت‌ها در تصمیم</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توسعه‌یافته بر پایهٔ لارنس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p>
        </w:tc>
      </w:tr>
      <w:tr>
        <w:trPr>
          <w:cantSplit w:val="true"/>
        </w:trPr>
        <w:tc>
          <w:tcPr>
            <w:tcW w:w="2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سرمایه‌گذاری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تحلیل‌محوری، رضایت، همسویی با اهداف و پشیمانی کم</w:t>
            </w:r>
          </w:p>
        </w:tc>
        <w:tc>
          <w:tcPr>
            <w:tcW w:w="2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پارکر و فیشهاف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۲۰۰۵</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برویِن دو برویِن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هیچ‌یک از گویه‌ها نسخهٔ استانداردشدهٔ فارسی نیست و پیش از جمع‌آوری داده‌ٔ واقعی باید اعتبارسنجی شود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راهبرد تحلیل</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تحلیل در محیط پایتون و با بستهٔ </w:t>
      </w:r>
      <w:r>
        <w:rPr>
          <w:rFonts w:eastAsia="Times New Roman" w:cs="B Nazanin"/>
          <w:sz w:val="26"/>
          <w:szCs w:val="26"/>
          <w:lang w:val="en-US" w:bidi="fa-IR"/>
        </w:rPr>
        <w:t>semopy</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ایگولکینا و میشچریاکوف</w:t>
      </w:r>
      <w:r>
        <w:rPr>
          <w:rStyle w:val="FootnoteReference"/>
          <w:rtl w:val="true"/>
        </w:rPr>
        <w:footnoteReference w:id="5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انجام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توصیف گویه‌ها و آزمون نرمال‌بودن چندمتغیره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ماردیا</w:t>
      </w:r>
      <w:r>
        <w:rPr>
          <w:rStyle w:val="FootnoteReference"/>
          <w:rtl w:val="true"/>
        </w:rPr>
        <w:footnoteReference w:id="5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بررسی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آنجا که گویه‌ها پنج‌طبقه‌ای و بدون چولگی شدیدند، برآورد بیشینهٔ درست‌نمایی</w:t>
      </w:r>
      <w:r>
        <w:rPr>
          <w:rStyle w:val="FootnoteReference"/>
          <w:rtl w:val="true"/>
        </w:rPr>
        <w:footnoteReference w:id="53"/>
      </w:r>
      <w:r>
        <w:rPr>
          <w:rFonts w:ascii="Times New Roman" w:hAnsi="Times New Roman" w:eastAsia="Times New Roman"/>
          <w:sz w:val="26"/>
          <w:sz w:val="26"/>
          <w:szCs w:val="26"/>
          <w:rtl w:val="true"/>
          <w:lang w:val="en-US" w:bidi="fa-IR"/>
        </w:rPr>
        <w:t xml:space="preserve"> با تقریب پیوسته پذیرفتنی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رمتولا و همکاران</w:t>
      </w:r>
      <w:r>
        <w:rPr>
          <w:rStyle w:val="FootnoteReference"/>
          <w:rtl w:val="true"/>
        </w:rPr>
        <w:footnoteReference w:id="5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برای اطمینان از استحکام، برآوردگر حداقل مربعات وزنی قطری</w:t>
      </w:r>
      <w:r>
        <w:rPr>
          <w:rStyle w:val="FootnoteReference"/>
          <w:rtl w:val="true"/>
        </w:rPr>
        <w:footnoteReference w:id="55"/>
      </w:r>
      <w:r>
        <w:rPr>
          <w:rFonts w:ascii="Times New Roman" w:hAnsi="Times New Roman" w:eastAsia="Times New Roman"/>
          <w:sz w:val="26"/>
          <w:sz w:val="26"/>
          <w:szCs w:val="26"/>
          <w:rtl w:val="true"/>
          <w:lang w:val="en-US" w:bidi="fa-IR"/>
        </w:rPr>
        <w:t xml:space="preserve"> نیز اجرا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w:t>
      </w:r>
      <w:r>
        <w:rPr>
          <w:rStyle w:val="FootnoteReference"/>
          <w:rtl w:val="true"/>
        </w:rPr>
        <w:footnoteReference w:id="5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مدل اندازه‌گیری پنج‌عاملی با تحلیل عاملی تأییدی</w:t>
      </w:r>
      <w:r>
        <w:rPr>
          <w:rStyle w:val="FootnoteReference"/>
          <w:rtl w:val="true"/>
        </w:rPr>
        <w:footnoteReference w:id="57"/>
      </w:r>
      <w:r>
        <w:rPr>
          <w:rFonts w:ascii="Times New Roman" w:hAnsi="Times New Roman" w:eastAsia="Times New Roman"/>
          <w:sz w:val="26"/>
          <w:sz w:val="26"/>
          <w:szCs w:val="26"/>
          <w:rtl w:val="true"/>
          <w:lang w:val="en-US" w:bidi="fa-IR"/>
        </w:rPr>
        <w:t xml:space="preserve"> آزموده و پایایی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آلفای کرونباخ و پایایی ترکیبی</w:t>
      </w:r>
      <w:r>
        <w:rPr>
          <w:rStyle w:val="FootnoteReference"/>
          <w:rtl w:val="true"/>
        </w:rPr>
        <w:footnoteReference w:id="58"/>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روایی همگرا</w:t>
      </w:r>
      <w:r>
        <w:rPr>
          <w:rStyle w:val="FootnoteReference"/>
          <w:rtl w:val="true"/>
        </w:rPr>
        <w:footnoteReference w:id="59"/>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واریانس استخراج‌شده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روایی واگرا</w:t>
      </w:r>
      <w:r>
        <w:rPr>
          <w:rStyle w:val="FootnoteReference"/>
          <w:rtl w:val="true"/>
        </w:rPr>
        <w:footnoteReference w:id="60"/>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معیار فورنل ـ لارکر و نسبت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سنجیده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فورنل و لارکر</w:t>
      </w:r>
      <w:r>
        <w:rPr>
          <w:rStyle w:val="FootnoteReference"/>
          <w:rtl w:val="true"/>
        </w:rPr>
        <w:footnoteReference w:id="6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ascii="Times New Roman" w:hAnsi="Times New Roman" w:eastAsia="Times New Roman"/>
          <w:sz w:val="26"/>
          <w:sz w:val="26"/>
          <w:szCs w:val="26"/>
          <w:rtl w:val="true"/>
          <w:lang w:val="en-US" w:bidi="fa-IR"/>
        </w:rPr>
        <w:t>؛ هنسلر و همکاران</w:t>
      </w:r>
      <w:r>
        <w:rPr>
          <w:rStyle w:val="FootnoteReference"/>
          <w:rtl w:val="true"/>
        </w:rPr>
        <w:footnoteReference w:id="6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سوگیری روش مشترک با آزمون تک‌عاملی هارمن، مدل تک‌عاملی و مدل عامل روش مشترک بررسی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پوداساف و همکاران</w:t>
      </w:r>
      <w:r>
        <w:rPr>
          <w:rStyle w:val="FootnoteReference"/>
          <w:rtl w:val="true"/>
        </w:rPr>
        <w:footnoteReference w:id="6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معیارهای برازش شامل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نسبت درجهٔ آزادی، </w:t>
      </w:r>
      <w:r>
        <w:rPr>
          <w:rFonts w:eastAsia="Times New Roman" w:cs="B Nazanin"/>
          <w:sz w:val="26"/>
          <w:szCs w:val="26"/>
          <w:lang w:val="en-US" w:bidi="fa-IR"/>
        </w:rPr>
        <w:t>CFI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TLI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 که با آستانه‌های هو و بنتلر</w:t>
      </w:r>
      <w:r>
        <w:rPr>
          <w:rStyle w:val="FootnoteReference"/>
          <w:rtl w:val="true"/>
        </w:rPr>
        <w:footnoteReference w:id="64"/>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شدند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مدل ساختاری، هر گویه بدون تجمیع به متغیر پنهان خود متصل است و مسیرهای پیشنهادی میان متغیرهای پنهان و متغیرهای کنترل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سن، جنسیت و سابقه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تعامل پنهان فومو و استفاده از اطلاعات حسابداری با شاخص‌های حاصل‌ضرب جفت‌شدهٔ میانگین‌مرکزشده مدل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مارش و همکاران</w:t>
      </w:r>
      <w:r>
        <w:rPr>
          <w:rStyle w:val="FootnoteReference"/>
          <w:rtl w:val="true"/>
        </w:rPr>
        <w:footnoteReference w:id="6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تحلیل استحکام با روش مرکزسازی باقی‌مانده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لیتل و همکاران</w:t>
      </w:r>
      <w:r>
        <w:rPr>
          <w:rStyle w:val="FootnoteReference"/>
          <w:rtl w:val="true"/>
        </w:rPr>
        <w:footnoteReference w:id="6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بازبرآورد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اثر تعامل از تفاضل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با و بدون جملهٔ تعاملی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کوهن</w:t>
      </w:r>
      <w:r>
        <w:rPr>
          <w:rStyle w:val="FootnoteReference"/>
          <w:rtl w:val="true"/>
        </w:rPr>
        <w:footnoteReference w:id="6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محاسبه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غیرمستقیم و مشروط با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نمونهٔ خودگردان و فاصلهٔ اطمینان صدکی </w:t>
      </w:r>
      <w:r>
        <w:rPr>
          <w:rFonts w:ascii="Times New Roman" w:hAnsi="Times New Roman" w:eastAsia="Times New Roman"/>
          <w:sz w:val="26"/>
          <w:sz w:val="26"/>
          <w:szCs w:val="26"/>
          <w:lang w:val="en-US" w:bidi="fa-IR"/>
        </w:rPr>
        <w:t>۹۵</w:t>
      </w:r>
      <w:r>
        <w:rPr>
          <w:rFonts w:ascii="Times New Roman" w:hAnsi="Times New Roman" w:eastAsia="Times New Roman"/>
          <w:sz w:val="26"/>
          <w:sz w:val="26"/>
          <w:szCs w:val="26"/>
          <w:rtl w:val="true"/>
          <w:lang w:val="en-US" w:bidi="fa-IR"/>
        </w:rPr>
        <w:t>٪ آزموده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شیب‌های ساده از ضرایب پنهان و در سه سطح استفاده از اطلاعات حسابداری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و یک انحراف معیار بالاتر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پایین‌تر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محاسبه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هیچ‌یک از مراحل بر میانگین گویه‌ها استوار نیست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کد و داده در پوشهٔ پیوست قرار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یافته‌های پژوهش</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مشخصات جمعیت‌شناختی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۳۸۶</w:t>
      </w:r>
      <w:r>
        <w:rPr>
          <w:rFonts w:ascii="Times New Roman" w:hAnsi="Times New Roman" w:eastAsia="Times New Roman"/>
          <w:sz w:val="26"/>
          <w:sz w:val="26"/>
          <w:szCs w:val="26"/>
          <w:rtl w:val="true"/>
          <w:lang w:val="en-US" w:bidi="fa-IR"/>
        </w:rPr>
        <w:t xml:space="preserve"> سرمایه‌گذار، </w:t>
      </w:r>
      <w:r>
        <w:rPr>
          <w:rFonts w:ascii="Times New Roman" w:hAnsi="Times New Roman" w:eastAsia="Times New Roman"/>
          <w:sz w:val="26"/>
          <w:sz w:val="26"/>
          <w:szCs w:val="26"/>
          <w:lang w:val="en-US" w:bidi="fa-IR"/>
        </w:rPr>
        <w:t>۷۱٫۵</w:t>
      </w:r>
      <w:r>
        <w:rPr>
          <w:rFonts w:ascii="Times New Roman" w:hAnsi="Times New Roman" w:eastAsia="Times New Roman"/>
          <w:sz w:val="26"/>
          <w:sz w:val="26"/>
          <w:szCs w:val="26"/>
          <w:rtl w:val="true"/>
          <w:lang w:val="en-US" w:bidi="fa-IR"/>
        </w:rPr>
        <w:t xml:space="preserve">٪ مرد و </w:t>
      </w:r>
      <w:r>
        <w:rPr>
          <w:rFonts w:ascii="Times New Roman" w:hAnsi="Times New Roman" w:eastAsia="Times New Roman"/>
          <w:sz w:val="26"/>
          <w:sz w:val="26"/>
          <w:szCs w:val="26"/>
          <w:lang w:val="en-US" w:bidi="fa-IR"/>
        </w:rPr>
        <w:t>۲۸٫۵</w:t>
      </w:r>
      <w:r>
        <w:rPr>
          <w:rFonts w:ascii="Times New Roman" w:hAnsi="Times New Roman" w:eastAsia="Times New Roman"/>
          <w:sz w:val="26"/>
          <w:sz w:val="26"/>
          <w:szCs w:val="26"/>
          <w:rtl w:val="true"/>
          <w:lang w:val="en-US" w:bidi="fa-IR"/>
        </w:rPr>
        <w:t>٪ زن بودند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سن </w:t>
      </w:r>
      <w:r>
        <w:rPr>
          <w:rFonts w:ascii="Times New Roman" w:hAnsi="Times New Roman" w:eastAsia="Times New Roman"/>
          <w:sz w:val="26"/>
          <w:sz w:val="26"/>
          <w:szCs w:val="26"/>
          <w:lang w:val="en-US" w:bidi="fa-IR"/>
        </w:rPr>
        <w:t>۳۶٫۹</w:t>
      </w:r>
      <w:r>
        <w:rPr>
          <w:rFonts w:ascii="Times New Roman" w:hAnsi="Times New Roman" w:eastAsia="Times New Roman"/>
          <w:sz w:val="26"/>
          <w:sz w:val="26"/>
          <w:szCs w:val="26"/>
          <w:rtl w:val="true"/>
          <w:lang w:val="en-US" w:bidi="fa-IR"/>
        </w:rPr>
        <w:t xml:space="preserve"> سال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انحراف معیار </w:t>
      </w:r>
      <w:r>
        <w:rPr>
          <w:rFonts w:ascii="Times New Roman" w:hAnsi="Times New Roman" w:eastAsia="Times New Roman"/>
          <w:sz w:val="26"/>
          <w:sz w:val="26"/>
          <w:szCs w:val="26"/>
          <w:lang w:val="en-US" w:bidi="fa-IR"/>
        </w:rPr>
        <w:t>۸٫۹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میانگین سابقهٔ معامله </w:t>
      </w:r>
      <w:r>
        <w:rPr>
          <w:rFonts w:ascii="Times New Roman" w:hAnsi="Times New Roman" w:eastAsia="Times New Roman"/>
          <w:sz w:val="26"/>
          <w:sz w:val="26"/>
          <w:szCs w:val="26"/>
          <w:lang w:val="en-US" w:bidi="fa-IR"/>
        </w:rPr>
        <w:t>۷٫۰</w:t>
      </w:r>
      <w:r>
        <w:rPr>
          <w:rFonts w:ascii="Times New Roman" w:hAnsi="Times New Roman" w:eastAsia="Times New Roman"/>
          <w:sz w:val="26"/>
          <w:sz w:val="26"/>
          <w:szCs w:val="26"/>
          <w:rtl w:val="true"/>
          <w:lang w:val="en-US" w:bidi="fa-IR"/>
        </w:rPr>
        <w:t xml:space="preserve"> سال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انحراف معیار </w:t>
      </w:r>
      <w:r>
        <w:rPr>
          <w:rFonts w:ascii="Times New Roman" w:hAnsi="Times New Roman" w:eastAsia="Times New Roman"/>
          <w:sz w:val="26"/>
          <w:sz w:val="26"/>
          <w:szCs w:val="26"/>
          <w:lang w:val="en-US" w:bidi="fa-IR"/>
        </w:rPr>
        <w:t>۴٫۴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نظر تحصیلات، </w:t>
      </w:r>
      <w:r>
        <w:rPr>
          <w:rFonts w:ascii="Times New Roman" w:hAnsi="Times New Roman" w:eastAsia="Times New Roman"/>
          <w:sz w:val="26"/>
          <w:sz w:val="26"/>
          <w:szCs w:val="26"/>
          <w:lang w:val="en-US" w:bidi="fa-IR"/>
        </w:rPr>
        <w:t>۱۰٫۴</w:t>
      </w:r>
      <w:r>
        <w:rPr>
          <w:rFonts w:ascii="Times New Roman" w:hAnsi="Times New Roman" w:eastAsia="Times New Roman"/>
          <w:sz w:val="26"/>
          <w:sz w:val="26"/>
          <w:szCs w:val="26"/>
          <w:rtl w:val="true"/>
          <w:lang w:val="en-US" w:bidi="fa-IR"/>
        </w:rPr>
        <w:t xml:space="preserve">٪ دیپلم و کمتر، </w:t>
      </w:r>
      <w:r>
        <w:rPr>
          <w:rFonts w:ascii="Times New Roman" w:hAnsi="Times New Roman" w:eastAsia="Times New Roman"/>
          <w:sz w:val="26"/>
          <w:sz w:val="26"/>
          <w:szCs w:val="26"/>
          <w:lang w:val="en-US" w:bidi="fa-IR"/>
        </w:rPr>
        <w:t>۴۳٫۰</w:t>
      </w:r>
      <w:r>
        <w:rPr>
          <w:rFonts w:ascii="Times New Roman" w:hAnsi="Times New Roman" w:eastAsia="Times New Roman"/>
          <w:sz w:val="26"/>
          <w:sz w:val="26"/>
          <w:szCs w:val="26"/>
          <w:rtl w:val="true"/>
          <w:lang w:val="en-US" w:bidi="fa-IR"/>
        </w:rPr>
        <w:t xml:space="preserve">٪ کارشناسی، </w:t>
      </w:r>
      <w:r>
        <w:rPr>
          <w:rFonts w:ascii="Times New Roman" w:hAnsi="Times New Roman" w:eastAsia="Times New Roman"/>
          <w:sz w:val="26"/>
          <w:sz w:val="26"/>
          <w:szCs w:val="26"/>
          <w:lang w:val="en-US" w:bidi="fa-IR"/>
        </w:rPr>
        <w:t>۳۹٫۱</w:t>
      </w:r>
      <w:r>
        <w:rPr>
          <w:rFonts w:ascii="Times New Roman" w:hAnsi="Times New Roman" w:eastAsia="Times New Roman"/>
          <w:sz w:val="26"/>
          <w:sz w:val="26"/>
          <w:szCs w:val="26"/>
          <w:rtl w:val="true"/>
          <w:lang w:val="en-US" w:bidi="fa-IR"/>
        </w:rPr>
        <w:t xml:space="preserve">٪ کارشناسی ارشد و </w:t>
      </w:r>
      <w:r>
        <w:rPr>
          <w:rFonts w:ascii="Times New Roman" w:hAnsi="Times New Roman" w:eastAsia="Times New Roman"/>
          <w:sz w:val="26"/>
          <w:sz w:val="26"/>
          <w:szCs w:val="26"/>
          <w:lang w:val="en-US" w:bidi="fa-IR"/>
        </w:rPr>
        <w:t>۷٫۵</w:t>
      </w:r>
      <w:r>
        <w:rPr>
          <w:rFonts w:ascii="Times New Roman" w:hAnsi="Times New Roman" w:eastAsia="Times New Roman"/>
          <w:sz w:val="26"/>
          <w:sz w:val="26"/>
          <w:szCs w:val="26"/>
          <w:rtl w:val="true"/>
          <w:lang w:val="en-US" w:bidi="fa-IR"/>
        </w:rPr>
        <w:t xml:space="preserve">٪ دکتری داشتند و میانهٔ ارزش سبد </w:t>
      </w:r>
      <w:r>
        <w:rPr>
          <w:rFonts w:ascii="Times New Roman" w:hAnsi="Times New Roman" w:eastAsia="Times New Roman"/>
          <w:sz w:val="26"/>
          <w:sz w:val="26"/>
          <w:szCs w:val="26"/>
          <w:lang w:val="en-US" w:bidi="fa-IR"/>
        </w:rPr>
        <w:t>۱۸۴</w:t>
      </w:r>
      <w:r>
        <w:rPr>
          <w:rFonts w:ascii="Times New Roman" w:hAnsi="Times New Roman" w:eastAsia="Times New Roman"/>
          <w:sz w:val="26"/>
          <w:sz w:val="26"/>
          <w:szCs w:val="26"/>
          <w:rtl w:val="true"/>
          <w:lang w:val="en-US" w:bidi="fa-IR"/>
        </w:rPr>
        <w:t xml:space="preserve"> میلیون تومان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مشخصات جمعیت‌شناختی نمونه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شبیه‌سازی‌شده</w:t>
      </w:r>
      <w:r>
        <w:rPr>
          <w:rFonts w:eastAsia="Times New Roman" w:cs="B Zar"/>
          <w:b/>
          <w:bCs/>
          <w:sz w:val="20"/>
          <w:szCs w:val="20"/>
          <w:rtl w:val="true"/>
          <w:lang w:val="en-US" w:bidi="fa-IR"/>
        </w:rPr>
        <w:t>)</w:t>
      </w:r>
    </w:p>
    <w:tbl>
      <w:tblPr>
        <w:bidiVisual w:val="true"/>
        <w:tblW w:w="8000" w:type="dxa"/>
        <w:jc w:val="center"/>
        <w:tblInd w:w="0" w:type="dxa"/>
        <w:tblLayout w:type="fixed"/>
        <w:tblCellMar>
          <w:top w:w="0" w:type="dxa"/>
          <w:left w:w="60" w:type="dxa"/>
          <w:bottom w:w="0" w:type="dxa"/>
          <w:right w:w="60" w:type="dxa"/>
        </w:tblCellMar>
      </w:tblPr>
      <w:tblGrid>
        <w:gridCol w:w="2600"/>
        <w:gridCol w:w="3200"/>
        <w:gridCol w:w="2200"/>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متغیر</w:t>
            </w:r>
          </w:p>
        </w:tc>
        <w:tc>
          <w:tcPr>
            <w:tcW w:w="3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طبقه </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شاخص</w:t>
            </w:r>
          </w:p>
        </w:tc>
        <w:tc>
          <w:tcPr>
            <w:tcW w:w="2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مقدار</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جنسیت</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مرد</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۷۱٫۵٪</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زن</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۲۸٫۵٪</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سال</w:t>
            </w:r>
            <w:r>
              <w:rPr>
                <w:rFonts w:eastAsia="Times New Roman" w:cs="B Nazanin"/>
                <w:sz w:val="24"/>
                <w:szCs w:val="24"/>
                <w:rtl w:val="true"/>
                <w:lang w:val="en-US" w:bidi="fa-IR"/>
              </w:rPr>
              <w:t>)</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میانگین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انحراف معیار</w:t>
            </w:r>
            <w:r>
              <w:rPr>
                <w:rFonts w:eastAsia="Times New Roman" w:cs="B Nazanin"/>
                <w:sz w:val="24"/>
                <w:szCs w:val="24"/>
                <w:rtl w:val="true"/>
                <w:lang w:val="en-US" w:bidi="fa-IR"/>
              </w:rPr>
              <w:t>)</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۸٫۹</w:t>
            </w:r>
            <w:r>
              <w:rPr>
                <w:rFonts w:eastAsia="Times New Roman" w:cs="B Nazanin"/>
                <w:sz w:val="24"/>
                <w:szCs w:val="24"/>
                <w:rtl w:val="true"/>
                <w:lang w:val="en-US" w:bidi="fa-IR"/>
              </w:rPr>
              <w:t>)</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سابقهٔ معامله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سال</w:t>
            </w:r>
            <w:r>
              <w:rPr>
                <w:rFonts w:eastAsia="Times New Roman" w:cs="B Nazanin"/>
                <w:sz w:val="24"/>
                <w:szCs w:val="24"/>
                <w:rtl w:val="true"/>
                <w:lang w:val="en-US" w:bidi="fa-IR"/>
              </w:rPr>
              <w:t>)</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میانگین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انحراف معیار</w:t>
            </w:r>
            <w:r>
              <w:rPr>
                <w:rFonts w:eastAsia="Times New Roman" w:cs="B Nazanin"/>
                <w:sz w:val="24"/>
                <w:szCs w:val="24"/>
                <w:rtl w:val="true"/>
                <w:lang w:val="en-US" w:bidi="fa-IR"/>
              </w:rPr>
              <w:t>)</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۷٫۰</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۴٫۴</w:t>
            </w:r>
            <w:r>
              <w:rPr>
                <w:rFonts w:eastAsia="Times New Roman" w:cs="B Nazanin"/>
                <w:sz w:val="24"/>
                <w:szCs w:val="24"/>
                <w:rtl w:val="true"/>
                <w:lang w:val="en-US" w:bidi="fa-IR"/>
              </w:rPr>
              <w:t>)</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تحصیلات</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دیپلم و کمتر</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۱۰٫۴٪</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کارشناسی</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۴۳٫۰٪</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کارشناسی ارشد</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۳۹٫۱٪</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دکتری</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۷٫۵٪</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ارزش سبد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میلیون تومان</w:t>
            </w:r>
            <w:r>
              <w:rPr>
                <w:rFonts w:eastAsia="Times New Roman" w:cs="B Nazanin"/>
                <w:sz w:val="24"/>
                <w:szCs w:val="24"/>
                <w:rtl w:val="true"/>
                <w:lang w:val="en-US" w:bidi="fa-IR"/>
              </w:rPr>
              <w:t>)</w:t>
            </w:r>
          </w:p>
        </w:tc>
        <w:tc>
          <w:tcPr>
            <w:tcW w:w="3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دامنهٔ میان‌چارکی</w:t>
            </w:r>
            <w:r>
              <w:rPr>
                <w:rFonts w:eastAsia="Times New Roman" w:cs="B Nazanin"/>
                <w:sz w:val="24"/>
                <w:szCs w:val="24"/>
                <w:rtl w:val="true"/>
                <w:lang w:val="en-US" w:bidi="fa-IR"/>
              </w:rPr>
              <w:t>)</w:t>
            </w:r>
          </w:p>
        </w:tc>
        <w:tc>
          <w:tcPr>
            <w:tcW w:w="2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۱۸۴</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۱۰۰</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۳۵۸</w:t>
            </w:r>
            <w:r>
              <w:rPr>
                <w:rFonts w:eastAsia="Times New Roman" w:cs="B Nazanin"/>
                <w:sz w:val="24"/>
                <w:szCs w:val="24"/>
                <w:rtl w:val="true"/>
                <w:lang w:val="en-US" w:bidi="fa-IR"/>
              </w:rPr>
              <w:t>)</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آمار توصیفی گویه‌ها و بارهای عاملی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آمار توصیفی هر گویه و بار عاملی استاندارد آن را بر متغیر پنهان مربوط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گویه‌ها بین </w:t>
      </w:r>
      <w:r>
        <w:rPr>
          <w:rFonts w:ascii="Times New Roman" w:hAnsi="Times New Roman" w:eastAsia="Times New Roman"/>
          <w:sz w:val="26"/>
          <w:sz w:val="26"/>
          <w:szCs w:val="26"/>
          <w:lang w:val="en-US" w:bidi="fa-IR"/>
        </w:rPr>
        <w:t>۲٫۳۵</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۳٫۴۴</w:t>
      </w:r>
      <w:r>
        <w:rPr>
          <w:rFonts w:ascii="Times New Roman" w:hAnsi="Times New Roman" w:eastAsia="Times New Roman"/>
          <w:sz w:val="26"/>
          <w:sz w:val="26"/>
          <w:szCs w:val="26"/>
          <w:rtl w:val="true"/>
          <w:lang w:val="en-US" w:bidi="fa-IR"/>
        </w:rPr>
        <w:t xml:space="preserve"> از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چولگی در بازهٔ </w:t>
      </w:r>
      <w:r>
        <w:rPr>
          <w:rFonts w:ascii="Times New Roman" w:hAnsi="Times New Roman" w:eastAsia="Times New Roman"/>
          <w:sz w:val="26"/>
          <w:sz w:val="26"/>
          <w:szCs w:val="26"/>
          <w:lang w:val="en-US" w:bidi="fa-IR"/>
        </w:rPr>
        <w:t>‎−۰٫۲۳‎</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۰٫۵۵</w:t>
      </w:r>
      <w:r>
        <w:rPr>
          <w:rFonts w:ascii="Times New Roman" w:hAnsi="Times New Roman" w:eastAsia="Times New Roman"/>
          <w:sz w:val="26"/>
          <w:sz w:val="26"/>
          <w:szCs w:val="26"/>
          <w:rtl w:val="true"/>
          <w:lang w:val="en-US" w:bidi="fa-IR"/>
        </w:rPr>
        <w:t xml:space="preserve"> و کشیدگی بین </w:t>
      </w:r>
      <w:r>
        <w:rPr>
          <w:rFonts w:ascii="Times New Roman" w:hAnsi="Times New Roman" w:eastAsia="Times New Roman"/>
          <w:sz w:val="26"/>
          <w:sz w:val="26"/>
          <w:szCs w:val="26"/>
          <w:lang w:val="en-US" w:bidi="fa-IR"/>
        </w:rPr>
        <w:t>‎−۰٫۷۶‎</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‎−۰٫۳۴‎</w:t>
      </w:r>
      <w:r>
        <w:rPr>
          <w:rFonts w:ascii="Times New Roman" w:hAnsi="Times New Roman" w:eastAsia="Times New Roman"/>
          <w:sz w:val="26"/>
          <w:sz w:val="26"/>
          <w:szCs w:val="26"/>
          <w:rtl w:val="true"/>
          <w:lang w:val="en-US" w:bidi="fa-IR"/>
        </w:rPr>
        <w:t xml:space="preserve"> قرار داشت که از آستانه‌های رایج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قدر مطلق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برای چولگی و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برای کشیدگی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فاصله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شاخص کشیدگی چندمتغیرهٔ ماردیا برابر </w:t>
      </w:r>
      <w:r>
        <w:rPr>
          <w:rFonts w:ascii="Times New Roman" w:hAnsi="Times New Roman" w:eastAsia="Times New Roman"/>
          <w:sz w:val="26"/>
          <w:sz w:val="26"/>
          <w:szCs w:val="26"/>
          <w:lang w:val="en-US" w:bidi="fa-IR"/>
        </w:rPr>
        <w:t>۷۱۷٫۱</w:t>
      </w:r>
      <w:r>
        <w:rPr>
          <w:rFonts w:ascii="Times New Roman" w:hAnsi="Times New Roman" w:eastAsia="Times New Roman"/>
          <w:sz w:val="26"/>
          <w:sz w:val="26"/>
          <w:szCs w:val="26"/>
          <w:rtl w:val="true"/>
          <w:lang w:val="en-US" w:bidi="fa-IR"/>
        </w:rPr>
        <w:t xml:space="preserve"> در برابر مقدار مورد انتظار </w:t>
      </w:r>
      <w:r>
        <w:rPr>
          <w:rFonts w:ascii="Times New Roman" w:hAnsi="Times New Roman" w:eastAsia="Times New Roman"/>
          <w:sz w:val="26"/>
          <w:sz w:val="26"/>
          <w:szCs w:val="26"/>
          <w:lang w:val="en-US" w:bidi="fa-IR"/>
        </w:rPr>
        <w:t>۷۲۸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‎z = −</w:t>
      </w:r>
      <w:r>
        <w:rPr>
          <w:rFonts w:ascii="Times New Roman" w:hAnsi="Times New Roman" w:eastAsia="Times New Roman"/>
          <w:sz w:val="26"/>
          <w:sz w:val="26"/>
          <w:szCs w:val="26"/>
          <w:lang w:val="en-US" w:bidi="fa-IR"/>
        </w:rPr>
        <w:t>۲٫۸۲‎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 یعنی توزیع چندمتغیره دقیقاً نرمال نیست و به همین دلیل برآوردگر مقاوم نیز به‌کار رفت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بارهای عاملی استاندارد همگی معنادار و بین </w:t>
      </w:r>
      <w:r>
        <w:rPr>
          <w:rFonts w:ascii="Times New Roman" w:hAnsi="Times New Roman" w:eastAsia="Times New Roman"/>
          <w:sz w:val="26"/>
          <w:sz w:val="26"/>
          <w:szCs w:val="26"/>
          <w:lang w:val="en-US" w:bidi="fa-IR"/>
        </w:rPr>
        <w:t>۰٫۵۸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۰٫۸۲</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آمار توصیفی گویه‌ها، بار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واریانس تبیین‌شدهٔ گویه </w:t>
      </w:r>
      <w:r>
        <w:rPr>
          <w:rFonts w:eastAsia="Times New Roman" w:cs="B Zar"/>
          <w:b/>
          <w:bCs/>
          <w:sz w:val="20"/>
          <w:szCs w:val="20"/>
          <w:rtl w:val="true"/>
          <w:lang w:val="en-US" w:bidi="fa-IR"/>
        </w:rPr>
        <w:t>(</w:t>
      </w:r>
      <w:r>
        <w:rPr>
          <w:rFonts w:eastAsia="Times New Roman" w:cs="B Zar"/>
          <w:b/>
          <w:bCs/>
          <w:sz w:val="20"/>
          <w:szCs w:val="20"/>
          <w:lang w:val="en-US" w:bidi="fa-IR"/>
        </w:rPr>
        <w:t>λ²</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700"/>
        <w:gridCol w:w="3699"/>
        <w:gridCol w:w="701"/>
        <w:gridCol w:w="749"/>
        <w:gridCol w:w="701"/>
        <w:gridCol w:w="749"/>
        <w:gridCol w:w="600"/>
        <w:gridCol w:w="600"/>
      </w:tblGrid>
      <w:tr>
        <w:trPr>
          <w:tblHeader w:val="true"/>
        </w:trPr>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کد</w:t>
            </w:r>
          </w:p>
        </w:tc>
        <w:tc>
          <w:tcPr>
            <w:tcW w:w="3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گویه</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میانگین</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انحراف معیار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چولگی</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کشیدگی</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هر روز محتوای مربوط به بورس و سرمایه‌گذاری را در شبکه‌های اجتماعی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تلگرام، اینستاگرام، ایتا، ایکس و مانند آن</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دنبال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۰٫۲۳‎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بخش قابل‌توجهی از وقتم در شبکه‌های اجتماعی صرف دیدن تحلیل‌ها و اخبار بازار سرمایه می‌شود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۱٫۱۳</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عضو چند کانال، گروه یا صفحهٔ سرمایه‌گذاری هستم و پیام‌های آن‌ها را مرتب می‌خوانم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تحلیل‌ها و نظرهای منتشرشده در شبکه‌های اجتماعی از منابع اصلی اطلاعات من دربارهٔ سهام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محتوای سرمایه‌گذاری را با دیگران به اشتراک می‌گذارم یا دربارهٔ آن گفت‌وگو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۳٫۳۰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می‌شنوم دیگران از یک سهم سود زیادی کرده‌اند، نگران می‌شوم که فرصت سودآوری را از دست داده‌ام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نگرانم سایر سرمایه‌گذاران فرصت‌های سودآورتری از من پیدا کنند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۰٫۰۵</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گروهی از سرمایه‌گذاران آشنا سهمی را می‌خرند و من در آن نیستم، مضطرب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مدتی از جریان بازار و خبرهای آن دور باشم، احساس نگرانی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اینکه فرصت ورود به یک سهم در حال رشد را از دست بدهم ناراحت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۲٫۷۲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۶</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گاهی احساس می‌کنم اگر همین حالا وارد نشوم، دیگر خیلی دیر خواهد 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 تغییر تصمیم‌های سایر سرمایه‌گذاران به‌سرعت واکنش نشان می‌دهم و از آن‌ها پیروی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۱٫۰۵</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برای خرید یا فروش، به حجم معاملات و صف‌های خرید و فروش توجه می‌کنم تا هم‌جهت با بازار باشم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۲٫۴۵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بیشتر سرمایه‌گذاران سهمی را بخرند، من هم تمایل به خرید آن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۰٫۰۶</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در تصمیم‌گیری، نظر جمع را به تحلیل شخصی‌ام ترجیح می‌دهم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۰٫۰۸</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تحت‌تأثیر تصمیم دوستان و اطرافیان فعال در بورس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خرید یک سهم، صورت‌های مالی شرکت را بررسی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از اطلاعات منتشرشده در سامانهٔ کدال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مانند گزارش فعالیت ماهانه و اطلاعیه‌های بااهمیت</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استفاده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سود هر سهم </w:t>
            </w:r>
            <w:r>
              <w:rPr>
                <w:rFonts w:eastAsia="Times New Roman" w:cs="B Nazanin"/>
                <w:sz w:val="19"/>
                <w:szCs w:val="19"/>
                <w:rtl w:val="true"/>
                <w:lang w:val="en-US" w:bidi="fa-IR"/>
              </w:rPr>
              <w:t>(</w:t>
            </w:r>
            <w:r>
              <w:rPr>
                <w:rFonts w:eastAsia="Times New Roman" w:cs="B Nazanin"/>
                <w:sz w:val="19"/>
                <w:szCs w:val="19"/>
                <w:lang w:val="en-US" w:bidi="fa-IR"/>
              </w:rPr>
              <w:t>EPS</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 xml:space="preserve">، نسبت قیمت به سود </w:t>
            </w:r>
            <w:r>
              <w:rPr>
                <w:rFonts w:eastAsia="Times New Roman" w:cs="B Nazanin"/>
                <w:sz w:val="19"/>
                <w:szCs w:val="19"/>
                <w:rtl w:val="true"/>
                <w:lang w:val="en-US" w:bidi="fa-IR"/>
              </w:rPr>
              <w:t>(</w:t>
            </w:r>
            <w:r>
              <w:rPr>
                <w:rFonts w:eastAsia="Times New Roman" w:cs="B Nazanin"/>
                <w:sz w:val="19"/>
                <w:szCs w:val="19"/>
                <w:lang w:val="en-US" w:bidi="fa-IR"/>
              </w:rPr>
              <w:t>P/E</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و سایر نسبت‌های مالی را در تصمیمم لحاظ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۰٫۲۰</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 گزارش حسابرس مستقل و یادداشت‌های توضیحی صورت‌های مالی توجه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۲٫۹۹</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کیفیت سود و جریان‌های نقدی شرکت را پیش از تصمیم ارزیابی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معمولاً بر تحلیل مستند استوارند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نتیجهٔ تصمیم‌های سرمایه‌گذاری خود در یک سال گذشته رضایت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بازده سبد من در یک سال گذشته مطابق انتظارم بوده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۲٫۷۳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من با اهداف مالی بلندمدتم هم‌راستا هستند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۰٫۳۴‎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۵</w:t>
            </w:r>
          </w:p>
        </w:tc>
        <w:tc>
          <w:tcPr>
            <w:tcW w:w="3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به‌ندرت از تصمیم‌های معاملاتی خود پشیمان می‌شوم</w:t>
            </w:r>
            <w:r>
              <w:rPr>
                <w:rFonts w:eastAsia="Times New Roman" w:cs="B Nazanin"/>
                <w:sz w:val="19"/>
                <w:szCs w:val="19"/>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۳٫۰۳</w:t>
            </w:r>
          </w:p>
        </w:tc>
        <w:tc>
          <w:tcPr>
            <w:tcW w:w="7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۰٫۰۹‎</w:t>
            </w:r>
          </w:p>
        </w:tc>
        <w:tc>
          <w:tcPr>
            <w:tcW w:w="7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۰٫۶۳‎</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برازش و روایی مدل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اندازه‌گیری پنج‌عاملی برازش مطلوبی نشان داد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نسبت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درجهٔ آزادی </w:t>
      </w:r>
      <w:r>
        <w:rPr>
          <w:rFonts w:ascii="Times New Roman" w:hAnsi="Times New Roman" w:eastAsia="Times New Roman"/>
          <w:sz w:val="26"/>
          <w:sz w:val="26"/>
          <w:szCs w:val="26"/>
          <w:lang w:val="en-US" w:bidi="fa-IR"/>
        </w:rPr>
        <w:t>۱٫۳۴</w:t>
      </w:r>
      <w:r>
        <w:rPr>
          <w:rFonts w:ascii="Times New Roman" w:hAnsi="Times New Roman" w:eastAsia="Times New Roman"/>
          <w:sz w:val="26"/>
          <w:sz w:val="26"/>
          <w:szCs w:val="26"/>
          <w:rtl w:val="true"/>
          <w:lang w:val="en-US" w:bidi="fa-IR"/>
        </w:rPr>
        <w:t xml:space="preserve"> و شاخص‌های </w:t>
      </w:r>
      <w:r>
        <w:rPr>
          <w:rFonts w:eastAsia="Times New Roman" w:cs="B Nazanin"/>
          <w:sz w:val="26"/>
          <w:szCs w:val="26"/>
          <w:lang w:val="en-US" w:bidi="fa-IR"/>
        </w:rPr>
        <w:t>CFI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TLI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همگی در بازهٔ مطلوب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هو و بنتلر،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گرفتند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آلفای کرونباخ و پایایی ترکیبی همهٔ سازه‌ها بالاتر از </w:t>
      </w:r>
      <w:r>
        <w:rPr>
          <w:rFonts w:ascii="Times New Roman" w:hAnsi="Times New Roman" w:eastAsia="Times New Roman"/>
          <w:sz w:val="26"/>
          <w:sz w:val="26"/>
          <w:szCs w:val="26"/>
          <w:lang w:val="en-US" w:bidi="fa-IR"/>
        </w:rPr>
        <w:t>۰٫۷۰</w:t>
      </w:r>
      <w:r>
        <w:rPr>
          <w:rFonts w:ascii="Times New Roman" w:hAnsi="Times New Roman" w:eastAsia="Times New Roman"/>
          <w:sz w:val="26"/>
          <w:sz w:val="26"/>
          <w:szCs w:val="26"/>
          <w:rtl w:val="true"/>
          <w:lang w:val="en-US" w:bidi="fa-IR"/>
        </w:rPr>
        <w:t xml:space="preserve"> و میانگین واریانس استخراج‌شده در بازهٔ </w:t>
      </w:r>
      <w:r>
        <w:rPr>
          <w:rFonts w:ascii="Times New Roman" w:hAnsi="Times New Roman" w:eastAsia="Times New Roman"/>
          <w:sz w:val="26"/>
          <w:sz w:val="26"/>
          <w:szCs w:val="26"/>
          <w:lang w:val="en-US" w:bidi="fa-IR"/>
        </w:rPr>
        <w:t>۰٫۵۰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۰٫۵۴</w:t>
      </w:r>
      <w:r>
        <w:rPr>
          <w:rFonts w:ascii="Times New Roman" w:hAnsi="Times New Roman" w:eastAsia="Times New Roman"/>
          <w:sz w:val="26"/>
          <w:sz w:val="26"/>
          <w:szCs w:val="26"/>
          <w:rtl w:val="true"/>
          <w:lang w:val="en-US" w:bidi="fa-IR"/>
        </w:rPr>
        <w:t xml:space="preserve">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۷</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پس پایایی و روایی همگرا پذیرفتنی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شاخص‌های برازش مدل اندازه‌گیری، مدل ساختاری و مدل تک‌عاملی</w:t>
      </w:r>
    </w:p>
    <w:tbl>
      <w:tblPr>
        <w:bidiVisual w:val="true"/>
        <w:tblW w:w="8100" w:type="dxa"/>
        <w:jc w:val="center"/>
        <w:tblInd w:w="0" w:type="dxa"/>
        <w:tblLayout w:type="fixed"/>
        <w:tblCellMar>
          <w:top w:w="0" w:type="dxa"/>
          <w:left w:w="60" w:type="dxa"/>
          <w:bottom w:w="0" w:type="dxa"/>
          <w:right w:w="60" w:type="dxa"/>
        </w:tblCellMar>
      </w:tblPr>
      <w:tblGrid>
        <w:gridCol w:w="2499"/>
        <w:gridCol w:w="901"/>
        <w:gridCol w:w="599"/>
        <w:gridCol w:w="801"/>
        <w:gridCol w:w="800"/>
        <w:gridCol w:w="799"/>
        <w:gridCol w:w="900"/>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TLI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آستانهٔ مطلوب</w:t>
            </w:r>
          </w:p>
        </w:tc>
        <w:tc>
          <w:tcPr>
            <w:tcW w:w="9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5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&lt; </w:t>
            </w:r>
            <w:r>
              <w:rPr>
                <w:rFonts w:ascii="Times New Roman" w:hAnsi="Times New Roman" w:eastAsia="Times New Roman"/>
                <w:sz w:val="22"/>
                <w:sz w:val="22"/>
                <w:szCs w:val="22"/>
                <w:lang w:val="en-US" w:bidi="fa-IR"/>
              </w:rPr>
              <w:t>۳</w:t>
            </w:r>
          </w:p>
        </w:tc>
        <w:tc>
          <w:tcPr>
            <w:tcW w:w="8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۰٫۹۵</w:t>
            </w:r>
          </w:p>
        </w:tc>
        <w:tc>
          <w:tcPr>
            <w:tcW w:w="7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۰٫۹۵</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۰٫۰۶</w:t>
            </w:r>
          </w:p>
        </w:tc>
        <w:tc>
          <w:tcPr>
            <w:tcW w:w="8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۰٫۰۸</w:t>
            </w:r>
          </w:p>
        </w:tc>
      </w:tr>
      <w:tr>
        <w:trPr>
          <w:cantSplit w:val="true"/>
        </w:trPr>
        <w:tc>
          <w:tcPr>
            <w:tcW w:w="2499" w:type="dxa"/>
            <w:tcBorders/>
            <w:vAlign w:val="center"/>
          </w:tcPr>
          <w:p>
            <w:pPr>
              <w:pStyle w:val="Normal"/>
              <w:bidi w:val="1"/>
              <w:spacing w:lineRule="auto" w:line="240" w:before="40" w:after="40"/>
              <w:jc w:val="center"/>
              <w:rPr/>
            </w:pPr>
            <w:r>
              <w:rPr>
                <w:rFonts w:eastAsia="Times New Roman" w:cs="B Nazanin"/>
                <w:sz w:val="22"/>
                <w:szCs w:val="22"/>
                <w:lang w:val="en-US" w:bidi="fa-IR"/>
              </w:rPr>
              <w:t>CFA</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پنج‌عاملی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۳۸۸٫۰</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۲۸۹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۱٫۳۴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ساختاری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با تعامل پنهان</w:t>
            </w:r>
            <w:r>
              <w:rPr>
                <w:rFonts w:eastAsia="Times New Roman" w:cs="B Nazanin"/>
                <w:sz w:val="22"/>
                <w:szCs w:val="22"/>
                <w:rtl w:val="true"/>
                <w:lang w:val="en-US" w:bidi="fa-IR"/>
              </w:rPr>
              <w:t>)</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۶۱۷٫۷</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۵۱۵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۰٫۹۷۵</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۰٫۰۴۲</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تک‌عاملی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هارمن</w:t>
            </w:r>
            <w:r>
              <w:rPr>
                <w:rFonts w:eastAsia="Times New Roman" w:cs="B Nazanin"/>
                <w:sz w:val="22"/>
                <w:szCs w:val="22"/>
                <w:rtl w:val="true"/>
                <w:lang w:val="en-US" w:bidi="fa-IR"/>
              </w:rPr>
              <w:t>)</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۲۳۶۳٫۸</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۲۹۹</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۷٫۹۱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۰٫۵۲۲</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۰٫۴۸۰</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۰٫۱۳۴</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۰٫۱۲۹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8100" w:type="dxa"/>
        <w:jc w:val="center"/>
        <w:tblInd w:w="0" w:type="dxa"/>
        <w:tblLayout w:type="fixed"/>
        <w:tblCellMar>
          <w:top w:w="0" w:type="dxa"/>
          <w:left w:w="60" w:type="dxa"/>
          <w:bottom w:w="0" w:type="dxa"/>
          <w:right w:w="60" w:type="dxa"/>
        </w:tblCellMar>
      </w:tblPr>
      <w:tblGrid>
        <w:gridCol w:w="2600"/>
        <w:gridCol w:w="699"/>
        <w:gridCol w:w="1600"/>
        <w:gridCol w:w="800"/>
        <w:gridCol w:w="801"/>
        <w:gridCol w:w="799"/>
        <w:gridCol w:w="800"/>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گویه</w:t>
            </w:r>
          </w:p>
        </w:tc>
        <w:tc>
          <w:tcPr>
            <w:tcW w:w="1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دامنهٔ بار عاملی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آلفا</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CR</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AVE</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rtl w:val="true"/>
                <w:lang w:val="en-US" w:bidi="fa-IR"/>
              </w:rPr>
              <w:t>√</w:t>
            </w:r>
            <w:r>
              <w:rPr>
                <w:rFonts w:eastAsia="Times New Roman" w:cs="B Nazanin"/>
                <w:b/>
                <w:bCs/>
                <w:sz w:val="24"/>
                <w:szCs w:val="24"/>
                <w:lang w:val="en-US" w:bidi="fa-IR"/>
              </w:rPr>
              <w:t>AVE</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۰٫۵۸</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۰٫۵۰۰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۰٫۷۰۷</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۰٫۶۷</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۰٫۸۷۵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۰٫۸۷۵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۰٫۵۴۰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۰٫۷۳۵</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رفتار توده‌وار </w:t>
            </w:r>
            <w:r>
              <w:rPr>
                <w:rFonts w:eastAsia="Times New Roman" w:cs="B Nazanin"/>
                <w:sz w:val="24"/>
                <w:szCs w:val="24"/>
                <w:rtl w:val="true"/>
                <w:lang w:val="en-US" w:bidi="fa-IR"/>
              </w:rPr>
              <w:t>(</w:t>
            </w:r>
            <w:r>
              <w:rPr>
                <w:rFonts w:eastAsia="Times New Roman" w:cs="B Nazanin"/>
                <w:sz w:val="24"/>
                <w:szCs w:val="24"/>
                <w:lang w:val="en-US" w:bidi="fa-IR"/>
              </w:rPr>
              <w:t>HRD</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۰٫۶۶</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۰٫۷۷</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۰٫۷۲۴</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۰٫۵۹</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۰٫۷۲۵</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کیفیت تصمیم </w:t>
            </w:r>
            <w:r>
              <w:rPr>
                <w:rFonts w:eastAsia="Times New Roman" w:cs="B Nazanin"/>
                <w:sz w:val="24"/>
                <w:szCs w:val="24"/>
                <w:rtl w:val="true"/>
                <w:lang w:val="en-US" w:bidi="fa-IR"/>
              </w:rPr>
              <w:t>(</w:t>
            </w:r>
            <w:r>
              <w:rPr>
                <w:rFonts w:eastAsia="Times New Roman" w:cs="B Nazanin"/>
                <w:sz w:val="24"/>
                <w:szCs w:val="24"/>
                <w:lang w:val="en-US" w:bidi="fa-IR"/>
              </w:rPr>
              <w:t>IDQ</w:t>
            </w:r>
            <w:r>
              <w:rPr>
                <w:rFonts w:eastAsia="Times New Roman" w:cs="B Nazanin"/>
                <w:sz w:val="24"/>
                <w:szCs w:val="24"/>
                <w:rtl w:val="true"/>
                <w:lang w:val="en-US" w:bidi="fa-IR"/>
              </w:rPr>
              <w:t>)</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۰٫۶۴</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۰٫۸۴۵</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۰٫۵۲۶</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۰٫۷۲۵</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روایی واگرا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پنهان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زیر قطر</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w:t>
      </w:r>
      <w:r>
        <w:rPr>
          <w:rFonts w:eastAsia="Times New Roman" w:cs="B Zar"/>
          <w:b/>
          <w:bCs/>
          <w:sz w:val="20"/>
          <w:szCs w:val="20"/>
          <w:lang w:val="en-US" w:bidi="fa-IR"/>
        </w:rPr>
        <w:t>HTMT</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بالای قطر</w:t>
      </w:r>
      <w:r>
        <w:rPr>
          <w:rFonts w:eastAsia="Times New Roman" w:cs="B Zar"/>
          <w:b/>
          <w:bCs/>
          <w:sz w:val="20"/>
          <w:szCs w:val="20"/>
          <w:rtl w:val="true"/>
          <w:lang w:val="en-US" w:bidi="fa-IR"/>
        </w:rPr>
        <w:t>)</w:t>
      </w:r>
    </w:p>
    <w:tbl>
      <w:tblPr>
        <w:bidiVisual w:val="true"/>
        <w:tblW w:w="8300" w:type="dxa"/>
        <w:jc w:val="center"/>
        <w:tblInd w:w="0" w:type="dxa"/>
        <w:tblLayout w:type="fixed"/>
        <w:tblCellMar>
          <w:top w:w="0" w:type="dxa"/>
          <w:left w:w="60" w:type="dxa"/>
          <w:bottom w:w="0" w:type="dxa"/>
          <w:right w:w="60" w:type="dxa"/>
        </w:tblCellMar>
      </w:tblPr>
      <w:tblGrid>
        <w:gridCol w:w="2799"/>
        <w:gridCol w:w="1101"/>
        <w:gridCol w:w="1099"/>
        <w:gridCol w:w="1100"/>
        <w:gridCol w:w="1101"/>
        <w:gridCol w:w="1099"/>
      </w:tblGrid>
      <w:tr>
        <w:trPr>
          <w:tblHeader w:val="true"/>
        </w:trPr>
        <w:tc>
          <w:tcPr>
            <w:tcW w:w="2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۱</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۲</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۳</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۴</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۵</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۰٫۷۰۷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۰٫۲۷</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۰٫۷۳۵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۰٫۵۹</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۰٫۱۹</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۰٫۳۶</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رفتار توده‌وار </w:t>
            </w:r>
            <w:r>
              <w:rPr>
                <w:rFonts w:eastAsia="Times New Roman" w:cs="B Nazanin"/>
                <w:sz w:val="22"/>
                <w:szCs w:val="22"/>
                <w:rtl w:val="true"/>
                <w:lang w:val="en-US" w:bidi="fa-IR"/>
              </w:rPr>
              <w:t>(</w:t>
            </w:r>
            <w:r>
              <w:rPr>
                <w:rFonts w:eastAsia="Times New Roman" w:cs="B Nazanin"/>
                <w:sz w:val="22"/>
                <w:szCs w:val="22"/>
                <w:lang w:val="en-US" w:bidi="fa-IR"/>
              </w:rPr>
              <w:t>HRD</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۰٫۵۹</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۰٫۷۲۴</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۰٫۲۸</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۰٫۱۸‎</w:t>
            </w:r>
          </w:p>
        </w:tc>
        <w:tc>
          <w:tcPr>
            <w:tcW w:w="1099"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۰٫۱۹‎</w:t>
            </w:r>
          </w:p>
        </w:tc>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۰٫۲۸‎</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۰٫۷۲۵</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r>
      <w:tr>
        <w:trPr>
          <w:cantSplit w:val="true"/>
        </w:trPr>
        <w:tc>
          <w:tcPr>
            <w:tcW w:w="2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۰٫۲۷‎</w:t>
            </w:r>
          </w:p>
        </w:tc>
        <w:tc>
          <w:tcPr>
            <w:tcW w:w="1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۰٫۳۴‎</w:t>
            </w:r>
          </w:p>
        </w:tc>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۰٫۵۱‎</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۰٫۷۲۵</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همبستگی‌ها از مدل </w:t>
      </w:r>
      <w:r>
        <w:rPr>
          <w:rFonts w:eastAsia="Times New Roman" w:cs="B Nazanin"/>
          <w:sz w:val="20"/>
          <w:szCs w:val="20"/>
          <w:lang w:val="en-US" w:bidi="fa-IR"/>
        </w:rPr>
        <w:t>CFA</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برآورد شده‌اند؛ سازه‌ها به ترتیب جدول</w:t>
      </w:r>
      <w:r>
        <w:rPr>
          <w:rFonts w:eastAsia="Times New Roman" w:cs="B Nazanin"/>
          <w:sz w:val="20"/>
          <w:szCs w:val="20"/>
          <w:rtl w:val="true"/>
          <w:lang w:val="en-US" w:bidi="fa-IR"/>
        </w:rPr>
        <w:t xml:space="preserve">: </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rtl w:val="true"/>
          <w:lang w:val="en-US" w:bidi="fa-IR"/>
        </w:rPr>
        <w:t xml:space="preserve"> </w:t>
      </w:r>
      <w:r>
        <w:rPr>
          <w:rFonts w:eastAsia="Times New Roman" w:cs="B Nazanin"/>
          <w:sz w:val="20"/>
          <w:szCs w:val="20"/>
          <w:rtl w:val="true"/>
          <w:lang w:val="en-US" w:bidi="fa-IR"/>
        </w:rPr>
        <w:t xml:space="preserve">= </w:t>
      </w:r>
      <w:r>
        <w:rPr>
          <w:rFonts w:eastAsia="Times New Roman" w:cs="B Nazanin"/>
          <w:sz w:val="20"/>
          <w:szCs w:val="20"/>
          <w:lang w:val="en-US" w:bidi="fa-IR"/>
        </w:rPr>
        <w:t>SME</w:t>
      </w:r>
      <w:r>
        <w:rPr>
          <w:rFonts w:ascii="Times New Roman" w:hAnsi="Times New Roman" w:eastAsia="Times New Roman"/>
          <w:sz w:val="20"/>
          <w:sz w:val="20"/>
          <w:szCs w:val="20"/>
          <w:lang w:val="en-US" w:bidi="fa-IR"/>
        </w:rPr>
        <w:t xml:space="preserve">، ۲ </w:t>
      </w:r>
      <w:r>
        <w:rPr>
          <w:rFonts w:eastAsia="Times New Roman" w:cs="B Nazanin"/>
          <w:sz w:val="20"/>
          <w:szCs w:val="20"/>
          <w:lang w:val="en-US" w:bidi="fa-IR"/>
        </w:rPr>
        <w:t>= FOMO</w:t>
      </w:r>
      <w:r>
        <w:rPr>
          <w:rFonts w:ascii="Times New Roman" w:hAnsi="Times New Roman" w:eastAsia="Times New Roman"/>
          <w:sz w:val="20"/>
          <w:sz w:val="20"/>
          <w:szCs w:val="20"/>
          <w:lang w:val="en-US" w:bidi="fa-IR"/>
        </w:rPr>
        <w:t xml:space="preserve">، ۳ </w:t>
      </w:r>
      <w:r>
        <w:rPr>
          <w:rFonts w:eastAsia="Times New Roman" w:cs="B Nazanin"/>
          <w:sz w:val="20"/>
          <w:szCs w:val="20"/>
          <w:lang w:val="en-US" w:bidi="fa-IR"/>
        </w:rPr>
        <w:t>= HRD</w:t>
      </w:r>
      <w:r>
        <w:rPr>
          <w:rFonts w:ascii="Times New Roman" w:hAnsi="Times New Roman" w:eastAsia="Times New Roman"/>
          <w:sz w:val="20"/>
          <w:sz w:val="20"/>
          <w:szCs w:val="20"/>
          <w:lang w:val="en-US" w:bidi="fa-IR"/>
        </w:rPr>
        <w:t xml:space="preserve">، ۴ </w:t>
      </w:r>
      <w:r>
        <w:rPr>
          <w:rFonts w:eastAsia="Times New Roman" w:cs="B Nazanin"/>
          <w:sz w:val="20"/>
          <w:szCs w:val="20"/>
          <w:lang w:val="en-US" w:bidi="fa-IR"/>
        </w:rPr>
        <w:t>= AIU</w:t>
      </w:r>
      <w:r>
        <w:rPr>
          <w:rFonts w:ascii="Times New Roman" w:hAnsi="Times New Roman" w:eastAsia="Times New Roman"/>
          <w:sz w:val="20"/>
          <w:sz w:val="20"/>
          <w:szCs w:val="20"/>
          <w:lang w:val="en-US" w:bidi="fa-IR"/>
        </w:rPr>
        <w:t xml:space="preserve">، ۵ </w:t>
      </w:r>
      <w:r>
        <w:rPr>
          <w:rFonts w:eastAsia="Times New Roman" w:cs="B Nazanin"/>
          <w:sz w:val="20"/>
          <w:szCs w:val="20"/>
          <w:lang w:val="en-US" w:bidi="fa-IR"/>
        </w:rPr>
        <w:t>= IDQ</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جذر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سازه از همبستگی آن با سازه‌های دیگر بزرگ‌تر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معیار فورنل ـ لارکر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۰٫۵۹</w:t>
      </w:r>
      <w:r>
        <w:rPr>
          <w:rFonts w:ascii="Times New Roman" w:hAnsi="Times New Roman" w:eastAsia="Times New Roman"/>
          <w:sz w:val="26"/>
          <w:sz w:val="26"/>
          <w:szCs w:val="26"/>
          <w:rtl w:val="true"/>
          <w:lang w:val="en-US" w:bidi="fa-IR"/>
        </w:rPr>
        <w:t xml:space="preserve"> و کمتر از آستانهٔ </w:t>
      </w:r>
      <w:r>
        <w:rPr>
          <w:rFonts w:ascii="Times New Roman" w:hAnsi="Times New Roman" w:eastAsia="Times New Roman"/>
          <w:sz w:val="26"/>
          <w:sz w:val="26"/>
          <w:szCs w:val="26"/>
          <w:lang w:val="en-US" w:bidi="fa-IR"/>
        </w:rPr>
        <w:t>۰٫۸۵</w:t>
      </w:r>
      <w:r>
        <w:rPr>
          <w:rFonts w:ascii="Times New Roman" w:hAnsi="Times New Roman" w:eastAsia="Times New Roman"/>
          <w:sz w:val="26"/>
          <w:sz w:val="26"/>
          <w:szCs w:val="26"/>
          <w:rtl w:val="true"/>
          <w:lang w:val="en-US" w:bidi="fa-IR"/>
        </w:rPr>
        <w:t xml:space="preserve"> به‌دست آمد؛ بنابراین روایی واگرا برقرار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بیشینهٔ قدر مطلق همبستگی پنهان </w:t>
      </w:r>
      <w:r>
        <w:rPr>
          <w:rFonts w:ascii="Times New Roman" w:hAnsi="Times New Roman" w:eastAsia="Times New Roman"/>
          <w:sz w:val="26"/>
          <w:sz w:val="26"/>
          <w:szCs w:val="26"/>
          <w:lang w:val="en-US" w:bidi="fa-IR"/>
        </w:rPr>
        <w:t>۰٫۵۹</w:t>
      </w:r>
      <w:r>
        <w:rPr>
          <w:rFonts w:ascii="Times New Roman" w:hAnsi="Times New Roman" w:eastAsia="Times New Roman"/>
          <w:sz w:val="26"/>
          <w:sz w:val="26"/>
          <w:szCs w:val="26"/>
          <w:rtl w:val="true"/>
          <w:lang w:val="en-US" w:bidi="fa-IR"/>
        </w:rPr>
        <w:t xml:space="preserve"> است و شاخص تورم واریانس پیش‌بینی‌کننده‌های 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محاسبه‌شده از ماتریس همبستگی پنهان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بازهٔ </w:t>
      </w:r>
      <w:r>
        <w:rPr>
          <w:rFonts w:ascii="Times New Roman" w:hAnsi="Times New Roman" w:eastAsia="Times New Roman"/>
          <w:sz w:val="26"/>
          <w:sz w:val="26"/>
          <w:szCs w:val="26"/>
          <w:lang w:val="en-US" w:bidi="fa-IR"/>
        </w:rPr>
        <w:t>۱٫۰۵</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۱٫۷۴</w:t>
      </w:r>
      <w:r>
        <w:rPr>
          <w:rFonts w:ascii="Times New Roman" w:hAnsi="Times New Roman" w:eastAsia="Times New Roman"/>
          <w:sz w:val="26"/>
          <w:sz w:val="26"/>
          <w:szCs w:val="26"/>
          <w:rtl w:val="true"/>
          <w:lang w:val="en-US" w:bidi="fa-IR"/>
        </w:rPr>
        <w:t xml:space="preserve"> قرار داشت؛ مشکل هم‌خطی وجود ندارد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آزمون تک‌عاملی هارمن نشان داد عامل نخست </w:t>
      </w:r>
      <w:r>
        <w:rPr>
          <w:rFonts w:ascii="Times New Roman" w:hAnsi="Times New Roman" w:eastAsia="Times New Roman"/>
          <w:sz w:val="26"/>
          <w:sz w:val="26"/>
          <w:szCs w:val="26"/>
          <w:lang w:val="en-US" w:bidi="fa-IR"/>
        </w:rPr>
        <w:t>۲۹٫۴</w:t>
      </w:r>
      <w:r>
        <w:rPr>
          <w:rFonts w:ascii="Times New Roman" w:hAnsi="Times New Roman" w:eastAsia="Times New Roman"/>
          <w:sz w:val="26"/>
          <w:sz w:val="26"/>
          <w:szCs w:val="26"/>
          <w:rtl w:val="true"/>
          <w:lang w:val="en-US" w:bidi="fa-IR"/>
        </w:rPr>
        <w:t xml:space="preserve">٪ از واریانس را تبیین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۵۰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تک‌عاملی برازش بسیار ضعیفی داشت </w:t>
      </w:r>
      <w:r>
        <w:rPr>
          <w:rFonts w:eastAsia="Times New Roman" w:cs="B Nazanin"/>
          <w:sz w:val="26"/>
          <w:szCs w:val="26"/>
          <w:rtl w:val="true"/>
          <w:lang w:val="en-US" w:bidi="fa-IR"/>
        </w:rPr>
        <w:t>(</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۰٫۵۲‎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مدل عامل روش مشترک، میانگین واریانس مشترک روش </w:t>
      </w:r>
      <w:r>
        <w:rPr>
          <w:rFonts w:ascii="Times New Roman" w:hAnsi="Times New Roman" w:eastAsia="Times New Roman"/>
          <w:sz w:val="26"/>
          <w:sz w:val="26"/>
          <w:szCs w:val="26"/>
          <w:lang w:val="en-US" w:bidi="fa-IR"/>
        </w:rPr>
        <w:t>۱۴٫۷</w:t>
      </w:r>
      <w:r>
        <w:rPr>
          <w:rFonts w:ascii="Times New Roman" w:hAnsi="Times New Roman" w:eastAsia="Times New Roman"/>
          <w:sz w:val="26"/>
          <w:sz w:val="26"/>
          <w:szCs w:val="26"/>
          <w:rtl w:val="true"/>
          <w:lang w:val="en-US" w:bidi="fa-IR"/>
        </w:rPr>
        <w:t xml:space="preserve">٪ بود که از معیار </w:t>
      </w:r>
      <w:r>
        <w:rPr>
          <w:rFonts w:ascii="Times New Roman" w:hAnsi="Times New Roman" w:eastAsia="Times New Roman"/>
          <w:sz w:val="26"/>
          <w:sz w:val="26"/>
          <w:szCs w:val="26"/>
          <w:lang w:val="en-US" w:bidi="fa-IR"/>
        </w:rPr>
        <w:t>۲۵</w:t>
      </w:r>
      <w:r>
        <w:rPr>
          <w:rFonts w:ascii="Times New Roman" w:hAnsi="Times New Roman" w:eastAsia="Times New Roman"/>
          <w:sz w:val="26"/>
          <w:sz w:val="26"/>
          <w:szCs w:val="26"/>
          <w:rtl w:val="true"/>
          <w:lang w:val="en-US" w:bidi="fa-IR"/>
        </w:rPr>
        <w:t>٪ پایین‌تر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سوگیری روش مشترک تهدید جدی برای نتایج نیست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ساختاری و آزمون فرضیه‌ها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ساختاری مکنون کامل، شامل </w:t>
      </w:r>
      <w:r>
        <w:rPr>
          <w:rFonts w:ascii="Times New Roman" w:hAnsi="Times New Roman" w:eastAsia="Times New Roman"/>
          <w:sz w:val="26"/>
          <w:sz w:val="26"/>
          <w:szCs w:val="26"/>
          <w:lang w:val="en-US" w:bidi="fa-IR"/>
        </w:rPr>
        <w:t>۲۶</w:t>
      </w:r>
      <w:r>
        <w:rPr>
          <w:rFonts w:ascii="Times New Roman" w:hAnsi="Times New Roman" w:eastAsia="Times New Roman"/>
          <w:sz w:val="26"/>
          <w:sz w:val="26"/>
          <w:szCs w:val="26"/>
          <w:rtl w:val="true"/>
          <w:lang w:val="en-US" w:bidi="fa-IR"/>
        </w:rPr>
        <w:t xml:space="preserve"> گویهٔ اندازه‌گیری و پنج شاخص حاصل‌ضرب تعامل، برازش مطلوبی داشت </w:t>
      </w:r>
      <w:r>
        <w:rPr>
          <w:rFonts w:eastAsia="Times New Roman" w:cs="B Nazanin"/>
          <w:sz w:val="26"/>
          <w:szCs w:val="26"/>
          <w:rtl w:val="true"/>
          <w:lang w:val="en-US" w:bidi="fa-IR"/>
        </w:rPr>
        <w:t>(</w:t>
      </w:r>
      <w:r>
        <w:rPr>
          <w:rFonts w:eastAsia="Times New Roman" w:cs="B Nazanin"/>
          <w:sz w:val="26"/>
          <w:szCs w:val="26"/>
          <w:lang w:val="en-US" w:bidi="fa-IR"/>
        </w:rPr>
        <w:t xml:space="preserve">‎χ²/df = </w:t>
      </w:r>
      <w:r>
        <w:rPr>
          <w:rFonts w:ascii="Times New Roman" w:hAnsi="Times New Roman" w:eastAsia="Times New Roman"/>
          <w:sz w:val="26"/>
          <w:sz w:val="26"/>
          <w:szCs w:val="26"/>
          <w:lang w:val="en-US" w:bidi="fa-IR"/>
        </w:rPr>
        <w:t>۱٫۲۰‎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۰٫۹۷۷‎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TLI = </w:t>
      </w:r>
      <w:r>
        <w:rPr>
          <w:rFonts w:ascii="Times New Roman" w:hAnsi="Times New Roman" w:eastAsia="Times New Roman"/>
          <w:sz w:val="26"/>
          <w:sz w:val="26"/>
          <w:szCs w:val="26"/>
          <w:lang w:val="en-US" w:bidi="fa-IR"/>
        </w:rPr>
        <w:t>۰٫۹۷۵‎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۰٫۰۲۳‎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SRMR = </w:t>
      </w:r>
      <w:r>
        <w:rPr>
          <w:rFonts w:ascii="Times New Roman" w:hAnsi="Times New Roman" w:eastAsia="Times New Roman"/>
          <w:sz w:val="26"/>
          <w:sz w:val="26"/>
          <w:szCs w:val="26"/>
          <w:lang w:val="en-US" w:bidi="fa-IR"/>
        </w:rPr>
        <w:t>۰٫۰۴۲‎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مدل برآوردشده را با همهٔ گویه‌ها و بارهای عاملی استاندارد نشان می‌دهد و جدول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ضرایب مسیر را ارائه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مواجهه با محتوا اثر مثبت و نیرومندی بر فومو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۰٫۴۹‎،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۸٫۲۳‎،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بر رفتار توده‌وار اثر مثبت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۰٫۴۱‎،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۶٫۶۲‎،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رفتار توده‌وار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۰٫۳۵‎، ‎</w:t>
      </w:r>
      <w:r>
        <w:rPr>
          <w:rFonts w:eastAsia="Times New Roman" w:cs="B Nazanin"/>
          <w:sz w:val="26"/>
          <w:szCs w:val="26"/>
          <w:lang w:val="en-US" w:bidi="fa-IR"/>
        </w:rPr>
        <w:t>z = −</w:t>
      </w:r>
      <w:r>
        <w:rPr>
          <w:rFonts w:ascii="Times New Roman" w:hAnsi="Times New Roman" w:eastAsia="Times New Roman"/>
          <w:sz w:val="26"/>
          <w:sz w:val="26"/>
          <w:szCs w:val="26"/>
          <w:lang w:val="en-US" w:bidi="fa-IR"/>
        </w:rPr>
        <w:t>۴٫۷۳‎،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مواجهه بر رفتار توده‌وار نیز مثبت و معنادار 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۰٫۲۹‎،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۴٫۷۵‎،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استفاده از اطلاعات حسابداری اثر مثبتی بر کیفیت تصمیم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۰٫۴۳‎،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۷٫۵۴‎،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فومو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۰٫۰۶‎</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۰٫۳۸۰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مستقیم مواجهه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۰٫۸۵۲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 کیفیت تصمیم معنادار نبود؛ یعنی اثر این دو متغیر عمدتاً از مسیر رفتار توده‌وار منتقل می‌شود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687695" cy="394144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3"/>
                    <a:stretch>
                      <a:fillRect/>
                    </a:stretch>
                  </pic:blipFill>
                  <pic:spPr bwMode="auto">
                    <a:xfrm>
                      <a:off x="0" y="0"/>
                      <a:ext cx="5687695" cy="394144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معادلات ساختاری برآوردشده با متغیرهای پنهان، گویه‌ها و ضرایب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bidi w:val="1"/>
        <w:spacing w:lineRule="auto" w:line="240" w:before="0" w:after="50"/>
        <w:jc w:val="both"/>
        <w:rPr/>
      </w:pPr>
      <w:r>
        <w:rPr>
          <w:rFonts w:ascii="Times New Roman" w:hAnsi="Times New Roman" w:eastAsia="Times New Roman"/>
          <w:sz w:val="22"/>
          <w:sz w:val="22"/>
          <w:szCs w:val="22"/>
          <w:rtl w:val="true"/>
          <w:lang w:val="en-US" w:bidi="fa-IR"/>
        </w:rPr>
        <w:t>توضیح شکل</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بیضی‌ها متغیرهای پنهان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نام فارسی و نماد لاتین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مستطیل‌ها گویه‌ها هستند؛ اعداد روی پیکان‌های گویه‌ها بار عاملی استاندارد و اعداد روی مسیرهای ساختاری ضریب استاندارد </w:t>
      </w:r>
      <w:r>
        <w:rPr>
          <w:rFonts w:eastAsia="Times New Roman" w:cs="B Nazanin"/>
          <w:sz w:val="22"/>
          <w:szCs w:val="22"/>
          <w:rtl w:val="true"/>
          <w:lang w:val="en-US" w:bidi="fa-IR"/>
        </w:rPr>
        <w:t>(∗∗∗ ‏</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است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متغیرهای کنترل، شاخص‌های حاصل‌ضرب تعامل، خطاهای اندازه‌گیری و مسیرهای مستقیم غیرمعنادار فومو و مواجهه به کیفیت تصمیم برای وضوح نشان داده نشده‌اند</w:t>
      </w:r>
      <w:r>
        <w:rPr>
          <w:rFonts w:eastAsia="Times New Roman" w:cs="B Nazanin"/>
          <w:sz w:val="22"/>
          <w:szCs w:val="22"/>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برآورد ضرایب مسیر ساختاری</w:t>
      </w:r>
    </w:p>
    <w:tbl>
      <w:tblPr>
        <w:bidiVisual w:val="true"/>
        <w:tblW w:w="8700" w:type="dxa"/>
        <w:jc w:val="center"/>
        <w:tblInd w:w="0" w:type="dxa"/>
        <w:tblLayout w:type="fixed"/>
        <w:tblCellMar>
          <w:top w:w="0" w:type="dxa"/>
          <w:left w:w="60" w:type="dxa"/>
          <w:bottom w:w="0" w:type="dxa"/>
          <w:right w:w="60" w:type="dxa"/>
        </w:tblCellMar>
      </w:tblPr>
      <w:tblGrid>
        <w:gridCol w:w="2999"/>
        <w:gridCol w:w="701"/>
        <w:gridCol w:w="799"/>
        <w:gridCol w:w="801"/>
        <w:gridCol w:w="899"/>
        <w:gridCol w:w="801"/>
        <w:gridCol w:w="800"/>
        <w:gridCol w:w="899"/>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مسیر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فرضیه</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b</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β</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خطای معیار</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z</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p</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معناداری</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فومو</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۰٫۵۰۰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۰٫۴۸۶</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۰٫۰۶۱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۸٫۲۳</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۲</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۰٫۳۵۹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۰٫۴۱۰</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۶٫۶۲</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رفتار توده‌وار ← کیفیت تصمیم</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۳</w:t>
            </w:r>
          </w:p>
        </w:tc>
        <w:tc>
          <w:tcPr>
            <w:tcW w:w="799"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۰٫۳۶۰‎</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۰٫۳۵۴‎</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۰٫۰۷۶</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۴٫۷۳‎</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۰٫۲۶۰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۰٫۲۸۸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۴٫۷۵</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فومو </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اطلاعات حسابداری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w:t>
            </w:r>
          </w:p>
        </w:tc>
        <w:tc>
          <w:tcPr>
            <w:tcW w:w="799"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۰٫۱۹۱‎</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۰٫۱۸۵‎</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۰٫۰۵۷</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۳٫۳۲‎</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اطلاعات حسابداری ← کیفیت تصمیم</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۸</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۰٫۳۹۵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۰٫۴۲۸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۷٫۵۴</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کیفیت تصمیم</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۰٫۰۵۳‎</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۰٫۰۵۹‎</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۰٫۰۶۰</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۰٫۸۸‎</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۰٫۳۸۰</w:t>
            </w:r>
          </w:p>
        </w:tc>
        <w:tc>
          <w:tcPr>
            <w:tcW w:w="89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کیفیت تصمیم</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۰٫۰۱۲</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۰٫۱۹</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۰٫۸۵۲</w:t>
            </w:r>
          </w:p>
        </w:tc>
        <w:tc>
          <w:tcPr>
            <w:tcW w:w="89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اطلاعات حسابداری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۰٫۱۱۷‎</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۰٫۱۱۴‎</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1"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۲٫۱۳‎</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۰٫۰۳۴</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اطلاعات حسابداری ← رفتار توده‌وار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۰٫۱۱۹‎</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۰٫۱۳۱‎</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۰٫۰۴۵</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۲٫۶۵‎</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۰٫۰۰۸</w:t>
            </w:r>
          </w:p>
        </w:tc>
        <w:tc>
          <w:tcPr>
            <w:tcW w:w="8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eastAsia="Times New Roman" w:cs="B Nazanin"/>
          <w:sz w:val="20"/>
          <w:szCs w:val="20"/>
          <w:lang w:val="en-US" w:bidi="fa-IR"/>
        </w:rPr>
        <w:t>b</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ضریب ناستاندارد و </w:t>
      </w:r>
      <w:r>
        <w:rPr>
          <w:rFonts w:eastAsia="Times New Roman" w:cs="B Nazanin"/>
          <w:sz w:val="20"/>
          <w:szCs w:val="20"/>
          <w:lang w:val="en-US" w:bidi="fa-IR"/>
        </w:rPr>
        <w:t>β</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ضریب استاندارد است؛ سن، جنسیت و سابقه به‌عنوان کنترل وارد شدند</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معناداری</w:t>
      </w:r>
      <w:r>
        <w:rPr>
          <w:rFonts w:eastAsia="Times New Roman" w:cs="B Nazanin"/>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۰٫۰۵</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بر پایهٔ واریانس باقی‌ماندهٔ استاندارد متغیرهای پنهان درون‌زا، مدل </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xml:space="preserve">٪ از واریانس فومو، </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xml:space="preserve">٪ از واریانس رفتار توده‌وار و </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 xml:space="preserve">٪ از واریانس کیفیت تصمیم را تبیین کرد </w:t>
      </w:r>
      <w:r>
        <w:rPr>
          <w:rFonts w:eastAsia="Times New Roman" w:cs="B Nazanin"/>
          <w:sz w:val="26"/>
          <w:szCs w:val="26"/>
          <w:rtl w:val="true"/>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۰٫۲۸‎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۰٫۴۴‎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افزودن جملهٔ تعاملی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رفتار توده‌وار را از </w:t>
      </w:r>
      <w:r>
        <w:rPr>
          <w:rFonts w:ascii="Times New Roman" w:hAnsi="Times New Roman" w:eastAsia="Times New Roman"/>
          <w:sz w:val="26"/>
          <w:sz w:val="26"/>
          <w:szCs w:val="26"/>
          <w:lang w:val="en-US" w:bidi="fa-IR"/>
        </w:rPr>
        <w:t>۰٫۴۵</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رساند و اندازهٔ اثر آن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f² = </w:t>
      </w:r>
      <w:r>
        <w:rPr>
          <w:rFonts w:ascii="Times New Roman" w:hAnsi="Times New Roman" w:eastAsia="Times New Roman"/>
          <w:sz w:val="26"/>
          <w:sz w:val="26"/>
          <w:szCs w:val="26"/>
          <w:lang w:val="en-US" w:bidi="fa-IR"/>
        </w:rPr>
        <w:t>۰٫۰۶۳‎</w:t>
      </w:r>
      <w:r>
        <w:rPr>
          <w:rFonts w:ascii="Times New Roman" w:hAnsi="Times New Roman" w:eastAsia="Times New Roman"/>
          <w:sz w:val="26"/>
          <w:sz w:val="26"/>
          <w:szCs w:val="26"/>
          <w:rtl w:val="true"/>
          <w:lang w:val="en-US" w:bidi="fa-IR"/>
        </w:rPr>
        <w:t xml:space="preserve"> است که طبق معیار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کوهن، </w:t>
      </w:r>
      <w:r>
        <w:rPr>
          <w:rFonts w:ascii="Times New Roman" w:hAnsi="Times New Roman" w:eastAsia="Times New Roman"/>
          <w:sz w:val="26"/>
          <w:sz w:val="26"/>
          <w:szCs w:val="26"/>
          <w:lang w:val="en-US" w:bidi="fa-IR"/>
        </w:rPr>
        <w:t>۱۹۸۸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قلمرو اثر کوچک تا متوسط قرار می‌گیرد؛ چنین اندازه‌ای برای تعامل‌های پیمایشی معمول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میانجی‌گری متوالی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اثر غیرمستقیم متوالی مواجهه ← فومو ← رفتار توده‌وار ← کیفیت تصمیم در سطح استاندارد برابر </w:t>
      </w:r>
      <w:r>
        <w:rPr>
          <w:rFonts w:ascii="Times New Roman" w:hAnsi="Times New Roman" w:eastAsia="Times New Roman"/>
          <w:sz w:val="26"/>
          <w:sz w:val="26"/>
          <w:szCs w:val="26"/>
          <w:lang w:val="en-US" w:bidi="fa-IR"/>
        </w:rPr>
        <w:t>‎−۰٫۰۷۱‎</w:t>
      </w:r>
      <w:r>
        <w:rPr>
          <w:rFonts w:ascii="Times New Roman" w:hAnsi="Times New Roman" w:eastAsia="Times New Roman"/>
          <w:sz w:val="26"/>
          <w:sz w:val="26"/>
          <w:szCs w:val="26"/>
          <w:rtl w:val="true"/>
          <w:lang w:val="en-US" w:bidi="fa-IR"/>
        </w:rPr>
        <w:t xml:space="preserve"> با فاصلهٔ اطمینان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۰٫۱۱۱‎، ‎−۰٫۰۳۸‎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بود که شامل صفر نیست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مسیر غیرمستقیم مواجهه ← رفتار توده‌وار ← کیفیت تصمیم نیز معنادار 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۰٫۱۰۲‎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۰٫۱۶۳‎، ‎−۰٫۰۵۰‎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حالی‌که مسیر مواجهه ← فومو ← کیفیت تصمیم، به‌دلیل نبود اثر مستقیم فومو، معنادار نبود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۰٫۰۲۹‎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۰٫۱۰۹‎، ۰٫۰۴۱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غیرمستقیم کل </w:t>
      </w:r>
      <w:r>
        <w:rPr>
          <w:rFonts w:ascii="Times New Roman" w:hAnsi="Times New Roman" w:eastAsia="Times New Roman"/>
          <w:sz w:val="26"/>
          <w:sz w:val="26"/>
          <w:szCs w:val="26"/>
          <w:lang w:val="en-US" w:bidi="fa-IR"/>
        </w:rPr>
        <w:t>‎−۰٫۲۰۱‎</w:t>
      </w:r>
      <w:r>
        <w:rPr>
          <w:rFonts w:ascii="Times New Roman" w:hAnsi="Times New Roman" w:eastAsia="Times New Roman"/>
          <w:sz w:val="26"/>
          <w:sz w:val="26"/>
          <w:szCs w:val="26"/>
          <w:rtl w:val="true"/>
          <w:lang w:val="en-US" w:bidi="fa-IR"/>
        </w:rPr>
        <w:t xml:space="preserve"> و اثر کل </w:t>
      </w:r>
      <w:r>
        <w:rPr>
          <w:rFonts w:ascii="Times New Roman" w:hAnsi="Times New Roman" w:eastAsia="Times New Roman"/>
          <w:sz w:val="26"/>
          <w:sz w:val="26"/>
          <w:szCs w:val="26"/>
          <w:lang w:val="en-US" w:bidi="fa-IR"/>
        </w:rPr>
        <w:t>‎−۰٫۱۹۰‎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 دو معنادار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شد؛ در نتیجه اثر مستقیم مواجهه بر کیفیت تصمیم نزدیک صفر و تقریباً همهٔ اثر آن غیرمستقیم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۱۰</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غیرمستقیم و کل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خودگردان‌سازی، فاصلهٔ اطمینان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 ضرایب استاندارد</w:t>
      </w:r>
      <w:r>
        <w:rPr>
          <w:rFonts w:eastAsia="Times New Roman" w:cs="B Zar"/>
          <w:b/>
          <w:bCs/>
          <w:sz w:val="20"/>
          <w:szCs w:val="20"/>
          <w:rtl w:val="true"/>
          <w:lang w:val="en-US" w:bidi="fa-IR"/>
        </w:rPr>
        <w:t>)</w:t>
      </w:r>
    </w:p>
    <w:tbl>
      <w:tblPr>
        <w:bidiVisual w:val="true"/>
        <w:tblW w:w="8700" w:type="dxa"/>
        <w:jc w:val="center"/>
        <w:tblInd w:w="0" w:type="dxa"/>
        <w:tblLayout w:type="fixed"/>
        <w:tblCellMar>
          <w:top w:w="0" w:type="dxa"/>
          <w:left w:w="60" w:type="dxa"/>
          <w:bottom w:w="0" w:type="dxa"/>
          <w:right w:w="60" w:type="dxa"/>
        </w:tblCellMar>
      </w:tblPr>
      <w:tblGrid>
        <w:gridCol w:w="4200"/>
        <w:gridCol w:w="1200"/>
        <w:gridCol w:w="2300"/>
        <w:gridCol w:w="999"/>
      </w:tblGrid>
      <w:tr>
        <w:trPr>
          <w:tblHeader w:val="true"/>
        </w:trPr>
        <w:tc>
          <w:tcPr>
            <w:tcW w:w="4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برآورد</w:t>
            </w:r>
          </w:p>
        </w:tc>
        <w:tc>
          <w:tcPr>
            <w:tcW w:w="23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فاصلهٔ اطمینان</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معنادار</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توده‌واری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۰٫۰۷۱‎</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۰٫۱۱۱‎، ‎−۰٫۰۳۸‎</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توده‌واری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۰٫۱۰۲‎</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۰٫۱۶۳‎، ‎−۰٫۰۵۰‎</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۰٫۰۲۹‎</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۰٫۱۰۹‎، ۰٫۰۴۱</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خیر</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غیرمستقیم کل</w:t>
            </w:r>
          </w:p>
        </w:tc>
        <w:tc>
          <w:tcPr>
            <w:tcW w:w="12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۰٫۲۰۱‎</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۰٫۲۸۳‎، ‎−۰٫۱۲۵‎</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اثر کل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مستقیم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غیرمستقیم</w:t>
            </w:r>
            <w:r>
              <w:rPr>
                <w:rFonts w:eastAsia="Times New Roman" w:cs="B Nazanin"/>
                <w:sz w:val="24"/>
                <w:szCs w:val="24"/>
                <w:rtl w:val="true"/>
                <w:lang w:val="en-US" w:bidi="fa-IR"/>
              </w:rPr>
              <w:t>)</w:t>
            </w:r>
          </w:p>
        </w:tc>
        <w:tc>
          <w:tcPr>
            <w:tcW w:w="12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۰٫۱۹۰‎</w:t>
            </w:r>
          </w:p>
        </w:tc>
        <w:tc>
          <w:tcPr>
            <w:tcW w:w="23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۰٫۲۹۰‎، ‎−۰٫۰۸۷‎</w:t>
            </w:r>
            <w:r>
              <w:rPr>
                <w:rFonts w:eastAsia="Times New Roman" w:cs="B Nazanin"/>
                <w:sz w:val="24"/>
                <w:szCs w:val="24"/>
                <w:rtl w:val="true"/>
                <w:lang w:val="en-US" w:bidi="fa-IR"/>
              </w:rPr>
              <w:t>]</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۶</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تعدیل‌گری استفاده از اطلاعات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ضریب تعامل پنهان فومو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بر رفتار توده‌وار منفی و معنادار بود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۰٫۱۸‎، ‎</w:t>
      </w:r>
      <w:r>
        <w:rPr>
          <w:rFonts w:eastAsia="Times New Roman" w:cs="B Nazanin"/>
          <w:sz w:val="26"/>
          <w:szCs w:val="26"/>
          <w:lang w:val="en-US" w:bidi="fa-IR"/>
        </w:rPr>
        <w:t>z = −</w:t>
      </w:r>
      <w:r>
        <w:rPr>
          <w:rFonts w:ascii="Times New Roman" w:hAnsi="Times New Roman" w:eastAsia="Times New Roman"/>
          <w:sz w:val="26"/>
          <w:sz w:val="26"/>
          <w:szCs w:val="26"/>
          <w:lang w:val="en-US" w:bidi="fa-IR"/>
        </w:rPr>
        <w:t>۳٫۳۲‎،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بنابراین فرضیهٔ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تحلیل شیب‌های ساده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از ضرایب پنهان، جدول </w:t>
      </w:r>
      <w:r>
        <w:rPr>
          <w:rFonts w:ascii="Times New Roman" w:hAnsi="Times New Roman" w:eastAsia="Times New Roman"/>
          <w:sz w:val="26"/>
          <w:sz w:val="26"/>
          <w:szCs w:val="26"/>
          <w:lang w:val="en-US" w:bidi="fa-IR"/>
        </w:rPr>
        <w:t>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می‌دهد شیب استاندارد فومو ← رفتار توده‌وار در سطح پایین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یک انحراف معیار کمتر از میانگین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برابر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در سطح میانگین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و در سطح بالا </w:t>
      </w:r>
      <w:r>
        <w:rPr>
          <w:rFonts w:ascii="Times New Roman" w:hAnsi="Times New Roman" w:eastAsia="Times New Roman"/>
          <w:sz w:val="26"/>
          <w:sz w:val="26"/>
          <w:szCs w:val="26"/>
          <w:lang w:val="en-US" w:bidi="fa-IR"/>
        </w:rPr>
        <w:t>۰٫۲۲</w:t>
      </w:r>
      <w:r>
        <w:rPr>
          <w:rFonts w:ascii="Times New Roman" w:hAnsi="Times New Roman" w:eastAsia="Times New Roman"/>
          <w:sz w:val="26"/>
          <w:sz w:val="26"/>
          <w:szCs w:val="26"/>
          <w:rtl w:val="true"/>
          <w:lang w:val="en-US" w:bidi="fa-IR"/>
        </w:rPr>
        <w:t xml:space="preserve"> است و هر سه شیب معنادارند؛ یعنی شیب با افزایش اطلاعات حسابداری تضعیف می‌شود ولی هیچ‌گاه صفر نمی‌شود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شاخص میانجی‌گری تعدیل‌شده </w:t>
      </w:r>
      <w:r>
        <w:rPr>
          <w:rFonts w:ascii="Times New Roman" w:hAnsi="Times New Roman" w:eastAsia="Times New Roman"/>
          <w:sz w:val="26"/>
          <w:sz w:val="26"/>
          <w:szCs w:val="26"/>
          <w:lang w:val="en-US" w:bidi="fa-IR"/>
        </w:rPr>
        <w:t>۰٫۰۳۴</w:t>
      </w:r>
      <w:r>
        <w:rPr>
          <w:rFonts w:ascii="Times New Roman" w:hAnsi="Times New Roman" w:eastAsia="Times New Roman"/>
          <w:sz w:val="26"/>
          <w:sz w:val="26"/>
          <w:szCs w:val="26"/>
          <w:rtl w:val="true"/>
          <w:lang w:val="en-US" w:bidi="fa-IR"/>
        </w:rPr>
        <w:t xml:space="preserve"> با فاصلهٔ اطمینان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۰٫۰۶۵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برآورد شد که شامل صفر نیست و فرضیهٔ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را تأیید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کاهش اثر غیرمستقیم متوالی از سطح پایین به سطح بالا حدود </w:t>
      </w:r>
      <w:r>
        <w:rPr>
          <w:rFonts w:ascii="Times New Roman" w:hAnsi="Times New Roman" w:eastAsia="Times New Roman"/>
          <w:sz w:val="26"/>
          <w:sz w:val="26"/>
          <w:szCs w:val="26"/>
          <w:lang w:val="en-US" w:bidi="fa-IR"/>
        </w:rPr>
        <w:t>۶۴</w:t>
      </w:r>
      <w:r>
        <w:rPr>
          <w:rFonts w:ascii="Times New Roman" w:hAnsi="Times New Roman" w:eastAsia="Times New Roman"/>
          <w:sz w:val="26"/>
          <w:sz w:val="26"/>
          <w:szCs w:val="26"/>
          <w:rtl w:val="true"/>
          <w:lang w:val="en-US" w:bidi="fa-IR"/>
        </w:rPr>
        <w:t>٪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شیب‌های ساده و اثرهای غیرمستقیم مشروط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مدل پنهان</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2899"/>
        <w:gridCol w:w="2000"/>
        <w:gridCol w:w="2001"/>
        <w:gridCol w:w="2099"/>
      </w:tblGrid>
      <w:tr>
        <w:trPr>
          <w:tblHeader w:val="true"/>
        </w:trPr>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سطح استفاده از اطلاعات حسابداری</w:t>
            </w:r>
          </w:p>
        </w:tc>
        <w:tc>
          <w:tcPr>
            <w:tcW w:w="2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شیب استاندارد فومو ← توده‌واری</w:t>
            </w:r>
          </w:p>
        </w:tc>
        <w:tc>
          <w:tcPr>
            <w:tcW w:w="20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اثر غیرمستقیم متوالی </w:t>
            </w:r>
            <w:r>
              <w:rPr>
                <w:rFonts w:eastAsia="Times New Roman" w:cs="B Nazanin"/>
                <w:b/>
                <w:bCs/>
                <w:sz w:val="24"/>
                <w:szCs w:val="24"/>
                <w:rtl w:val="true"/>
                <w:lang w:val="en-US" w:bidi="fa-IR"/>
              </w:rPr>
              <w:t>(</w:t>
            </w:r>
            <w:r>
              <w:rPr>
                <w:rFonts w:ascii="Times New Roman" w:hAnsi="Times New Roman" w:eastAsia="Times New Roman"/>
                <w:b/>
                <w:b/>
                <w:bCs/>
                <w:sz w:val="24"/>
                <w:sz w:val="24"/>
                <w:szCs w:val="24"/>
                <w:rtl w:val="true"/>
                <w:lang w:val="en-US" w:bidi="fa-IR"/>
              </w:rPr>
              <w:t>ناستاندارد</w:t>
            </w:r>
            <w:r>
              <w:rPr>
                <w:rFonts w:eastAsia="Times New Roman" w:cs="B Nazanin"/>
                <w:b/>
                <w:bCs/>
                <w:sz w:val="24"/>
                <w:szCs w:val="24"/>
                <w:rtl w:val="true"/>
                <w:lang w:val="en-US" w:bidi="fa-IR"/>
              </w:rPr>
              <w:t>)</w:t>
            </w:r>
          </w:p>
        </w:tc>
        <w:tc>
          <w:tcPr>
            <w:tcW w:w="2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فاصلهٔ اطمینان </w:t>
            </w:r>
            <w:r>
              <w:rPr>
                <w:rFonts w:ascii="Times New Roman" w:hAnsi="Times New Roman" w:eastAsia="Times New Roman"/>
                <w:b/>
                <w:b/>
                <w:bCs/>
                <w:sz w:val="24"/>
                <w:sz w:val="24"/>
                <w:szCs w:val="24"/>
                <w:lang w:val="en-US" w:bidi="fa-IR"/>
              </w:rPr>
              <w:t>۹۵</w:t>
            </w:r>
            <w:r>
              <w:rPr>
                <w:rFonts w:ascii="Times New Roman" w:hAnsi="Times New Roman" w:eastAsia="Times New Roman"/>
                <w:b/>
                <w:b/>
                <w:bCs/>
                <w:sz w:val="24"/>
                <w:sz w:val="24"/>
                <w:szCs w:val="24"/>
                <w:rtl w:val="true"/>
                <w:lang w:val="en-US" w:bidi="fa-IR"/>
              </w:rPr>
              <w:t>٪ اثر غیرمستقیم</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پایین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ascii="Times New Roman" w:hAnsi="Times New Roman" w:eastAsia="Times New Roman"/>
                <w:sz w:val="24"/>
                <w:sz w:val="24"/>
                <w:szCs w:val="24"/>
                <w:rtl w:val="true"/>
                <w:lang w:val="en-US" w:bidi="fa-IR"/>
              </w:rPr>
              <w:t xml:space="preserve"> انحراف معیار</w:t>
            </w:r>
            <w:r>
              <w:rPr>
                <w:rFonts w:eastAsia="Times New Roman" w:cs="B Nazanin"/>
                <w:sz w:val="24"/>
                <w:szCs w:val="24"/>
                <w:rtl w:val="true"/>
                <w:lang w:val="en-US" w:bidi="fa-IR"/>
              </w:rPr>
              <w:t>)</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۰٫۶۰۱</w:t>
            </w:r>
          </w:p>
        </w:tc>
        <w:tc>
          <w:tcPr>
            <w:tcW w:w="20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۰٫۰۹۵‎</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۰٫۱۵۱‎، ‎−۰٫۰۵۰‎</w:t>
            </w:r>
            <w:r>
              <w:rPr>
                <w:rFonts w:eastAsia="Times New Roman" w:cs="B Nazanin"/>
                <w:sz w:val="24"/>
                <w:szCs w:val="24"/>
                <w:rtl w:val="true"/>
                <w:lang w:val="en-US" w:bidi="fa-IR"/>
              </w:rPr>
              <w:t>]</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میانگین</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۰٫۴۱۰</w:t>
            </w:r>
          </w:p>
        </w:tc>
        <w:tc>
          <w:tcPr>
            <w:tcW w:w="20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۰٫۰۶۵‎</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۰٫۱۰۵‎، ‎−۰٫۰۳۴‎</w:t>
            </w:r>
            <w:r>
              <w:rPr>
                <w:rFonts w:eastAsia="Times New Roman" w:cs="B Nazanin"/>
                <w:sz w:val="24"/>
                <w:szCs w:val="24"/>
                <w:rtl w:val="true"/>
                <w:lang w:val="en-US" w:bidi="fa-IR"/>
              </w:rPr>
              <w:t>]</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بالا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ascii="Times New Roman" w:hAnsi="Times New Roman" w:eastAsia="Times New Roman"/>
                <w:sz w:val="24"/>
                <w:sz w:val="24"/>
                <w:szCs w:val="24"/>
                <w:rtl w:val="true"/>
                <w:lang w:val="en-US" w:bidi="fa-IR"/>
              </w:rPr>
              <w:t xml:space="preserve"> انحراف معیار</w:t>
            </w:r>
            <w:r>
              <w:rPr>
                <w:rFonts w:eastAsia="Times New Roman" w:cs="B Nazanin"/>
                <w:sz w:val="24"/>
                <w:szCs w:val="24"/>
                <w:rtl w:val="true"/>
                <w:lang w:val="en-US" w:bidi="fa-IR"/>
              </w:rPr>
              <w:t>)</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۰٫۲۱۸</w:t>
            </w:r>
          </w:p>
        </w:tc>
        <w:tc>
          <w:tcPr>
            <w:tcW w:w="20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۰٫۰۳۴‎</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۰٫۰۷۰‎، ‎−۰٫۰۰۸‎</w:t>
            </w:r>
            <w:r>
              <w:rPr>
                <w:rFonts w:eastAsia="Times New Roman" w:cs="B Nazanin"/>
                <w:sz w:val="24"/>
                <w:szCs w:val="24"/>
                <w:rtl w:val="true"/>
                <w:lang w:val="en-US" w:bidi="fa-IR"/>
              </w:rPr>
              <w:t>]</w:t>
            </w:r>
          </w:p>
        </w:tc>
      </w:tr>
      <w:tr>
        <w:trPr>
          <w:cantSplit w:val="true"/>
        </w:trPr>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شاخص میانجی‌گری تعدیل‌شده</w:t>
            </w:r>
          </w:p>
        </w:tc>
        <w:tc>
          <w:tcPr>
            <w:tcW w:w="20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p>
        </w:tc>
        <w:tc>
          <w:tcPr>
            <w:tcW w:w="2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۰٫۰۳۴</w:t>
            </w:r>
          </w:p>
        </w:tc>
        <w:tc>
          <w:tcPr>
            <w:tcW w:w="2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۰٫۰۱۳</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۰٫۰۶۵</w:t>
            </w:r>
            <w:r>
              <w:rPr>
                <w:rFonts w:eastAsia="Times New Roman" w:cs="B Nazanin"/>
                <w:sz w:val="24"/>
                <w:szCs w:val="24"/>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اثرهای غیرمستقیم در متریک متغیرهای پنهان </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گویهٔ نشانگر</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 معناداری از فاصلهٔ اطمینان خودگردان</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شیب استاندارد از ضرب شیب ناستاندارد در نسبت انحراف معیار پنهان فومو به رفتار توده‌وار</w:t>
      </w:r>
      <w:r>
        <w:rPr>
          <w:rFonts w:eastAsia="Times New Roman" w:cs="B Nazanin"/>
          <w:sz w:val="20"/>
          <w:szCs w:val="20"/>
          <w:rtl w:val="true"/>
          <w:lang w:val="en-US" w:bidi="fa-IR"/>
        </w:rPr>
        <w:t>.</w:t>
      </w:r>
    </w:p>
    <w:p>
      <w:pPr>
        <w:pStyle w:val="Normal"/>
        <w:keepNext w:val="true"/>
        <w:jc w:val="center"/>
        <w:rPr/>
      </w:pPr>
      <w:r>
        <w:rPr>
          <w:rtl w:val="true"/>
        </w:rPr>
        <w:drawing>
          <wp:inline distT="0" distB="0" distL="0" distR="0">
            <wp:extent cx="3959860" cy="2722880"/>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4"/>
                    <a:stretch>
                      <a:fillRect/>
                    </a:stretch>
                  </pic:blipFill>
                  <pic:spPr bwMode="auto">
                    <a:xfrm>
                      <a:off x="0" y="0"/>
                      <a:ext cx="3959860" cy="2722880"/>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 تعاملی فومو و استفاده از اطلاعات حسابداری بر رفتار توده‌وار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شیب‌های ساده از مدل پنهان</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۷</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خلاصهٔ آزمون فرضیه‌ها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بر پایهٔ جدول‌های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هر هشت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فرضیه‌های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۸</w:t>
      </w:r>
      <w:r>
        <w:rPr>
          <w:rFonts w:ascii="Times New Roman" w:hAnsi="Times New Roman" w:eastAsia="Times New Roman"/>
          <w:sz w:val="26"/>
          <w:sz w:val="26"/>
          <w:szCs w:val="26"/>
          <w:rtl w:val="true"/>
          <w:lang w:val="en-US" w:bidi="fa-IR"/>
        </w:rPr>
        <w:t xml:space="preserve"> بر پایهٔ ضرایب مسیر معنادار، 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بر پایهٔ فاصلهٔ اطمینان اثر غیرمستقیم متوالی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۰٫۰۷۱‎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۰٫۱۱۱‎، ‎−۰٫۰۳۸‎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 xml:space="preserve"> بر پایهٔ ضریب تعامل منفی و معنادار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۰٫۱۸۵‎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فرضیهٔ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بر پایهٔ شاخص میانجی‌گری تعدیل‌شدهٔ مثبت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۰٫۰۳۴</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۰٫۰۶۵</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۸</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آزمون‌های تکمیلی و استحکام</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نخست، چهار مدل ساختاری رقیب مقایسه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پیشنهادی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میانجی جزئی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مدل میانجی کامل زنجیره‌ای بهتر برازش داشت </w:t>
      </w:r>
      <w:r>
        <w:rPr>
          <w:rFonts w:eastAsia="Times New Roman" w:cs="B Nazanin"/>
          <w:sz w:val="26"/>
          <w:szCs w:val="26"/>
          <w:rtl w:val="true"/>
          <w:lang w:val="en-US" w:bidi="fa-IR"/>
        </w:rPr>
        <w:t>(</w:t>
      </w:r>
      <w:r>
        <w:rPr>
          <w:rFonts w:eastAsia="Times New Roman" w:cs="B Nazanin"/>
          <w:sz w:val="26"/>
          <w:szCs w:val="26"/>
          <w:lang w:val="en-US" w:bidi="fa-IR"/>
        </w:rPr>
        <w:t xml:space="preserve">‎Δχ² = </w:t>
      </w:r>
      <w:r>
        <w:rPr>
          <w:rFonts w:ascii="Times New Roman" w:hAnsi="Times New Roman" w:eastAsia="Times New Roman"/>
          <w:sz w:val="26"/>
          <w:sz w:val="26"/>
          <w:szCs w:val="26"/>
          <w:lang w:val="en-US" w:bidi="fa-IR"/>
        </w:rPr>
        <w:t>۲۵٫۲‎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Δdf =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بدون میانجی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مستقیم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برازش ضعیف‌تری داشت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با ترتیب معکوس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توده‌واری ← فومو</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نظر آماری هم‌ارز مدل پیشنهادی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درجهٔ آزادی برابر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از این‌رو ترتیب علّی بر پایهٔ منطق نظری و نه یافتهٔ آماری انتخاب شده و این موضوع در محدودیت‌ها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مدل‌های رقیب</w:t>
      </w:r>
    </w:p>
    <w:tbl>
      <w:tblPr>
        <w:bidiVisual w:val="true"/>
        <w:tblW w:w="8300" w:type="dxa"/>
        <w:jc w:val="center"/>
        <w:tblInd w:w="0" w:type="dxa"/>
        <w:tblLayout w:type="fixed"/>
        <w:tblCellMar>
          <w:top w:w="0" w:type="dxa"/>
          <w:left w:w="60" w:type="dxa"/>
          <w:bottom w:w="0" w:type="dxa"/>
          <w:right w:w="60" w:type="dxa"/>
        </w:tblCellMar>
      </w:tblPr>
      <w:tblGrid>
        <w:gridCol w:w="3700"/>
        <w:gridCol w:w="1000"/>
        <w:gridCol w:w="699"/>
        <w:gridCol w:w="900"/>
        <w:gridCol w:w="901"/>
        <w:gridCol w:w="1099"/>
      </w:tblGrid>
      <w:tr>
        <w:trPr>
          <w:tblHeader w:val="true"/>
        </w:trPr>
        <w:tc>
          <w:tcPr>
            <w:tcW w:w="3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مدل</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χ²</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df</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CFI</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RMSEA</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BIC</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پیشنهادی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میانجی جزئی</w:t>
            </w:r>
            <w:r>
              <w:rPr>
                <w:rFonts w:eastAsia="Times New Roman" w:cs="B Nazanin"/>
                <w:sz w:val="24"/>
                <w:szCs w:val="24"/>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۴۸۱٫۸</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۰٫۹۷۴</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۰٫۰۲۸</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۳۹۰٫۶</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میانجی کامل زنجیره‌ای</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۵۰۷٫۰</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۰٫۹۶۹</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۳۷۲٫۶</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ترتیب معکوس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توده‌واری←</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۴۸۵٫۷</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۰٫۹۷۳</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۰٫۰۲۹</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۳۹۰٫۶</w:t>
            </w:r>
          </w:p>
        </w:tc>
      </w:tr>
      <w:tr>
        <w:trPr>
          <w:cantSplit w:val="true"/>
        </w:trPr>
        <w:tc>
          <w:tcPr>
            <w:tcW w:w="3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مستقیم بدون میانجی</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۵۷۸٫۷</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۰٫۹۵۳</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۰٫۰۳۸</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۳۷۲٫۲</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دوم، استحکام نتایج در برابر روش برآورد و مشخصات مدل بررسی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برآوردگر </w:t>
      </w:r>
      <w:r>
        <w:rPr>
          <w:rFonts w:eastAsia="Times New Roman" w:cs="B Nazanin"/>
          <w:sz w:val="26"/>
          <w:szCs w:val="26"/>
          <w:lang w:val="en-US" w:bidi="fa-IR"/>
        </w:rPr>
        <w:t>DWLS</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برای دادهٔ رتبه‌ای مناسب‌تر است، با ساخت دیگری از شاخص‌های تعامل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مرکزسازی باقی‌مانده</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با آزادسازی چهار بزرگ‌ترین خطای همبستهٔ درون‌سازه‌ای </w:t>
      </w:r>
      <w:r>
        <w:rPr>
          <w:rFonts w:eastAsia="Times New Roman" w:cs="B Nazanin"/>
          <w:sz w:val="26"/>
          <w:szCs w:val="26"/>
          <w:rtl w:val="true"/>
          <w:lang w:val="en-US" w:bidi="fa-IR"/>
        </w:rPr>
        <w:t>(</w:t>
      </w:r>
      <w:r>
        <w:rPr>
          <w:rFonts w:eastAsia="Times New Roman" w:cs="B Nazanin"/>
          <w:sz w:val="26"/>
          <w:szCs w:val="26"/>
          <w:lang w:val="en-US" w:bidi="fa-IR"/>
        </w:rPr>
        <w:t>HRD</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HRD</w:t>
      </w:r>
      <w:r>
        <w:rPr>
          <w:rFonts w:ascii="Times New Roman" w:hAnsi="Times New Roman" w:eastAsia="Times New Roman"/>
          <w:sz w:val="26"/>
          <w:sz w:val="26"/>
          <w:szCs w:val="26"/>
          <w:lang w:val="en-US" w:bidi="fa-IR"/>
        </w:rPr>
        <w:t xml:space="preserve">۵، </w:t>
      </w:r>
      <w:r>
        <w:rPr>
          <w:rFonts w:eastAsia="Times New Roman" w:cs="B Nazanin"/>
          <w:sz w:val="26"/>
          <w:szCs w:val="26"/>
          <w:lang w:val="en-US" w:bidi="fa-IR"/>
        </w:rPr>
        <w:t>AIU</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AIU</w:t>
      </w:r>
      <w:r>
        <w:rPr>
          <w:rFonts w:ascii="Times New Roman" w:hAnsi="Times New Roman" w:eastAsia="Times New Roman"/>
          <w:sz w:val="26"/>
          <w:sz w:val="26"/>
          <w:szCs w:val="26"/>
          <w:lang w:val="en-US" w:bidi="fa-IR"/>
        </w:rPr>
        <w:t xml:space="preserve">۴، </w:t>
      </w:r>
      <w:r>
        <w:rPr>
          <w:rFonts w:eastAsia="Times New Roman" w:cs="B Nazanin"/>
          <w:sz w:val="26"/>
          <w:szCs w:val="26"/>
          <w:lang w:val="en-US" w:bidi="fa-IR"/>
        </w:rPr>
        <w:t>FOMO</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FOMO</w:t>
      </w:r>
      <w:r>
        <w:rPr>
          <w:rFonts w:ascii="Times New Roman" w:hAnsi="Times New Roman" w:eastAsia="Times New Roman"/>
          <w:sz w:val="26"/>
          <w:sz w:val="26"/>
          <w:szCs w:val="26"/>
          <w:lang w:val="en-US" w:bidi="fa-IR"/>
        </w:rPr>
        <w:t xml:space="preserve">۲، </w:t>
      </w:r>
      <w:r>
        <w:rPr>
          <w:rFonts w:eastAsia="Times New Roman" w:cs="B Nazanin"/>
          <w:sz w:val="26"/>
          <w:szCs w:val="26"/>
          <w:lang w:val="en-US" w:bidi="fa-IR"/>
        </w:rPr>
        <w:t>SME</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SME</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برازش را به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۰٫۹۸۹‎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۰٫۰۱۶‎</w:t>
      </w:r>
      <w:r>
        <w:rPr>
          <w:rFonts w:ascii="Times New Roman" w:hAnsi="Times New Roman" w:eastAsia="Times New Roman"/>
          <w:sz w:val="26"/>
          <w:sz w:val="26"/>
          <w:szCs w:val="26"/>
          <w:rtl w:val="true"/>
          <w:lang w:val="en-US" w:bidi="fa-IR"/>
        </w:rPr>
        <w:t xml:space="preserve"> رساند، و پس از حذف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دورترین مشاهدات، جهت و معناداری مسیرهای اصلی و تعامل حفظ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یافته‌ها به روش برآورد وابسته نیستند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تحلیل حساسیت</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استاندارد کلیدی در مشخصات مختلف</w:t>
      </w:r>
    </w:p>
    <w:tbl>
      <w:tblPr>
        <w:bidiVisual w:val="true"/>
        <w:tblW w:w="8400" w:type="dxa"/>
        <w:jc w:val="center"/>
        <w:tblInd w:w="0" w:type="dxa"/>
        <w:tblLayout w:type="fixed"/>
        <w:tblCellMar>
          <w:top w:w="0" w:type="dxa"/>
          <w:left w:w="60" w:type="dxa"/>
          <w:bottom w:w="0" w:type="dxa"/>
          <w:right w:w="60" w:type="dxa"/>
        </w:tblCellMar>
      </w:tblPr>
      <w:tblGrid>
        <w:gridCol w:w="2399"/>
        <w:gridCol w:w="700"/>
        <w:gridCol w:w="801"/>
        <w:gridCol w:w="1099"/>
        <w:gridCol w:w="1101"/>
        <w:gridCol w:w="799"/>
        <w:gridCol w:w="1500"/>
      </w:tblGrid>
      <w:tr>
        <w:trPr>
          <w:tblHeader w:val="true"/>
        </w:trPr>
        <w:tc>
          <w:tcPr>
            <w:tcW w:w="2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مشخصات مدل</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CFI</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RMSEA</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فومو ← توده‌واری</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توده‌واری ← کیفیت</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تعامل</w:t>
            </w:r>
          </w:p>
        </w:tc>
        <w:tc>
          <w:tcPr>
            <w:tcW w:w="1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توضیح</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مدل پایه </w:t>
            </w:r>
            <w:r>
              <w:rPr>
                <w:rFonts w:eastAsia="Times New Roman" w:cs="B Nazanin"/>
                <w:sz w:val="20"/>
                <w:szCs w:val="20"/>
                <w:rtl w:val="true"/>
                <w:lang w:val="en-US" w:bidi="fa-IR"/>
              </w:rPr>
              <w:t>(</w:t>
            </w:r>
            <w:r>
              <w:rPr>
                <w:rFonts w:eastAsia="Times New Roman" w:cs="B Nazanin"/>
                <w:sz w:val="20"/>
                <w:szCs w:val="20"/>
                <w:lang w:val="en-US" w:bidi="fa-IR"/>
              </w:rPr>
              <w:t>ML</w:t>
            </w:r>
            <w:r>
              <w:rPr>
                <w:rFonts w:eastAsia="Times New Roman" w:cs="B Nazanin"/>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۰٫۹۷۷</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۰٫۰۲۳</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w:t>
            </w:r>
          </w:p>
        </w:tc>
        <w:tc>
          <w:tcPr>
            <w:tcW w:w="11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۰٫۳۵‎</w:t>
            </w:r>
          </w:p>
        </w:tc>
        <w:tc>
          <w:tcPr>
            <w:tcW w:w="7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۰٫۱۸‎</w:t>
            </w:r>
          </w:p>
        </w:tc>
        <w:tc>
          <w:tcPr>
            <w:tcW w:w="15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برآوردگر </w:t>
            </w:r>
            <w:r>
              <w:rPr>
                <w:rFonts w:eastAsia="Times New Roman" w:cs="B Nazanin"/>
                <w:sz w:val="20"/>
                <w:szCs w:val="20"/>
                <w:lang w:val="en-US" w:bidi="fa-IR"/>
              </w:rPr>
              <w:t>DWLS</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۱٫۰۱۲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۰٫۰۰۰</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w:t>
            </w:r>
          </w:p>
        </w:tc>
        <w:tc>
          <w:tcPr>
            <w:tcW w:w="11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۰٫۳۴‎</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بدون تعامل</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تعامل با مرکزسازی باقی‌مانده</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11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۰٫۳۵‎</w:t>
            </w:r>
          </w:p>
        </w:tc>
        <w:tc>
          <w:tcPr>
            <w:tcW w:w="7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۰٫۱۷‎</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شاخص‌های متعامد</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بازمشخص‌سازی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۴</w:t>
            </w:r>
            <w:r>
              <w:rPr>
                <w:rFonts w:ascii="Times New Roman" w:hAnsi="Times New Roman" w:eastAsia="Times New Roman"/>
                <w:sz w:val="20"/>
                <w:sz w:val="20"/>
                <w:szCs w:val="20"/>
                <w:rtl w:val="true"/>
                <w:lang w:val="en-US" w:bidi="fa-IR"/>
              </w:rPr>
              <w:t xml:space="preserve"> خطای همبسته</w:t>
            </w:r>
            <w:r>
              <w:rPr>
                <w:rFonts w:eastAsia="Times New Roman" w:cs="B Nazanin"/>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۰٫۰۱۶</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w:t>
            </w:r>
          </w:p>
        </w:tc>
        <w:tc>
          <w:tcPr>
            <w:tcW w:w="11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۰٫۳۵‎</w:t>
            </w:r>
          </w:p>
        </w:tc>
        <w:tc>
          <w:tcPr>
            <w:tcW w:w="7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۰٫۱۹‎</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آزادسازی خطاها</w:t>
            </w:r>
          </w:p>
        </w:tc>
      </w:tr>
      <w:tr>
        <w:trPr>
          <w:cantSplit w:val="true"/>
        </w:trPr>
        <w:tc>
          <w:tcPr>
            <w:tcW w:w="2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حذف </w:t>
            </w:r>
            <w:r>
              <w:rPr>
                <w:rFonts w:ascii="Times New Roman" w:hAnsi="Times New Roman" w:eastAsia="Times New Roman"/>
                <w:sz w:val="20"/>
                <w:sz w:val="20"/>
                <w:szCs w:val="20"/>
                <w:lang w:val="en-US" w:bidi="fa-IR"/>
              </w:rPr>
              <w:t>۵</w:t>
            </w:r>
            <w:r>
              <w:rPr>
                <w:rFonts w:ascii="Times New Roman" w:hAnsi="Times New Roman" w:eastAsia="Times New Roman"/>
                <w:sz w:val="20"/>
                <w:sz w:val="20"/>
                <w:szCs w:val="20"/>
                <w:rtl w:val="true"/>
                <w:lang w:val="en-US" w:bidi="fa-IR"/>
              </w:rPr>
              <w:t>٪ دورترین مشاهدات</w:t>
            </w:r>
          </w:p>
        </w:tc>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۰٫۳۹</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۰٫۳۷‎</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۰٫۱۹‎</w:t>
            </w:r>
          </w:p>
        </w:tc>
        <w:tc>
          <w:tcPr>
            <w:tcW w:w="15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 xml:space="preserve">n = </w:t>
            </w:r>
            <w:r>
              <w:rPr>
                <w:rFonts w:ascii="Times New Roman" w:hAnsi="Times New Roman" w:eastAsia="Times New Roman"/>
                <w:sz w:val="20"/>
                <w:sz w:val="20"/>
                <w:szCs w:val="20"/>
                <w:lang w:val="en-US" w:bidi="fa-IR"/>
              </w:rPr>
              <w:t>۳۶۶</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لازم است تأکید شود که چون داده‌ها از مدل مفروض تولید شده‌اند، هم‌خوانی ضرایب برآوردشده با مقادیر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نشانهٔ بازیابی صحیح ساختار توسط روش است و نه تأیید تجربی فرضیه‌ها</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هدف این پژوهش بررسی مسیر مواجهه با محتوای سرمایه‌گذاری شبکه‌های اجتماعی ← فومو ← رفتار توده‌وار ← کیفیت تصمیم با تعدیل‌گری اطلاعات حسابداری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چارچوب مدل مفروض، هر هشت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مواجهه با محتوا از نیرومندترین پیش‌بینی‌کننده‌های فومو 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۰٫۴۹‎</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که با نظریهٔ مقایسهٔ اجتماعی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فستینگر،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یافته‌های مرتبط با استفادهٔ شبکه‌ای از فومو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آبل و همکاران، </w:t>
      </w:r>
      <w:r>
        <w:rPr>
          <w:rFonts w:ascii="Times New Roman" w:hAnsi="Times New Roman" w:eastAsia="Times New Roman"/>
          <w:sz w:val="26"/>
          <w:sz w:val="26"/>
          <w:szCs w:val="26"/>
          <w:lang w:val="en-US" w:bidi="fa-IR"/>
        </w:rPr>
        <w:t>۲۰۱۶</w:t>
      </w:r>
      <w:r>
        <w:rPr>
          <w:rFonts w:ascii="Times New Roman" w:hAnsi="Times New Roman" w:eastAsia="Times New Roman"/>
          <w:sz w:val="26"/>
          <w:sz w:val="26"/>
          <w:szCs w:val="26"/>
          <w:rtl w:val="true"/>
          <w:lang w:val="en-US" w:bidi="fa-IR"/>
        </w:rPr>
        <w:t xml:space="preserve">؛ میلیاوسکایا و همکاران، </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هم‌سو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دوم، فومو رفتار توده‌وار را برانگیخت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۰٫۴۱‎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این امر منطق آبشارهای اطلاعاتی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با سازوکاری هیجانی تکمیل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ترس از جاماندن بهای روانی پیروی نکردن از جمع را بالا می‌برد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با دیدگاهی که هیجان‌ها را عامل نظام‌مند شکل‌دهندهٔ تصمیم می‌داند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لرنر و همکاران،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سازگار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سوم، رفتار توده‌وار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۰٫۳۵‎</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همسو با شواهد دربارهٔ هزینهٔ معاملات تحت‌تأثیر عوامل غیربنیادی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باربر و اودین،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پژوهش‌های داخلی که ارتباط سوگیری‌های رفتاری با عملکرد سرمایه‌گذاران حقیقی را نشان داده‌اند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جمشیدی و همکاران، </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نکتهٔ مهم، الگوی میانجی‌گری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مستقیم فومو بر کیفیت تصمیم، پس از کنترل رفتار توده‌وار، معنادار نبود و اثر کل مواجهه بر کیفیت تصمیم تقریباً به‌طور کامل از مسیرهای غیرمستقیم منتقل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تفسیر نظری این است که فومو در نهایت از طریق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عمل هم‌جهت‌شدن</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و نه صرفاً از طریق اضطراب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 کیفیت تصمیم اثر می‌گذارد؛ مداخله بر رفتار می‌تواند مؤثرتر از مداخله بر هیجان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چون ترتیب علّی فومو و توده‌واری از نظر آماری قابل‌تفکیک نیست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مدل‌های هم‌ارز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این تفسیر باید با طرح‌های طولی یا آزمایشی آزموده 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حدود </w:t>
      </w:r>
      <w:r>
        <w:rPr>
          <w:rFonts w:ascii="Times New Roman" w:hAnsi="Times New Roman" w:eastAsia="Times New Roman"/>
          <w:sz w:val="26"/>
          <w:sz w:val="26"/>
          <w:szCs w:val="26"/>
          <w:lang w:val="en-US" w:bidi="fa-IR"/>
        </w:rPr>
        <w:t>۶۴</w:t>
      </w:r>
      <w:r>
        <w:rPr>
          <w:rFonts w:ascii="Times New Roman" w:hAnsi="Times New Roman" w:eastAsia="Times New Roman"/>
          <w:sz w:val="26"/>
          <w:sz w:val="26"/>
          <w:szCs w:val="26"/>
          <w:rtl w:val="true"/>
          <w:lang w:val="en-US" w:bidi="fa-IR"/>
        </w:rPr>
        <w:t xml:space="preserve">٪ کمتر از سطح پایین آن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۰٫۶۰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با دیدگاه آبشارهای اطلاعاتی دربارهٔ نقش دقت سیگنال خصوصی سازگار است و ایده‌ای را که لارنس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میلر و اسکینر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دربارهٔ ارزش افشای مالی برای سرمایه‌گذاران خرد طرح کرده‌اند، به قلمرو رفتاری گسترش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همچنین با یافتهٔ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که کیفیت بالاتر اطلاعات حسابداری شدت رفتارهای احساسی را در قیمت‌گذاری کاهش می‌دهد هم‌سو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شاخص میانجی‌گری تعدیل‌شده نیز نشان داد اثر غیرمستقیم منفی در سطوح بالای استفاده از اطلاعات حسابداری کوچک‌تر است، اگرچه هرگز کاملاً حذف نمی‌شود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دانش‌افزایی نظری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پیوند میان ادبیات شبکه‌های اجتماعی در مالی و ادبیات توده‌واری از طریق سازهٔ فومو؛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معرفی استفاده از اطلاعات حسابداری به‌عنوان تعدیل‌گر رفتاری، که حسابداری را از نقش صرفاً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محتوایی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نقش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ضدسوگیری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می‌برد؛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برآورد یکپارچهٔ مدل با همهٔ گویه‌ها و بدون تجمیع، که خطای اندازه‌گیری را کنترل می‌کند؛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ارائهٔ ابزار و کد بازتولیدپذیر برای آزمون مدل در بازارهای دیگر</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پیشنهادهای کاربردی و سیاستی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نهاد ناظر بازار سرمایه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الزام یا تشویق به افشای شفاف تعارض منافع و پشتوانهٔ مالی در تحلیل‌های منتشرشده در شبکه‌ها؛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ناشران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انتشار خلاصه‌های ساده و قابل‌فهم از گزارش‌های مالی در همان کانال‌هایی که سرمایه‌گذاران خرد دنبال می‌کنند، تا اطلاعات حسابداری در رقابت توجه از دست نرود؛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کارگزاری‌ها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ادغام شاخص‌های بنیادی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مانند سود هر سهم و نسبت‌های مالی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پلتفرم‌های معاملاتی و هشدارهای رفتاری هنگام معاملات پرشتاب؛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نهادهای آموزشی و انجمن‌های حرفه‌ای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آموزش خواندن صورت‌های مالی با تمرکز بر مدیریت فومو؛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سرمایه‌گذاران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قاعدهٔ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بررسی صورت‌های مالی پیش از معاملهٔ برخاسته از یک محتوای شبکه‌ای</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محدودیت‌ها و پیشنهاد پژوهش‌های آینده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مهم‌ترین محدودیت شبیه‌سازی‌بودن داده است؛ بنابراین نخستین گام آینده اجرای پرسشنامهٔ پیوست روی نمونهٔ واقعی با اعتبارسنجی ابزار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دیگر محدودیت‌ها عبارت‌اند از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نسبت مشاهده به پارامتر کمتر از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هرچند توان آزمون کافی است</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طرح مقطعی و ناتوانی در تفکیک ترتیب علّی؛ اندازه‌گیری خودگزارشی مواجهه و کیفیت تصمیم؛ و نبود مقیاس استاندارد فارسی برای سازه‌ها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پژوهش‌های بعدی می‌توانند از داده‌های ردپای دیجیتال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مانند تحلیل متن کانال‌ها</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طرح‌های طولی، و مقایسهٔ چندگروهی بر پایهٔ تجربهٔ زیان در ریزش بازار بهره بگیرند؛ مورد اخیر در مقالهٔ همراه این پژوهش بررسی شده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دسترسی به داده و کد</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پرسشنامه، داده‌ٔ شبیه‌سازی‌شده، کد پایتون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قابل‌اجرا در </w:t>
      </w:r>
      <w:r>
        <w:rPr>
          <w:rFonts w:eastAsia="Times New Roman" w:cs="B Nazanin"/>
          <w:sz w:val="26"/>
          <w:szCs w:val="26"/>
          <w:lang w:val="en-US" w:bidi="fa-IR"/>
        </w:rPr>
        <w:t>Google Colab</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خروجی‌ها در مخزن پیوست 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منابع فارسی</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بدری، احمد و گودرزی، ندا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مالی رفتاری، سوگیری نماگری و متغیرهای بینادی حسابداری</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مطالعات تجربی حسابداری مالی، </w:t>
      </w:r>
      <w:r>
        <w:rPr>
          <w:rFonts w:ascii="Times New Roman" w:hAnsi="Times New Roman" w:eastAsia="Times New Roman"/>
          <w:sz w:val="24"/>
          <w:sz w:val="24"/>
          <w:szCs w:val="24"/>
          <w:lang w:val="en-US" w:bidi="fa-IR"/>
        </w:rPr>
        <w:t>۱۱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۵۷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۸۸</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بهارمقدم، مهدی و جوکار، حسین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sz w:val="24"/>
          <w:sz w:val="24"/>
          <w:szCs w:val="24"/>
          <w:lang w:val="en-US" w:bidi="fa-IR"/>
        </w:rPr>
        <w:t>۲۵</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۵۰</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ترازودار، میترا؛ قاسمی، مصطفی و محسنی، عبدالرضا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ارائه مدلی به منظور شناسایی تأثیر تورش‌های رفتاری و سواد مالی و نقش آنها بر تصمیم‌گیری سرمایه‌گذاران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مبتنی بر رویکرد گراندد تئوری</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دانش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۵۵</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جمشیدی، ناصر؛ قالیباف اصل، حسن و فدایی‌نژاد، محمداسماعیل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سوگیری‌های رفتاری و عملکرد سرمایه‌گذاران حقیقی بورس اوراق بهادار تهران، تحقیقات مالی،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۱۴۳</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حیدری هراتمه، مصطفی؛ آرایی، وحید و اسلامی، سیدمحمود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تأثیر رسانه‌ها و شبکه‌های اجتماعی و مجازی بر خط‌مشی و تصمیمات سرمایه‌گذاران بازارهای مالی، مطالعات فرهنگ ـ ارتباطات، </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ندیری، محمد و پناهیان، حمیدرضا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احساسات عقلانی و غیرعقلانی سرمایه‌گذاران و بازده بازار سهام</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تحقیقات مالی، </w:t>
      </w:r>
      <w:r>
        <w:rPr>
          <w:rFonts w:ascii="Times New Roman" w:hAnsi="Times New Roman" w:eastAsia="Times New Roman"/>
          <w:sz w:val="24"/>
          <w:sz w:val="24"/>
          <w:szCs w:val="24"/>
          <w:lang w:val="en-US" w:bidi="fa-IR"/>
        </w:rPr>
        <w:t>۲۶</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نمازی، محمد و زراعتگری، رامین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sz w:val="24"/>
          <w:sz w:val="24"/>
          <w:szCs w:val="24"/>
          <w:lang w:val="en-US" w:bidi="fa-IR"/>
        </w:rPr>
        <w:t>۱۰</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100" w:after="60"/>
        <w:jc w:val="both"/>
        <w:rPr/>
      </w:pPr>
      <w:r>
        <w:rPr>
          <w:rFonts w:ascii="Times New Roman" w:hAnsi="Times New Roman" w:eastAsia="Times New Roman"/>
          <w:b/>
          <w:b/>
          <w:bCs/>
          <w:sz w:val="24"/>
          <w:sz w:val="24"/>
          <w:szCs w:val="24"/>
          <w:rtl w:val="true"/>
          <w:lang w:val="en-US" w:bidi="fa-IR"/>
        </w:rPr>
        <w:t>منابع لاتین</w:t>
      </w:r>
    </w:p>
    <w:p>
      <w:pPr>
        <w:pStyle w:val="Normal"/>
        <w:spacing w:lineRule="auto" w:line="240" w:before="0" w:after="30"/>
        <w:jc w:val="left"/>
        <w:rPr/>
      </w:pPr>
      <w:r>
        <w:rPr>
          <w:rFonts w:eastAsia="Times New Roman" w:cs="Times New Roman"/>
          <w:sz w:val="24"/>
          <w:szCs w:val="24"/>
          <w:lang w:val="en-US" w:bidi="fa-IR"/>
        </w:rPr>
        <w:t>Abel, J. P., Buff, C. L., &amp; Burr, S. A. (2016). Social media and the fear of missing out: Scale development and assessment. Journal of Business &amp; Economic Research, 14(1), 33–44. https://doi.org/10.19030/jber.v14i1.9554</w:t>
      </w:r>
    </w:p>
    <w:p>
      <w:pPr>
        <w:pStyle w:val="Normal"/>
        <w:spacing w:lineRule="auto" w:line="240" w:before="0" w:after="30"/>
        <w:jc w:val="left"/>
        <w:rPr/>
      </w:pPr>
      <w:r>
        <w:rPr>
          <w:rFonts w:eastAsia="Times New Roman" w:cs="Times New Roman"/>
          <w:sz w:val="24"/>
          <w:szCs w:val="24"/>
          <w:lang w:val="en-US" w:bidi="fa-IR"/>
        </w:rPr>
        <w:t>Ball, R., &amp; Brown, P. (1968). An empirical evaluation of accounting income numbers. Journal of Accounting Research, 6(2), 159–178. https://doi.org/10.2307/2490232</w:t>
      </w:r>
    </w:p>
    <w:p>
      <w:pPr>
        <w:pStyle w:val="Normal"/>
        <w:spacing w:lineRule="auto" w:line="240" w:before="0" w:after="30"/>
        <w:jc w:val="left"/>
        <w:rPr/>
      </w:pPr>
      <w:r>
        <w:rPr>
          <w:rFonts w:eastAsia="Times New Roman" w:cs="Times New Roman"/>
          <w:sz w:val="24"/>
          <w:szCs w:val="24"/>
          <w:lang w:val="en-US" w:bidi="fa-IR"/>
        </w:rPr>
        <w:t>Banerjee, A. V. (1992). A simple model of herd behavior. The Quarterly Journal of Economics, 107(3), 797–817. https://doi.org/10.2307/2118364</w:t>
      </w:r>
    </w:p>
    <w:p>
      <w:pPr>
        <w:pStyle w:val="Normal"/>
        <w:spacing w:lineRule="auto" w:line="240" w:before="0" w:after="30"/>
        <w:jc w:val="left"/>
        <w:rPr/>
      </w:pPr>
      <w:r>
        <w:rPr>
          <w:rFonts w:eastAsia="Times New Roman" w:cs="Times New Roman"/>
          <w:sz w:val="24"/>
          <w:szCs w:val="24"/>
          <w:lang w:val="en-US" w:bidi="fa-IR"/>
        </w:rPr>
        <w:t>Barber, B. M., &amp; Odean, T. (2000). Trading is hazardous to your wealth: The common stock investment performance of individual investors. The Journal of Finance, 55(2), 773–806. https://doi.org/10.1111/0022-1082.00226</w:t>
      </w:r>
    </w:p>
    <w:p>
      <w:pPr>
        <w:pStyle w:val="Normal"/>
        <w:spacing w:lineRule="auto" w:line="240" w:before="0" w:after="30"/>
        <w:jc w:val="left"/>
        <w:rPr/>
      </w:pPr>
      <w:r>
        <w:rPr>
          <w:rFonts w:eastAsia="Times New Roman" w:cs="Times New Roman"/>
          <w:sz w:val="24"/>
          <w:szCs w:val="24"/>
          <w:lang w:val="en-US" w:bidi="fa-IR"/>
        </w:rPr>
        <w:t>Barber, B. M., &amp; Odean, T. (2001). Boys will be boys: Gender, overconfidence, and common stock investment. The Quarterly Journal of Economics, 116(1), 261–292. https://doi.org/10.1162/003355301556400</w:t>
      </w:r>
    </w:p>
    <w:p>
      <w:pPr>
        <w:pStyle w:val="Normal"/>
        <w:spacing w:lineRule="auto" w:line="240" w:before="0" w:after="30"/>
        <w:jc w:val="left"/>
        <w:rPr/>
      </w:pPr>
      <w:r>
        <w:rPr>
          <w:rFonts w:eastAsia="Times New Roman" w:cs="Times New Roman"/>
          <w:sz w:val="24"/>
          <w:szCs w:val="24"/>
          <w:lang w:val="en-US" w:bidi="fa-IR"/>
        </w:rPr>
        <w:t>Barber, B. M., &amp; Odean, T. (2008). All that glitters: The effect of attention and news on the buying behavior of individual and institutional investors. The Review of Financial Studies, 21(2), 785–818. https://doi.org/10.1093/rfs/hhm079</w:t>
      </w:r>
    </w:p>
    <w:p>
      <w:pPr>
        <w:pStyle w:val="Normal"/>
        <w:spacing w:lineRule="auto" w:line="240" w:before="0" w:after="30"/>
        <w:jc w:val="left"/>
        <w:rPr/>
      </w:pPr>
      <w:r>
        <w:rPr>
          <w:rFonts w:eastAsia="Times New Roman" w:cs="Times New Roman"/>
          <w:sz w:val="24"/>
          <w:szCs w:val="24"/>
          <w:lang w:val="en-US" w:bidi="fa-IR"/>
        </w:rPr>
        <w:t>Bartov, E., Faurel, L., &amp; Mohanram, P. S. (2018). Can Twitter help predict firm-level earnings and stock returns? The Accounting Review, 93(3), 25–57. https://doi.org/10.2308/accr-51865</w:t>
      </w:r>
    </w:p>
    <w:p>
      <w:pPr>
        <w:pStyle w:val="Normal"/>
        <w:spacing w:lineRule="auto" w:line="240" w:before="0" w:after="30"/>
        <w:jc w:val="left"/>
        <w:rPr/>
      </w:pPr>
      <w:r>
        <w:rPr>
          <w:rFonts w:eastAsia="Times New Roman" w:cs="Times New Roman"/>
          <w:sz w:val="24"/>
          <w:szCs w:val="24"/>
          <w:lang w:val="en-US" w:bidi="fa-IR"/>
        </w:rPr>
        <w:t>Beaver, W. H. (1968). The information content of annual earnings announcements. Journal of Accounting Research, 6, 67–92. https://doi.org/10.2307/2490070</w:t>
      </w:r>
    </w:p>
    <w:p>
      <w:pPr>
        <w:pStyle w:val="Normal"/>
        <w:spacing w:lineRule="auto" w:line="240" w:before="0" w:after="30"/>
        <w:jc w:val="left"/>
        <w:rPr/>
      </w:pPr>
      <w:r>
        <w:rPr>
          <w:rFonts w:eastAsia="Times New Roman" w:cs="Times New Roman"/>
          <w:sz w:val="24"/>
          <w:szCs w:val="24"/>
          <w:lang w:val="en-US" w:bidi="fa-IR"/>
        </w:rPr>
        <w:t>Bikhchandani, S., &amp; Sharma, S. (2001). Herd behavior in financial markets. IMF Staff Papers, 47(3), 279–310. https://doi.org/10.2307/4621672</w:t>
      </w:r>
    </w:p>
    <w:p>
      <w:pPr>
        <w:pStyle w:val="Normal"/>
        <w:spacing w:lineRule="auto" w:line="240" w:before="0" w:after="30"/>
        <w:jc w:val="left"/>
        <w:rPr/>
      </w:pPr>
      <w:r>
        <w:rPr>
          <w:rFonts w:eastAsia="Times New Roman" w:cs="Times New Roman"/>
          <w:sz w:val="24"/>
          <w:szCs w:val="24"/>
          <w:lang w:val="en-US" w:bidi="fa-IR"/>
        </w:rPr>
        <w:t>Bikhchandani, S., Hirshleifer, D., &amp; Welch, I. (1992). A theory of fads, fashion, custom, and cultural change as informational cascades. Journal of Political Economy, 100(5), 992–1026. https://doi.org/10.1086/261849</w:t>
      </w:r>
    </w:p>
    <w:p>
      <w:pPr>
        <w:pStyle w:val="Normal"/>
        <w:spacing w:lineRule="auto" w:line="240" w:before="0" w:after="30"/>
        <w:jc w:val="left"/>
        <w:rPr/>
      </w:pPr>
      <w:r>
        <w:rPr>
          <w:rFonts w:eastAsia="Times New Roman" w:cs="Times New Roman"/>
          <w:sz w:val="24"/>
          <w:szCs w:val="24"/>
          <w:lang w:val="en-US" w:bidi="fa-IR"/>
        </w:rPr>
        <w:t>Blankespoor, E., Miller, G. S., &amp; White, H. D. (2014). The role of dissemination in market liquidity: Evidence from firms' use of Twitter. The Accounting Review, 89(1), 79–112. https://doi.org/10.2308/accr-50576</w:t>
      </w:r>
    </w:p>
    <w:p>
      <w:pPr>
        <w:pStyle w:val="Normal"/>
        <w:spacing w:lineRule="auto" w:line="240" w:before="0" w:after="30"/>
        <w:jc w:val="left"/>
        <w:rPr/>
      </w:pPr>
      <w:r>
        <w:rPr>
          <w:rFonts w:eastAsia="Times New Roman" w:cs="Times New Roman"/>
          <w:sz w:val="24"/>
          <w:szCs w:val="24"/>
          <w:lang w:val="en-US" w:bidi="fa-IR"/>
        </w:rPr>
        <w:t>Bollen, J., Mao, H., &amp; Zeng, X. (2011). Twitter mood predicts the stock market. Journal of Computational Science, 2(1), 1–8. https://doi.org/10.1016/j.jocs.2010.12.007</w:t>
      </w:r>
    </w:p>
    <w:p>
      <w:pPr>
        <w:pStyle w:val="Normal"/>
        <w:spacing w:lineRule="auto" w:line="240" w:before="0" w:after="30"/>
        <w:jc w:val="left"/>
        <w:rPr/>
      </w:pPr>
      <w:r>
        <w:rPr>
          <w:rFonts w:eastAsia="Times New Roman" w:cs="Times New Roman"/>
          <w:sz w:val="24"/>
          <w:szCs w:val="24"/>
          <w:lang w:val="en-US" w:bidi="fa-IR"/>
        </w:rPr>
        <w:t>Bruine de Bruin, W., Parker, A. M., &amp; Fischhoff, B. (2007). Individual differences in adult decision-making competence. Journal of Personality and Social Psychology, 92(5), 938–956. https://doi.org/10.1037/0022-3514.92.5.938</w:t>
      </w:r>
    </w:p>
    <w:p>
      <w:pPr>
        <w:pStyle w:val="Normal"/>
        <w:spacing w:lineRule="auto" w:line="240" w:before="0" w:after="30"/>
        <w:jc w:val="left"/>
        <w:rPr/>
      </w:pPr>
      <w:r>
        <w:rPr>
          <w:rFonts w:eastAsia="Times New Roman" w:cs="Times New Roman"/>
          <w:sz w:val="24"/>
          <w:szCs w:val="24"/>
          <w:lang w:val="en-US" w:bidi="fa-IR"/>
        </w:rPr>
        <w:t>Chang, E. C., Cheng, J. W., &amp; Khorana, A. (2000). An examination of herd behavior in equity markets: An international perspective. Journal of Banking &amp; Finance, 24(10), 1651–1679. https://doi.org/10.1016/S0378-4266(99)00096-5</w:t>
      </w:r>
    </w:p>
    <w:p>
      <w:pPr>
        <w:pStyle w:val="Normal"/>
        <w:spacing w:lineRule="auto" w:line="240" w:before="0" w:after="30"/>
        <w:jc w:val="left"/>
        <w:rPr/>
      </w:pPr>
      <w:r>
        <w:rPr>
          <w:rFonts w:eastAsia="Times New Roman" w:cs="Times New Roman"/>
          <w:sz w:val="24"/>
          <w:szCs w:val="24"/>
          <w:lang w:val="en-US" w:bidi="fa-IR"/>
        </w:rPr>
        <w:t>Chen, H., De, P., Hu, Y. J., &amp; Hwang, B.-H. (2014). Wisdom of crowds: The value of stock opinions transmitted through social media. The Review of Financial Studies, 27(5), 1367–1403. https://doi.org/10.1093/rfs/hhu001</w:t>
      </w:r>
    </w:p>
    <w:p>
      <w:pPr>
        <w:pStyle w:val="Normal"/>
        <w:spacing w:lineRule="auto" w:line="240" w:before="0" w:after="30"/>
        <w:jc w:val="left"/>
        <w:rPr/>
      </w:pPr>
      <w:r>
        <w:rPr>
          <w:rFonts w:eastAsia="Times New Roman" w:cs="Times New Roman"/>
          <w:sz w:val="24"/>
          <w:szCs w:val="24"/>
          <w:lang w:val="en-US" w:bidi="fa-IR"/>
        </w:rPr>
        <w:t>Chiang, T. C., &amp; Zheng, D. (2010). An empirical analysis of herd behavior in global stock markets. Journal of Banking &amp; Finance, 34(8), 1911–1921. https://doi.org/10.1016/j.jbankfin.2009.12.014</w:t>
      </w:r>
    </w:p>
    <w:p>
      <w:pPr>
        <w:pStyle w:val="Normal"/>
        <w:spacing w:lineRule="auto" w:line="240" w:before="0" w:after="30"/>
        <w:jc w:val="left"/>
        <w:rPr/>
      </w:pPr>
      <w:r>
        <w:rPr>
          <w:rFonts w:eastAsia="Times New Roman" w:cs="Times New Roman"/>
          <w:sz w:val="24"/>
          <w:szCs w:val="24"/>
          <w:lang w:val="en-US" w:bidi="fa-IR"/>
        </w:rPr>
        <w:t>Cohen, J. (1988). Statistical power analysis for the behavioral sciences (2nd ed.). Lawrence Erlbaum Associates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Cookson, J. A., &amp; Niessner, M. (2020). Why don't we agree? Evidence from a social network of investors. The Journal of Finance, 75(1), 173–228. https://doi.org/10.1111/jofi.12852</w:t>
      </w:r>
    </w:p>
    <w:p>
      <w:pPr>
        <w:pStyle w:val="Normal"/>
        <w:spacing w:lineRule="auto" w:line="240" w:before="0" w:after="30"/>
        <w:jc w:val="left"/>
        <w:rPr/>
      </w:pPr>
      <w:r>
        <w:rPr>
          <w:rFonts w:eastAsia="Times New Roman" w:cs="Times New Roman"/>
          <w:sz w:val="24"/>
          <w:szCs w:val="24"/>
          <w:lang w:val="en-US" w:bidi="fa-IR"/>
        </w:rPr>
        <w:t>Cookson, J. A., Engelberg, J. E., &amp; Mullins, W. (2023). Echo chambers. The Review of Financial Studies, 36(2), 450–500. https://doi.org/10.1093/rfs/hhac058</w:t>
      </w:r>
    </w:p>
    <w:p>
      <w:pPr>
        <w:pStyle w:val="Normal"/>
        <w:spacing w:lineRule="auto" w:line="240" w:before="0" w:after="30"/>
        <w:jc w:val="left"/>
        <w:rPr/>
      </w:pPr>
      <w:r>
        <w:rPr>
          <w:rFonts w:eastAsia="Times New Roman" w:cs="Times New Roman"/>
          <w:sz w:val="24"/>
          <w:szCs w:val="24"/>
          <w:lang w:val="en-US" w:bidi="fa-IR"/>
        </w:rPr>
        <w:t>Da, Z., Engelberg, J., &amp; Gao, P. (2011). In search of attention. The Journal of Finance, 66(5), 1461–1499. https://doi.org/10.1111/j.1540-6261.2011.01679.x</w:t>
      </w:r>
    </w:p>
    <w:p>
      <w:pPr>
        <w:pStyle w:val="Normal"/>
        <w:spacing w:lineRule="auto" w:line="240" w:before="0" w:after="30"/>
        <w:jc w:val="left"/>
        <w:rPr/>
      </w:pPr>
      <w:r>
        <w:rPr>
          <w:rFonts w:eastAsia="Times New Roman" w:cs="Times New Roman"/>
          <w:sz w:val="24"/>
          <w:szCs w:val="24"/>
          <w:lang w:val="en-US" w:bidi="fa-IR"/>
        </w:rPr>
        <w:t>Elliott, W. B., Grant, S. M., &amp; Hodge, F. D. (2018). Negative news and investor trust: The role of $Firm and #CEO Twitter use. Journal of Accounting Research, 56(5), 1483–1519. https://doi.org/10.1111/1475-679X.12217</w:t>
      </w:r>
    </w:p>
    <w:p>
      <w:pPr>
        <w:pStyle w:val="Normal"/>
        <w:spacing w:lineRule="auto" w:line="240" w:before="0" w:after="30"/>
        <w:jc w:val="left"/>
        <w:rPr/>
      </w:pPr>
      <w:r>
        <w:rPr>
          <w:rFonts w:eastAsia="Times New Roman" w:cs="Times New Roman"/>
          <w:sz w:val="24"/>
          <w:szCs w:val="24"/>
          <w:lang w:val="en-US" w:bidi="fa-IR"/>
        </w:rPr>
        <w:t>Festinger, L. (1954). A theory of social comparison processes. Human Relations, 7(2), 117–140. https://doi.org/10.1177/001872675400700202</w:t>
      </w:r>
    </w:p>
    <w:p>
      <w:pPr>
        <w:pStyle w:val="Normal"/>
        <w:spacing w:lineRule="auto" w:line="240" w:before="0" w:after="30"/>
        <w:jc w:val="left"/>
        <w:rPr/>
      </w:pPr>
      <w:r>
        <w:rPr>
          <w:rFonts w:eastAsia="Times New Roman" w:cs="Times New Roman"/>
          <w:sz w:val="24"/>
          <w:szCs w:val="24"/>
          <w:lang w:val="en-US" w:bidi="fa-IR"/>
        </w:rPr>
        <w:t>Fornell, C., &amp; Larcker, D. F. (1981). Evaluating structural equation models with unobservable variables and measurement error. Journal of Marketing Research, 18(1), 39–50. https://doi.org/10.1177/002224378101800104</w:t>
      </w:r>
    </w:p>
    <w:p>
      <w:pPr>
        <w:pStyle w:val="Normal"/>
        <w:spacing w:lineRule="auto" w:line="240" w:before="0" w:after="30"/>
        <w:jc w:val="left"/>
        <w:rPr/>
      </w:pPr>
      <w:r>
        <w:rPr>
          <w:rFonts w:eastAsia="Times New Roman" w:cs="Times New Roman"/>
          <w:sz w:val="24"/>
          <w:szCs w:val="24"/>
          <w:lang w:val="en-US" w:bidi="fa-IR"/>
        </w:rPr>
        <w:t>Henseler, J., Ringle, C. M., &amp; Sarstedt, M. (2015). A new criterion for assessing discriminant validity in variance-based structural equation modeling. Journal of the Academy of Marketing Science, 43(1), 115–135. https://doi.org/10.1007/s11747-014-0403-8</w:t>
      </w:r>
    </w:p>
    <w:p>
      <w:pPr>
        <w:pStyle w:val="Normal"/>
        <w:spacing w:lineRule="auto" w:line="240" w:before="0" w:after="30"/>
        <w:jc w:val="left"/>
        <w:rPr/>
      </w:pPr>
      <w:r>
        <w:rPr>
          <w:rFonts w:eastAsia="Times New Roman" w:cs="Times New Roman"/>
          <w:sz w:val="24"/>
          <w:szCs w:val="24"/>
          <w:lang w:val="en-US" w:bidi="fa-IR"/>
        </w:rPr>
        <w:t>Hirshleifer, D. (2001). Investor psychology and asset pricing. The Journal of Finance, 56(4), 1533–1597. https://doi.org/10.1111/0022-1082.00379</w:t>
      </w:r>
    </w:p>
    <w:p>
      <w:pPr>
        <w:pStyle w:val="Normal"/>
        <w:spacing w:lineRule="auto" w:line="240" w:before="0" w:after="30"/>
        <w:jc w:val="left"/>
        <w:rPr/>
      </w:pPr>
      <w:r>
        <w:rPr>
          <w:rFonts w:eastAsia="Times New Roman" w:cs="Times New Roman"/>
          <w:sz w:val="24"/>
          <w:szCs w:val="24"/>
          <w:lang w:val="en-US" w:bidi="fa-IR"/>
        </w:rPr>
        <w:t>Hirshleifer, D. (2020). Presidential address: Social transmission bias in economics and finance. The Journal of Finance, 75(4), 1779–1831. https://doi.org/10.1111/jofi.12906</w:t>
      </w:r>
    </w:p>
    <w:p>
      <w:pPr>
        <w:pStyle w:val="Normal"/>
        <w:spacing w:lineRule="auto" w:line="240" w:before="0" w:after="30"/>
        <w:jc w:val="left"/>
        <w:rPr/>
      </w:pPr>
      <w:r>
        <w:rPr>
          <w:rFonts w:eastAsia="Times New Roman" w:cs="Times New Roman"/>
          <w:sz w:val="24"/>
          <w:szCs w:val="24"/>
          <w:lang w:val="en-US" w:bidi="fa-IR"/>
        </w:rPr>
        <w:t>Hirshleifer, D., &amp; Teoh, S. H. (2003a). Herd behaviour and cascading in capital markets: A review and synthesis. European Financial Management, 9(1), 25–66. https://doi.org/10.1111/1468-036X.00207</w:t>
      </w:r>
    </w:p>
    <w:p>
      <w:pPr>
        <w:pStyle w:val="Normal"/>
        <w:spacing w:lineRule="auto" w:line="240" w:before="0" w:after="30"/>
        <w:jc w:val="left"/>
        <w:rPr/>
      </w:pPr>
      <w:r>
        <w:rPr>
          <w:rFonts w:eastAsia="Times New Roman" w:cs="Times New Roman"/>
          <w:sz w:val="24"/>
          <w:szCs w:val="24"/>
          <w:lang w:val="en-US" w:bidi="fa-IR"/>
        </w:rPr>
        <w:t>Hirshleifer, D., &amp; Teoh, S. H. (2003b). Limited attention, information disclosure, and financial reporting. Journal of Accounting and Economics, 36(1–3), 337–386. https://doi.org/10.1016/j.jacceco.2003.10.002</w:t>
      </w:r>
    </w:p>
    <w:p>
      <w:pPr>
        <w:pStyle w:val="Normal"/>
        <w:spacing w:lineRule="auto" w:line="240" w:before="0" w:after="30"/>
        <w:jc w:val="left"/>
        <w:rPr/>
      </w:pPr>
      <w:r>
        <w:rPr>
          <w:rFonts w:eastAsia="Times New Roman" w:cs="Times New Roman"/>
          <w:sz w:val="24"/>
          <w:szCs w:val="24"/>
          <w:lang w:val="en-US" w:bidi="fa-IR"/>
        </w:rPr>
        <w:t>Hong, H., Kubik, J. D., &amp; Stein, J. C. (2004). Social interaction and stock-market participation. The Journal of Finance, 59(1), 137–163. https://doi.org/10.1111/j.1540-6261.2004.00629.x</w:t>
      </w:r>
    </w:p>
    <w:p>
      <w:pPr>
        <w:pStyle w:val="Normal"/>
        <w:spacing w:lineRule="auto" w:line="240" w:before="0" w:after="30"/>
        <w:jc w:val="left"/>
        <w:rPr/>
      </w:pPr>
      <w:r>
        <w:rPr>
          <w:rFonts w:eastAsia="Times New Roman" w:cs="Times New Roman"/>
          <w:sz w:val="24"/>
          <w:szCs w:val="24"/>
          <w:lang w:val="en-US" w:bidi="fa-IR"/>
        </w:rPr>
        <w:t>Hu, L., &amp; Bentler, P. M. (1999). Cutoff criteria for fit indexes in covariance structure analysis: Conventional criteria versus new alternatives. Structural Equation Modeling, 6(1), 1–55. https://doi.org/10.1080/10705519909540118</w:t>
      </w:r>
    </w:p>
    <w:p>
      <w:pPr>
        <w:pStyle w:val="Normal"/>
        <w:spacing w:lineRule="auto" w:line="240" w:before="0" w:after="30"/>
        <w:jc w:val="left"/>
        <w:rPr/>
      </w:pPr>
      <w:r>
        <w:rPr>
          <w:rFonts w:eastAsia="Times New Roman" w:cs="Times New Roman"/>
          <w:sz w:val="24"/>
          <w:szCs w:val="24"/>
          <w:lang w:val="en-US" w:bidi="fa-IR"/>
        </w:rPr>
        <w:t>Igolkina, A. A., &amp; Meshcheryakov, G. (2020). semopy: A Python package for structural equation modeling. Structural Equation Modeling, 27(6), 952–963. https://doi.org/10.1080/10705511.2019.1704289</w:t>
      </w:r>
    </w:p>
    <w:p>
      <w:pPr>
        <w:pStyle w:val="Normal"/>
        <w:spacing w:lineRule="auto" w:line="240" w:before="0" w:after="30"/>
        <w:jc w:val="left"/>
        <w:rPr/>
      </w:pPr>
      <w:r>
        <w:rPr>
          <w:rFonts w:eastAsia="Times New Roman" w:cs="Times New Roman"/>
          <w:sz w:val="24"/>
          <w:szCs w:val="24"/>
          <w:lang w:val="en-US" w:bidi="fa-IR"/>
        </w:rPr>
        <w:t>Kline, R. B. (2023). Principles and practice of structural equation modeling (5th ed.). Guilford Press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Kumar, S., &amp; Goyal, N. (2015). Behavioural biases in investment decision making – a systematic literature review. Qualitative Research in Financial Markets, 7(1), 88–108. https://doi.org/10.1108/QRFM-06-2014-0022</w:t>
      </w:r>
    </w:p>
    <w:p>
      <w:pPr>
        <w:pStyle w:val="Normal"/>
        <w:spacing w:lineRule="auto" w:line="240" w:before="0" w:after="30"/>
        <w:jc w:val="left"/>
        <w:rPr/>
      </w:pPr>
      <w:r>
        <w:rPr>
          <w:rFonts w:eastAsia="Times New Roman" w:cs="Times New Roman"/>
          <w:sz w:val="24"/>
          <w:szCs w:val="24"/>
          <w:lang w:val="en-US" w:bidi="fa-IR"/>
        </w:rPr>
        <w:t>Lawrence, A. (2013). Individual investors and financial disclosure. Journal of Accounting and Economics, 56(1), 130–147. https://doi.org/10.1016/j.jacceco.2013.05.001</w:t>
      </w:r>
    </w:p>
    <w:p>
      <w:pPr>
        <w:pStyle w:val="Normal"/>
        <w:spacing w:lineRule="auto" w:line="240" w:before="0" w:after="30"/>
        <w:jc w:val="left"/>
        <w:rPr/>
      </w:pPr>
      <w:r>
        <w:rPr>
          <w:rFonts w:eastAsia="Times New Roman" w:cs="Times New Roman"/>
          <w:sz w:val="24"/>
          <w:szCs w:val="24"/>
          <w:lang w:val="en-US" w:bidi="fa-IR"/>
        </w:rPr>
        <w:t>Lerner, J. S., Li, Y., Valdesolo, P., &amp; Kassam, K. S. (2015). Emotion and decision making. Annual Review of Psychology, 66, 799–823. https://doi.org/10.1146/annurev-psych-010213-115043</w:t>
      </w:r>
    </w:p>
    <w:p>
      <w:pPr>
        <w:pStyle w:val="Normal"/>
        <w:spacing w:lineRule="auto" w:line="240" w:before="0" w:after="30"/>
        <w:jc w:val="left"/>
        <w:rPr/>
      </w:pPr>
      <w:r>
        <w:rPr>
          <w:rFonts w:eastAsia="Times New Roman" w:cs="Times New Roman"/>
          <w:sz w:val="24"/>
          <w:szCs w:val="24"/>
          <w:lang w:val="en-US" w:bidi="fa-IR"/>
        </w:rPr>
        <w:t>Li, C.-H. (2016). Confirmatory factor analysis with ordinal data: Comparing robust maximum likelihood and diagonally weighted least squares. Behavior Research Methods, 48(3), 936–949. https://doi.org/10.3758/s13428-015-0619-7</w:t>
      </w:r>
    </w:p>
    <w:p>
      <w:pPr>
        <w:pStyle w:val="Normal"/>
        <w:spacing w:lineRule="auto" w:line="240" w:before="0" w:after="30"/>
        <w:jc w:val="left"/>
        <w:rPr/>
      </w:pPr>
      <w:r>
        <w:rPr>
          <w:rFonts w:eastAsia="Times New Roman" w:cs="Times New Roman"/>
          <w:sz w:val="24"/>
          <w:szCs w:val="24"/>
          <w:lang w:val="en-US" w:bidi="fa-IR"/>
        </w:rPr>
        <w:t>Little, T. D., Bovaird, J. A., &amp; Widaman, K. F. (2006). On the merits of orthogonalizing powered and product terms: Implications for modeling interactions among latent variables. Structural Equation Modeling, 13(4), 497–519. https://doi.org/10.1207/s15328007sem1304_1</w:t>
      </w:r>
    </w:p>
    <w:p>
      <w:pPr>
        <w:pStyle w:val="Normal"/>
        <w:spacing w:lineRule="auto" w:line="240" w:before="0" w:after="30"/>
        <w:jc w:val="left"/>
        <w:rPr/>
      </w:pPr>
      <w:r>
        <w:rPr>
          <w:rFonts w:eastAsia="Times New Roman" w:cs="Times New Roman"/>
          <w:sz w:val="24"/>
          <w:szCs w:val="24"/>
          <w:lang w:val="en-US" w:bidi="fa-IR"/>
        </w:rPr>
        <w:t>Loomes, G., &amp; Sugden, R. (1982). Regret theory: An alternative theory of rational choice under uncertainty. The Economic Journal, 92(368), 805–824. https://doi.org/10.2307/2232669</w:t>
      </w:r>
    </w:p>
    <w:p>
      <w:pPr>
        <w:pStyle w:val="Normal"/>
        <w:spacing w:lineRule="auto" w:line="240" w:before="0" w:after="30"/>
        <w:jc w:val="left"/>
        <w:rPr/>
      </w:pPr>
      <w:r>
        <w:rPr>
          <w:rFonts w:eastAsia="Times New Roman" w:cs="Times New Roman"/>
          <w:sz w:val="24"/>
          <w:szCs w:val="24"/>
          <w:lang w:val="en-US" w:bidi="fa-IR"/>
        </w:rPr>
        <w:t>MacCallum, R. C., Browne, M. W., &amp; Sugawara, H. M. (1996). Power analysis and determination of sample size for covariance structure modeling. Psychological Methods, 1(2), 130–149. https://doi.org/10.1037/1082-989X.1.2.130</w:t>
      </w:r>
    </w:p>
    <w:p>
      <w:pPr>
        <w:pStyle w:val="Normal"/>
        <w:spacing w:lineRule="auto" w:line="240" w:before="0" w:after="30"/>
        <w:jc w:val="left"/>
        <w:rPr/>
      </w:pPr>
      <w:r>
        <w:rPr>
          <w:rFonts w:eastAsia="Times New Roman" w:cs="Times New Roman"/>
          <w:sz w:val="24"/>
          <w:szCs w:val="24"/>
          <w:lang w:val="en-US" w:bidi="fa-IR"/>
        </w:rPr>
        <w:t>Mardia, K. V. (1970). Measures of multivariate skewness and kurtosis with applications. Biometrika, 57(3), 519–530. https://doi.org/10.1093/biomet/57.3.519</w:t>
      </w:r>
    </w:p>
    <w:p>
      <w:pPr>
        <w:pStyle w:val="Normal"/>
        <w:spacing w:lineRule="auto" w:line="240" w:before="0" w:after="30"/>
        <w:jc w:val="left"/>
        <w:rPr/>
      </w:pPr>
      <w:r>
        <w:rPr>
          <w:rFonts w:eastAsia="Times New Roman" w:cs="Times New Roman"/>
          <w:sz w:val="24"/>
          <w:szCs w:val="24"/>
          <w:lang w:val="en-US" w:bidi="fa-IR"/>
        </w:rPr>
        <w:t>Marsh, H. W., Wen, Z., &amp; Hau, K.-T. (2004). Structural equation models of latent interactions: Evaluation of alternative estimation strategies and indicator construction. Psychological Methods, 9(3), 275–300. https://doi.org/10.1037/1082-989X.9.3.275</w:t>
      </w:r>
    </w:p>
    <w:p>
      <w:pPr>
        <w:pStyle w:val="Normal"/>
        <w:spacing w:lineRule="auto" w:line="240" w:before="0" w:after="30"/>
        <w:jc w:val="left"/>
        <w:rPr/>
      </w:pPr>
      <w:r>
        <w:rPr>
          <w:rFonts w:eastAsia="Times New Roman" w:cs="Times New Roman"/>
          <w:sz w:val="24"/>
          <w:szCs w:val="24"/>
          <w:lang w:val="en-US" w:bidi="fa-IR"/>
        </w:rPr>
        <w:t>Miller, G. S., &amp; Skinner, D. J. (2015). The evolving disclosure landscape: How changes in technology, the media, and capital markets are affecting disclosure. Journal of Accounting Research, 53(2), 221–239. https://doi.org/10.1111/1475-679X.12075</w:t>
      </w:r>
    </w:p>
    <w:p>
      <w:pPr>
        <w:pStyle w:val="Normal"/>
        <w:spacing w:lineRule="auto" w:line="240" w:before="0" w:after="30"/>
        <w:jc w:val="left"/>
        <w:rPr/>
      </w:pPr>
      <w:r>
        <w:rPr>
          <w:rFonts w:eastAsia="Times New Roman" w:cs="Times New Roman"/>
          <w:sz w:val="24"/>
          <w:szCs w:val="24"/>
          <w:lang w:val="en-US" w:bidi="fa-IR"/>
        </w:rPr>
        <w:t>Milyavskaya, M., Saffran, M., Hope, N., &amp; Koestner, R. (2018). Fear of missing out: Prevalence, dynamics, and consequences of experiencing FOMO. Motivation and Emotion, 42(5), 725–737. https://doi.org/10.1007/s11031-018-9683-5</w:t>
      </w:r>
    </w:p>
    <w:p>
      <w:pPr>
        <w:pStyle w:val="Normal"/>
        <w:spacing w:lineRule="auto" w:line="240" w:before="0" w:after="30"/>
        <w:jc w:val="left"/>
        <w:rPr/>
      </w:pPr>
      <w:r>
        <w:rPr>
          <w:rFonts w:eastAsia="Times New Roman" w:cs="Times New Roman"/>
          <w:sz w:val="24"/>
          <w:szCs w:val="24"/>
          <w:lang w:val="en-US" w:bidi="fa-IR"/>
        </w:rPr>
        <w:t>Odean, T. (1998). Are investors reluctant to realize their losses? The Journal of Finance, 53(5), 1775–1798. https://doi.org/10.1111/0022-1082.00072</w:t>
      </w:r>
    </w:p>
    <w:p>
      <w:pPr>
        <w:pStyle w:val="Normal"/>
        <w:spacing w:lineRule="auto" w:line="240" w:before="0" w:after="30"/>
        <w:jc w:val="left"/>
        <w:rPr/>
      </w:pPr>
      <w:r>
        <w:rPr>
          <w:rFonts w:eastAsia="Times New Roman" w:cs="Times New Roman"/>
          <w:sz w:val="24"/>
          <w:szCs w:val="24"/>
          <w:lang w:val="en-US" w:bidi="fa-IR"/>
        </w:rPr>
        <w:t>Parker, A. M., &amp; Fischhoff, B. (2005). Decision-making competence: External validation through an individual-differences approach. Journal of Behavioral Decision Making, 18(1), 1–27. https://doi.org/10.1002/bdm.481</w:t>
      </w:r>
    </w:p>
    <w:p>
      <w:pPr>
        <w:pStyle w:val="Normal"/>
        <w:spacing w:lineRule="auto" w:line="240" w:before="0" w:after="30"/>
        <w:jc w:val="left"/>
        <w:rPr/>
      </w:pPr>
      <w:r>
        <w:rPr>
          <w:rFonts w:eastAsia="Times New Roman" w:cs="Times New Roman"/>
          <w:sz w:val="24"/>
          <w:szCs w:val="24"/>
          <w:lang w:val="en-US" w:bidi="fa-IR"/>
        </w:rPr>
        <w:t>Podsakoff, P. M., MacKenzie, S. B., Lee, J.-Y., &amp; Podsakoff, N. P. (2003). Common method biases in behavioral research: A critical review of the literature and recommended remedies. Journal of Applied Psychology, 88(5), 879–903. https://doi.org/10.1037/0021-9010.88.5.879</w:t>
      </w:r>
    </w:p>
    <w:p>
      <w:pPr>
        <w:pStyle w:val="Normal"/>
        <w:spacing w:lineRule="auto" w:line="240" w:before="0" w:after="30"/>
        <w:jc w:val="left"/>
        <w:rPr/>
      </w:pPr>
      <w:r>
        <w:rPr>
          <w:rFonts w:eastAsia="Times New Roman" w:cs="Times New Roman"/>
          <w:sz w:val="24"/>
          <w:szCs w:val="24"/>
          <w:lang w:val="en-US" w:bidi="fa-IR"/>
        </w:rPr>
        <w:t>Preacher, K. J., &amp; Hayes, A. F. (2008). Asymptotic and resampling strategies for assessing and comparing indirect effects in multiple mediator models. Behavior Research Methods, 40(3), 879–891. https://doi.org/10.3758/BRM.40.3.879</w:t>
      </w:r>
    </w:p>
    <w:p>
      <w:pPr>
        <w:pStyle w:val="Normal"/>
        <w:spacing w:lineRule="auto" w:line="240" w:before="0" w:after="30"/>
        <w:jc w:val="left"/>
        <w:rPr/>
      </w:pPr>
      <w:r>
        <w:rPr>
          <w:rFonts w:eastAsia="Times New Roman" w:cs="Times New Roman"/>
          <w:sz w:val="24"/>
          <w:szCs w:val="24"/>
          <w:lang w:val="en-US" w:bidi="fa-IR"/>
        </w:rPr>
        <w:t>Preacher, K. J., Rucker, D. D., &amp; Hayes, A. F. (2007). Addressing moderated mediation hypotheses: Theory, methods, and prescriptions. Multivariate Behavioral Research, 42(1), 185–227. https://doi.org/10.1080/00273170701341316</w:t>
      </w:r>
    </w:p>
    <w:p>
      <w:pPr>
        <w:pStyle w:val="Normal"/>
        <w:spacing w:lineRule="auto" w:line="240" w:before="0" w:after="30"/>
        <w:jc w:val="left"/>
        <w:rPr/>
      </w:pPr>
      <w:r>
        <w:rPr>
          <w:rFonts w:eastAsia="Times New Roman" w:cs="Times New Roman"/>
          <w:sz w:val="24"/>
          <w:szCs w:val="24"/>
          <w:lang w:val="en-US" w:bidi="fa-IR"/>
        </w:rPr>
        <w:t>Przybylski, A. K., Murayama, K., DeHaan, C. R., &amp; Gladwell, V. (2013). Motivational, emotional, and behavioral correlates of fear of missing out. Computers in Human Behavior, 29(4), 1841–1848. https://doi.org/10.1016/j.chb.2013.02.014</w:t>
      </w:r>
    </w:p>
    <w:p>
      <w:pPr>
        <w:pStyle w:val="Normal"/>
        <w:spacing w:lineRule="auto" w:line="240" w:before="0" w:after="30"/>
        <w:jc w:val="left"/>
        <w:rPr/>
      </w:pPr>
      <w:r>
        <w:rPr>
          <w:rFonts w:eastAsia="Times New Roman" w:cs="Times New Roman"/>
          <w:sz w:val="24"/>
          <w:szCs w:val="24"/>
          <w:lang w:val="en-US" w:bidi="fa-IR"/>
        </w:rPr>
        <w:t>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pStyle w:val="Normal"/>
        <w:spacing w:lineRule="auto" w:line="240" w:before="0" w:after="30"/>
        <w:jc w:val="left"/>
        <w:rPr/>
      </w:pPr>
      <w:r>
        <w:rPr>
          <w:rFonts w:eastAsia="Times New Roman" w:cs="Times New Roman"/>
          <w:sz w:val="24"/>
          <w:szCs w:val="24"/>
          <w:lang w:val="en-US" w:bidi="fa-IR"/>
        </w:rPr>
        <w:t>Scharfstein, D. S., &amp; Stein, J. C. (1990). Herd behavior and investment. The American Economic Review, 80(3), 465–479</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Shiller, R. J. (2017). Narrative economics. American Economic Review, 107(4), 967–1004. https://doi.org/10.1257/aer.107.4.967</w:t>
      </w:r>
    </w:p>
    <w:p>
      <w:pPr>
        <w:pStyle w:val="Normal"/>
        <w:spacing w:lineRule="auto" w:line="240" w:before="0" w:after="30"/>
        <w:jc w:val="left"/>
        <w:rPr/>
      </w:pPr>
      <w:r>
        <w:rPr>
          <w:rFonts w:eastAsia="Times New Roman" w:cs="Times New Roman"/>
          <w:sz w:val="24"/>
          <w:szCs w:val="24"/>
          <w:lang w:val="en-US" w:bidi="fa-IR"/>
        </w:rPr>
        <w:t>Taylor, A. B., MacKinnon, D. P., &amp; Tein, J.-Y. (2008). Tests of the three-path mediated effect. Organizational Research Methods, 11(2), 241–269. https://doi.org/10.1177/1094428107300344</w:t>
      </w:r>
    </w:p>
    <w:p>
      <w:pPr>
        <w:pStyle w:val="Normal"/>
        <w:spacing w:lineRule="auto" w:line="240" w:before="0" w:after="30"/>
        <w:jc w:val="left"/>
        <w:rPr/>
      </w:pPr>
      <w:r>
        <w:rPr>
          <w:rFonts w:eastAsia="Times New Roman" w:cs="Times New Roman"/>
          <w:sz w:val="24"/>
          <w:szCs w:val="24"/>
          <w:lang w:val="en-US" w:bidi="fa-IR"/>
        </w:rPr>
        <w:t>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even" r:id="rId5"/>
      <w:footerReference w:type="default" r:id="rId6"/>
      <w:footerReference w:type="first" r:id="rId7"/>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09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25</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25</w:t>
    </w:r>
    <w:r>
      <w:rPr>
        <w:rtl w:val="true"/>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spacing w:lineRule="auto" w:line="240" w:before="0" w:after="0"/>
        <w:jc w:val="left"/>
        <w:rPr/>
      </w:pPr>
      <w:r>
        <w:rPr>
          <w:rStyle w:val="FootnoteCharacters"/>
        </w:rPr>
        <w:footnoteRef/>
      </w:r>
      <w:r>
        <w:rPr>
          <w:rFonts w:cs="Times New Roman"/>
          <w:sz w:val="22"/>
          <w:szCs w:val="22"/>
        </w:rPr>
        <w:t>. Chen et al.</w:t>
      </w:r>
    </w:p>
  </w:footnote>
  <w:footnote w:id="3">
    <w:p>
      <w:pPr>
        <w:pStyle w:val="FootnoteText"/>
        <w:bidi w:val="0"/>
        <w:spacing w:lineRule="auto" w:line="240" w:before="0" w:after="0"/>
        <w:jc w:val="left"/>
        <w:rPr/>
      </w:pPr>
      <w:r>
        <w:rPr>
          <w:rStyle w:val="FootnoteCharacters"/>
        </w:rPr>
        <w:footnoteRef/>
      </w:r>
      <w:r>
        <w:rPr>
          <w:rFonts w:cs="Times New Roman"/>
          <w:sz w:val="22"/>
          <w:szCs w:val="22"/>
        </w:rPr>
        <w:t>. Bollen et al.</w:t>
      </w:r>
    </w:p>
  </w:footnote>
  <w:footnote w:id="4">
    <w:p>
      <w:pPr>
        <w:pStyle w:val="FootnoteText"/>
        <w:bidi w:val="0"/>
        <w:spacing w:lineRule="auto" w:line="240" w:before="0" w:after="0"/>
        <w:jc w:val="left"/>
        <w:rPr/>
      </w:pPr>
      <w:r>
        <w:rPr>
          <w:rStyle w:val="FootnoteCharacters"/>
        </w:rPr>
        <w:footnoteRef/>
      </w:r>
      <w:r>
        <w:rPr>
          <w:rFonts w:cs="Times New Roman"/>
          <w:sz w:val="22"/>
          <w:szCs w:val="22"/>
        </w:rPr>
        <w:t>. Da et al.</w:t>
      </w:r>
    </w:p>
  </w:footnote>
  <w:footnote w:id="5">
    <w:p>
      <w:pPr>
        <w:pStyle w:val="FootnoteText"/>
        <w:bidi w:val="0"/>
        <w:spacing w:lineRule="auto" w:line="240" w:before="0" w:after="0"/>
        <w:jc w:val="left"/>
        <w:rPr/>
      </w:pPr>
      <w:r>
        <w:rPr>
          <w:rStyle w:val="FootnoteCharacters"/>
        </w:rPr>
        <w:footnoteRef/>
      </w:r>
      <w:r>
        <w:rPr>
          <w:rFonts w:cs="Times New Roman"/>
          <w:sz w:val="22"/>
          <w:szCs w:val="22"/>
        </w:rPr>
        <w:t>. Barber &amp; Odean</w:t>
      </w:r>
    </w:p>
  </w:footnote>
  <w:footnote w:id="6">
    <w:p>
      <w:pPr>
        <w:pStyle w:val="FootnoteText"/>
        <w:bidi w:val="0"/>
        <w:spacing w:lineRule="auto" w:line="240" w:before="0" w:after="0"/>
        <w:jc w:val="left"/>
        <w:rPr/>
      </w:pPr>
      <w:r>
        <w:rPr>
          <w:rStyle w:val="FootnoteCharacters"/>
        </w:rPr>
        <w:footnoteRef/>
      </w:r>
      <w:r>
        <w:rPr>
          <w:rFonts w:cs="Times New Roman"/>
          <w:sz w:val="22"/>
          <w:szCs w:val="22"/>
        </w:rPr>
        <w:t>. Cookson &amp; Niessner</w:t>
      </w:r>
    </w:p>
  </w:footnote>
  <w:footnote w:id="7">
    <w:p>
      <w:pPr>
        <w:pStyle w:val="FootnoteText"/>
        <w:bidi w:val="0"/>
        <w:spacing w:lineRule="auto" w:line="240" w:before="0" w:after="0"/>
        <w:jc w:val="left"/>
        <w:rPr/>
      </w:pPr>
      <w:r>
        <w:rPr>
          <w:rStyle w:val="FootnoteCharacters"/>
        </w:rPr>
        <w:footnoteRef/>
      </w:r>
      <w:r>
        <w:rPr>
          <w:rFonts w:cs="Times New Roman"/>
          <w:sz w:val="22"/>
          <w:szCs w:val="22"/>
        </w:rPr>
        <w:t>. Cookson et al.</w:t>
      </w:r>
    </w:p>
  </w:footnote>
  <w:footnote w:id="8">
    <w:p>
      <w:pPr>
        <w:pStyle w:val="FootnoteText"/>
        <w:bidi w:val="0"/>
        <w:spacing w:lineRule="auto" w:line="240" w:before="0" w:after="0"/>
        <w:jc w:val="left"/>
        <w:rPr/>
      </w:pPr>
      <w:r>
        <w:rPr>
          <w:rStyle w:val="FootnoteCharacters"/>
        </w:rPr>
        <w:footnoteRef/>
      </w:r>
      <w:r>
        <w:rPr>
          <w:rFonts w:cs="Times New Roman"/>
          <w:sz w:val="22"/>
          <w:szCs w:val="22"/>
        </w:rPr>
        <w:t>. Hirshleifer</w:t>
      </w:r>
    </w:p>
  </w:footnote>
  <w:footnote w:id="9">
    <w:p>
      <w:pPr>
        <w:pStyle w:val="FootnoteText"/>
        <w:bidi w:val="0"/>
        <w:spacing w:lineRule="auto" w:line="240" w:before="0" w:after="0"/>
        <w:jc w:val="left"/>
        <w:rPr/>
      </w:pPr>
      <w:r>
        <w:rPr>
          <w:rStyle w:val="FootnoteCharacters"/>
        </w:rPr>
        <w:footnoteRef/>
      </w:r>
      <w:r>
        <w:rPr>
          <w:rFonts w:cs="Times New Roman"/>
          <w:sz w:val="22"/>
          <w:szCs w:val="22"/>
        </w:rPr>
        <w:t>. Information cascade theory</w:t>
      </w:r>
    </w:p>
  </w:footnote>
  <w:footnote w:id="10">
    <w:p>
      <w:pPr>
        <w:pStyle w:val="FootnoteText"/>
        <w:bidi w:val="0"/>
        <w:spacing w:lineRule="auto" w:line="240" w:before="0" w:after="0"/>
        <w:jc w:val="left"/>
        <w:rPr/>
      </w:pPr>
      <w:r>
        <w:rPr>
          <w:rStyle w:val="FootnoteCharacters"/>
        </w:rPr>
        <w:footnoteRef/>
      </w:r>
      <w:r>
        <w:rPr>
          <w:rFonts w:cs="Times New Roman"/>
          <w:sz w:val="22"/>
          <w:szCs w:val="22"/>
        </w:rPr>
        <w:t>. Bikhchandani et al.</w:t>
      </w:r>
    </w:p>
  </w:footnote>
  <w:footnote w:id="11">
    <w:p>
      <w:pPr>
        <w:pStyle w:val="FootnoteText"/>
        <w:bidi w:val="0"/>
        <w:spacing w:lineRule="auto" w:line="240" w:before="0" w:after="0"/>
        <w:jc w:val="left"/>
        <w:rPr/>
      </w:pPr>
      <w:r>
        <w:rPr>
          <w:rStyle w:val="FootnoteCharacters"/>
        </w:rPr>
        <w:footnoteRef/>
      </w:r>
      <w:r>
        <w:rPr>
          <w:rFonts w:cs="Times New Roman"/>
          <w:sz w:val="22"/>
          <w:szCs w:val="22"/>
        </w:rPr>
        <w:t>. Banerjee</w:t>
      </w:r>
    </w:p>
  </w:footnote>
  <w:footnote w:id="12">
    <w:p>
      <w:pPr>
        <w:pStyle w:val="FootnoteText"/>
        <w:bidi w:val="0"/>
        <w:spacing w:lineRule="auto" w:line="240" w:before="0" w:after="0"/>
        <w:jc w:val="left"/>
        <w:rPr/>
      </w:pPr>
      <w:r>
        <w:rPr>
          <w:rStyle w:val="FootnoteCharacters"/>
        </w:rPr>
        <w:footnoteRef/>
      </w:r>
      <w:r>
        <w:rPr>
          <w:rFonts w:cs="Times New Roman"/>
          <w:sz w:val="22"/>
          <w:szCs w:val="22"/>
        </w:rPr>
        <w:t>. Fear of Missing Out</w:t>
      </w:r>
    </w:p>
  </w:footnote>
  <w:footnote w:id="13">
    <w:p>
      <w:pPr>
        <w:pStyle w:val="FootnoteText"/>
        <w:bidi w:val="0"/>
        <w:spacing w:lineRule="auto" w:line="240" w:before="0" w:after="0"/>
        <w:jc w:val="left"/>
        <w:rPr/>
      </w:pPr>
      <w:r>
        <w:rPr>
          <w:rStyle w:val="FootnoteCharacters"/>
        </w:rPr>
        <w:footnoteRef/>
      </w:r>
      <w:r>
        <w:rPr>
          <w:rFonts w:cs="Times New Roman"/>
          <w:sz w:val="22"/>
          <w:szCs w:val="22"/>
        </w:rPr>
        <w:t>. Przybylski et al.</w:t>
      </w:r>
    </w:p>
  </w:footnote>
  <w:footnote w:id="14">
    <w:p>
      <w:pPr>
        <w:pStyle w:val="FootnoteText"/>
        <w:bidi w:val="0"/>
        <w:spacing w:lineRule="auto" w:line="240" w:before="0" w:after="0"/>
        <w:jc w:val="left"/>
        <w:rPr/>
      </w:pPr>
      <w:r>
        <w:rPr>
          <w:rStyle w:val="FootnoteCharacters"/>
        </w:rPr>
        <w:footnoteRef/>
      </w:r>
      <w:r>
        <w:rPr>
          <w:rFonts w:cs="Times New Roman"/>
          <w:sz w:val="22"/>
          <w:szCs w:val="22"/>
        </w:rPr>
        <w:t>. Social comparison theory</w:t>
      </w:r>
    </w:p>
  </w:footnote>
  <w:footnote w:id="15">
    <w:p>
      <w:pPr>
        <w:pStyle w:val="FootnoteText"/>
        <w:bidi w:val="0"/>
        <w:spacing w:lineRule="auto" w:line="240" w:before="0" w:after="0"/>
        <w:jc w:val="left"/>
        <w:rPr/>
      </w:pPr>
      <w:r>
        <w:rPr>
          <w:rStyle w:val="FootnoteCharacters"/>
        </w:rPr>
        <w:footnoteRef/>
      </w:r>
      <w:r>
        <w:rPr>
          <w:rFonts w:cs="Times New Roman"/>
          <w:sz w:val="22"/>
          <w:szCs w:val="22"/>
        </w:rPr>
        <w:t>. Festinger</w:t>
      </w:r>
    </w:p>
  </w:footnote>
  <w:footnote w:id="16">
    <w:p>
      <w:pPr>
        <w:pStyle w:val="FootnoteText"/>
        <w:bidi w:val="0"/>
        <w:spacing w:lineRule="auto" w:line="240" w:before="0" w:after="0"/>
        <w:jc w:val="left"/>
        <w:rPr/>
      </w:pPr>
      <w:r>
        <w:rPr>
          <w:rStyle w:val="FootnoteCharacters"/>
        </w:rPr>
        <w:footnoteRef/>
      </w:r>
      <w:r>
        <w:rPr>
          <w:rFonts w:cs="Times New Roman"/>
          <w:sz w:val="22"/>
          <w:szCs w:val="22"/>
        </w:rPr>
        <w:t>. Parker &amp; Fischhoff</w:t>
      </w:r>
    </w:p>
  </w:footnote>
  <w:footnote w:id="17">
    <w:p>
      <w:pPr>
        <w:pStyle w:val="FootnoteText"/>
        <w:bidi w:val="0"/>
        <w:spacing w:lineRule="auto" w:line="240" w:before="0" w:after="0"/>
        <w:jc w:val="left"/>
        <w:rPr/>
      </w:pPr>
      <w:r>
        <w:rPr>
          <w:rStyle w:val="FootnoteCharacters"/>
        </w:rPr>
        <w:footnoteRef/>
      </w:r>
      <w:r>
        <w:rPr>
          <w:rFonts w:cs="Times New Roman"/>
          <w:sz w:val="22"/>
          <w:szCs w:val="22"/>
        </w:rPr>
        <w:t>. Bruine de Bruin et al.</w:t>
      </w:r>
    </w:p>
  </w:footnote>
  <w:footnote w:id="18">
    <w:p>
      <w:pPr>
        <w:pStyle w:val="FootnoteText"/>
        <w:bidi w:val="0"/>
        <w:spacing w:lineRule="auto" w:line="240" w:before="0" w:after="0"/>
        <w:jc w:val="left"/>
        <w:rPr/>
      </w:pPr>
      <w:r>
        <w:rPr>
          <w:rStyle w:val="FootnoteCharacters"/>
        </w:rPr>
        <w:footnoteRef/>
      </w:r>
      <w:r>
        <w:rPr>
          <w:rFonts w:cs="Times New Roman"/>
          <w:sz w:val="22"/>
          <w:szCs w:val="22"/>
        </w:rPr>
        <w:t>. Odean</w:t>
      </w:r>
    </w:p>
  </w:footnote>
  <w:footnote w:id="19">
    <w:p>
      <w:pPr>
        <w:pStyle w:val="FootnoteText"/>
        <w:bidi w:val="0"/>
        <w:spacing w:lineRule="auto" w:line="240" w:before="0" w:after="0"/>
        <w:jc w:val="left"/>
        <w:rPr/>
      </w:pPr>
      <w:r>
        <w:rPr>
          <w:rStyle w:val="FootnoteCharacters"/>
        </w:rPr>
        <w:footnoteRef/>
      </w:r>
      <w:r>
        <w:rPr>
          <w:rFonts w:cs="Times New Roman"/>
          <w:sz w:val="22"/>
          <w:szCs w:val="22"/>
        </w:rPr>
        <w:t>. Kumar &amp; Goyal</w:t>
      </w:r>
    </w:p>
  </w:footnote>
  <w:footnote w:id="20">
    <w:p>
      <w:pPr>
        <w:pStyle w:val="FootnoteText"/>
        <w:bidi w:val="0"/>
        <w:spacing w:lineRule="auto" w:line="240" w:before="0" w:after="0"/>
        <w:jc w:val="left"/>
        <w:rPr/>
      </w:pPr>
      <w:r>
        <w:rPr>
          <w:rStyle w:val="FootnoteCharacters"/>
        </w:rPr>
        <w:footnoteRef/>
      </w:r>
      <w:r>
        <w:rPr>
          <w:rFonts w:cs="Times New Roman"/>
          <w:sz w:val="22"/>
          <w:szCs w:val="22"/>
        </w:rPr>
        <w:t>. Shiller</w:t>
      </w:r>
    </w:p>
  </w:footnote>
  <w:footnote w:id="21">
    <w:p>
      <w:pPr>
        <w:pStyle w:val="FootnoteText"/>
        <w:bidi w:val="0"/>
        <w:spacing w:lineRule="auto" w:line="240" w:before="0" w:after="0"/>
        <w:jc w:val="left"/>
        <w:rPr/>
      </w:pPr>
      <w:r>
        <w:rPr>
          <w:rStyle w:val="FootnoteCharacters"/>
        </w:rPr>
        <w:footnoteRef/>
      </w:r>
      <w:r>
        <w:rPr>
          <w:rFonts w:cs="Times New Roman"/>
          <w:sz w:val="22"/>
          <w:szCs w:val="22"/>
        </w:rPr>
        <w:t>. Hong et al.</w:t>
      </w:r>
    </w:p>
  </w:footnote>
  <w:footnote w:id="22">
    <w:p>
      <w:pPr>
        <w:pStyle w:val="FootnoteText"/>
        <w:bidi w:val="0"/>
        <w:spacing w:lineRule="auto" w:line="240" w:before="0" w:after="0"/>
        <w:jc w:val="left"/>
        <w:rPr/>
      </w:pPr>
      <w:r>
        <w:rPr>
          <w:rStyle w:val="FootnoteCharacters"/>
        </w:rPr>
        <w:footnoteRef/>
      </w:r>
      <w:r>
        <w:rPr>
          <w:rFonts w:cs="Times New Roman"/>
          <w:sz w:val="22"/>
          <w:szCs w:val="22"/>
        </w:rPr>
        <w:t>. Abel et al.</w:t>
      </w:r>
    </w:p>
  </w:footnote>
  <w:footnote w:id="23">
    <w:p>
      <w:pPr>
        <w:pStyle w:val="FootnoteText"/>
        <w:bidi w:val="0"/>
        <w:spacing w:lineRule="auto" w:line="240" w:before="0" w:after="0"/>
        <w:jc w:val="left"/>
        <w:rPr/>
      </w:pPr>
      <w:r>
        <w:rPr>
          <w:rStyle w:val="FootnoteCharacters"/>
        </w:rPr>
        <w:footnoteRef/>
      </w:r>
      <w:r>
        <w:rPr>
          <w:rFonts w:cs="Times New Roman"/>
          <w:sz w:val="22"/>
          <w:szCs w:val="22"/>
        </w:rPr>
        <w:t>. Milyavskaya et al.</w:t>
      </w:r>
    </w:p>
  </w:footnote>
  <w:footnote w:id="24">
    <w:p>
      <w:pPr>
        <w:pStyle w:val="FootnoteText"/>
        <w:bidi w:val="0"/>
        <w:spacing w:lineRule="auto" w:line="240" w:before="0" w:after="0"/>
        <w:jc w:val="left"/>
        <w:rPr/>
      </w:pPr>
      <w:r>
        <w:rPr>
          <w:rStyle w:val="FootnoteCharacters"/>
        </w:rPr>
        <w:footnoteRef/>
      </w:r>
      <w:r>
        <w:rPr>
          <w:rFonts w:cs="Times New Roman"/>
          <w:sz w:val="22"/>
          <w:szCs w:val="22"/>
        </w:rPr>
        <w:t>. Regret theory</w:t>
      </w:r>
    </w:p>
  </w:footnote>
  <w:footnote w:id="25">
    <w:p>
      <w:pPr>
        <w:pStyle w:val="FootnoteText"/>
        <w:bidi w:val="0"/>
        <w:spacing w:lineRule="auto" w:line="240" w:before="0" w:after="0"/>
        <w:jc w:val="left"/>
        <w:rPr/>
      </w:pPr>
      <w:r>
        <w:rPr>
          <w:rStyle w:val="FootnoteCharacters"/>
        </w:rPr>
        <w:footnoteRef/>
      </w:r>
      <w:r>
        <w:rPr>
          <w:rFonts w:cs="Times New Roman"/>
          <w:sz w:val="22"/>
          <w:szCs w:val="22"/>
        </w:rPr>
        <w:t>. Loomes &amp; Sugden</w:t>
      </w:r>
    </w:p>
  </w:footnote>
  <w:footnote w:id="26">
    <w:p>
      <w:pPr>
        <w:pStyle w:val="FootnoteText"/>
        <w:bidi w:val="0"/>
        <w:spacing w:lineRule="auto" w:line="240" w:before="0" w:after="0"/>
        <w:jc w:val="left"/>
        <w:rPr/>
      </w:pPr>
      <w:r>
        <w:rPr>
          <w:rStyle w:val="FootnoteCharacters"/>
        </w:rPr>
        <w:footnoteRef/>
      </w:r>
      <w:r>
        <w:rPr>
          <w:rFonts w:cs="Times New Roman"/>
          <w:sz w:val="22"/>
          <w:szCs w:val="22"/>
        </w:rPr>
        <w:t>. Lerner et al.</w:t>
      </w:r>
    </w:p>
  </w:footnote>
  <w:footnote w:id="27">
    <w:p>
      <w:pPr>
        <w:pStyle w:val="FootnoteText"/>
        <w:bidi w:val="0"/>
        <w:spacing w:lineRule="auto" w:line="240" w:before="0" w:after="0"/>
        <w:jc w:val="left"/>
        <w:rPr/>
      </w:pPr>
      <w:r>
        <w:rPr>
          <w:rStyle w:val="FootnoteCharacters"/>
        </w:rPr>
        <w:footnoteRef/>
      </w:r>
      <w:r>
        <w:rPr>
          <w:rFonts w:cs="Times New Roman"/>
          <w:sz w:val="22"/>
          <w:szCs w:val="22"/>
        </w:rPr>
        <w:t>. Herding</w:t>
      </w:r>
    </w:p>
  </w:footnote>
  <w:footnote w:id="28">
    <w:p>
      <w:pPr>
        <w:pStyle w:val="FootnoteText"/>
        <w:bidi w:val="0"/>
        <w:spacing w:lineRule="auto" w:line="240" w:before="0" w:after="0"/>
        <w:jc w:val="left"/>
        <w:rPr/>
      </w:pPr>
      <w:r>
        <w:rPr>
          <w:rStyle w:val="FootnoteCharacters"/>
        </w:rPr>
        <w:footnoteRef/>
      </w:r>
      <w:r>
        <w:rPr>
          <w:rFonts w:cs="Times New Roman"/>
          <w:sz w:val="22"/>
          <w:szCs w:val="22"/>
        </w:rPr>
        <w:t>. Scharfstein &amp; Stein</w:t>
      </w:r>
    </w:p>
  </w:footnote>
  <w:footnote w:id="29">
    <w:p>
      <w:pPr>
        <w:pStyle w:val="FootnoteText"/>
        <w:bidi w:val="0"/>
        <w:spacing w:lineRule="auto" w:line="240" w:before="0" w:after="0"/>
        <w:jc w:val="left"/>
        <w:rPr/>
      </w:pPr>
      <w:r>
        <w:rPr>
          <w:rStyle w:val="FootnoteCharacters"/>
        </w:rPr>
        <w:footnoteRef/>
      </w:r>
      <w:r>
        <w:rPr>
          <w:rFonts w:cs="Times New Roman"/>
          <w:sz w:val="22"/>
          <w:szCs w:val="22"/>
        </w:rPr>
        <w:t>. Hirshleifer &amp; Teoh</w:t>
      </w:r>
    </w:p>
  </w:footnote>
  <w:footnote w:id="30">
    <w:p>
      <w:pPr>
        <w:pStyle w:val="FootnoteText"/>
        <w:bidi w:val="0"/>
        <w:spacing w:lineRule="auto" w:line="240" w:before="0" w:after="0"/>
        <w:jc w:val="left"/>
        <w:rPr/>
      </w:pPr>
      <w:r>
        <w:rPr>
          <w:rStyle w:val="FootnoteCharacters"/>
        </w:rPr>
        <w:footnoteRef/>
      </w:r>
      <w:r>
        <w:rPr>
          <w:rFonts w:cs="Times New Roman"/>
          <w:sz w:val="22"/>
          <w:szCs w:val="22"/>
        </w:rPr>
        <w:t>. Bikhchandani &amp; Sharma</w:t>
      </w:r>
    </w:p>
  </w:footnote>
  <w:footnote w:id="31">
    <w:p>
      <w:pPr>
        <w:pStyle w:val="FootnoteText"/>
        <w:bidi w:val="0"/>
        <w:spacing w:lineRule="auto" w:line="240" w:before="0" w:after="0"/>
        <w:jc w:val="left"/>
        <w:rPr/>
      </w:pPr>
      <w:r>
        <w:rPr>
          <w:rStyle w:val="FootnoteCharacters"/>
        </w:rPr>
        <w:footnoteRef/>
      </w:r>
      <w:r>
        <w:rPr>
          <w:rFonts w:cs="Times New Roman"/>
          <w:sz w:val="22"/>
          <w:szCs w:val="22"/>
        </w:rPr>
        <w:t>. Chang et al.</w:t>
      </w:r>
    </w:p>
  </w:footnote>
  <w:footnote w:id="32">
    <w:p>
      <w:pPr>
        <w:pStyle w:val="FootnoteText"/>
        <w:bidi w:val="0"/>
        <w:spacing w:lineRule="auto" w:line="240" w:before="0" w:after="0"/>
        <w:jc w:val="left"/>
        <w:rPr/>
      </w:pPr>
      <w:r>
        <w:rPr>
          <w:rStyle w:val="FootnoteCharacters"/>
        </w:rPr>
        <w:footnoteRef/>
      </w:r>
      <w:r>
        <w:rPr>
          <w:rFonts w:cs="Times New Roman"/>
          <w:sz w:val="22"/>
          <w:szCs w:val="22"/>
        </w:rPr>
        <w:t>. Chiang &amp; Zheng</w:t>
      </w:r>
    </w:p>
  </w:footnote>
  <w:footnote w:id="33">
    <w:p>
      <w:pPr>
        <w:pStyle w:val="FootnoteText"/>
        <w:bidi w:val="0"/>
        <w:spacing w:lineRule="auto" w:line="240" w:before="0" w:after="0"/>
        <w:jc w:val="left"/>
        <w:rPr/>
      </w:pPr>
      <w:r>
        <w:rPr>
          <w:rStyle w:val="FootnoteCharacters"/>
        </w:rPr>
        <w:footnoteRef/>
      </w:r>
      <w:r>
        <w:rPr>
          <w:rFonts w:cs="Times New Roman"/>
          <w:sz w:val="22"/>
          <w:szCs w:val="22"/>
        </w:rPr>
        <w:t>. Mediation</w:t>
      </w:r>
    </w:p>
  </w:footnote>
  <w:footnote w:id="34">
    <w:p>
      <w:pPr>
        <w:pStyle w:val="FootnoteText"/>
        <w:bidi w:val="0"/>
        <w:spacing w:lineRule="auto" w:line="240" w:before="0" w:after="0"/>
        <w:jc w:val="left"/>
        <w:rPr/>
      </w:pPr>
      <w:r>
        <w:rPr>
          <w:rStyle w:val="FootnoteCharacters"/>
        </w:rPr>
        <w:footnoteRef/>
      </w:r>
      <w:r>
        <w:rPr>
          <w:rFonts w:cs="Times New Roman"/>
          <w:sz w:val="22"/>
          <w:szCs w:val="22"/>
        </w:rPr>
        <w:t>. Bootstrapping</w:t>
      </w:r>
    </w:p>
  </w:footnote>
  <w:footnote w:id="35">
    <w:p>
      <w:pPr>
        <w:pStyle w:val="FootnoteText"/>
        <w:bidi w:val="0"/>
        <w:spacing w:lineRule="auto" w:line="240" w:before="0" w:after="0"/>
        <w:jc w:val="left"/>
        <w:rPr/>
      </w:pPr>
      <w:r>
        <w:rPr>
          <w:rStyle w:val="FootnoteCharacters"/>
        </w:rPr>
        <w:footnoteRef/>
      </w:r>
      <w:r>
        <w:rPr>
          <w:rFonts w:cs="Times New Roman"/>
          <w:sz w:val="22"/>
          <w:szCs w:val="22"/>
        </w:rPr>
        <w:t>. Preacher &amp; Hayes</w:t>
      </w:r>
    </w:p>
  </w:footnote>
  <w:footnote w:id="36">
    <w:p>
      <w:pPr>
        <w:pStyle w:val="FootnoteText"/>
        <w:bidi w:val="0"/>
        <w:spacing w:lineRule="auto" w:line="240" w:before="0" w:after="0"/>
        <w:jc w:val="left"/>
        <w:rPr/>
      </w:pPr>
      <w:r>
        <w:rPr>
          <w:rStyle w:val="FootnoteCharacters"/>
        </w:rPr>
        <w:footnoteRef/>
      </w:r>
      <w:r>
        <w:rPr>
          <w:rFonts w:cs="Times New Roman"/>
          <w:sz w:val="22"/>
          <w:szCs w:val="22"/>
        </w:rPr>
        <w:t>. Taylor et al.</w:t>
      </w:r>
    </w:p>
  </w:footnote>
  <w:footnote w:id="37">
    <w:p>
      <w:pPr>
        <w:pStyle w:val="FootnoteText"/>
        <w:bidi w:val="0"/>
        <w:spacing w:lineRule="auto" w:line="240" w:before="0" w:after="0"/>
        <w:jc w:val="left"/>
        <w:rPr/>
      </w:pPr>
      <w:r>
        <w:rPr>
          <w:rStyle w:val="FootnoteCharacters"/>
        </w:rPr>
        <w:footnoteRef/>
      </w:r>
      <w:r>
        <w:rPr>
          <w:rFonts w:cs="Times New Roman"/>
          <w:sz w:val="22"/>
          <w:szCs w:val="22"/>
        </w:rPr>
        <w:t>. Ball &amp; Brown</w:t>
      </w:r>
    </w:p>
  </w:footnote>
  <w:footnote w:id="38">
    <w:p>
      <w:pPr>
        <w:pStyle w:val="FootnoteText"/>
        <w:bidi w:val="0"/>
        <w:spacing w:lineRule="auto" w:line="240" w:before="0" w:after="0"/>
        <w:jc w:val="left"/>
        <w:rPr/>
      </w:pPr>
      <w:r>
        <w:rPr>
          <w:rStyle w:val="FootnoteCharacters"/>
        </w:rPr>
        <w:footnoteRef/>
      </w:r>
      <w:r>
        <w:rPr>
          <w:rFonts w:cs="Times New Roman"/>
          <w:sz w:val="22"/>
          <w:szCs w:val="22"/>
        </w:rPr>
        <w:t>. Beaver</w:t>
      </w:r>
    </w:p>
  </w:footnote>
  <w:footnote w:id="39">
    <w:p>
      <w:pPr>
        <w:pStyle w:val="FootnoteText"/>
        <w:bidi w:val="0"/>
        <w:spacing w:lineRule="auto" w:line="240" w:before="0" w:after="0"/>
        <w:jc w:val="left"/>
        <w:rPr/>
      </w:pPr>
      <w:r>
        <w:rPr>
          <w:rStyle w:val="FootnoteCharacters"/>
        </w:rPr>
        <w:footnoteRef/>
      </w:r>
      <w:r>
        <w:rPr>
          <w:rFonts w:cs="Times New Roman"/>
          <w:sz w:val="22"/>
          <w:szCs w:val="22"/>
        </w:rPr>
        <w:t>. Lawrence</w:t>
      </w:r>
    </w:p>
  </w:footnote>
  <w:footnote w:id="40">
    <w:p>
      <w:pPr>
        <w:pStyle w:val="FootnoteText"/>
        <w:bidi w:val="0"/>
        <w:spacing w:lineRule="auto" w:line="240" w:before="0" w:after="0"/>
        <w:jc w:val="left"/>
        <w:rPr/>
      </w:pPr>
      <w:r>
        <w:rPr>
          <w:rStyle w:val="FootnoteCharacters"/>
        </w:rPr>
        <w:footnoteRef/>
      </w:r>
      <w:r>
        <w:rPr>
          <w:rFonts w:cs="Times New Roman"/>
          <w:sz w:val="22"/>
          <w:szCs w:val="22"/>
        </w:rPr>
        <w:t>. Miller &amp; Skinner</w:t>
      </w:r>
    </w:p>
  </w:footnote>
  <w:footnote w:id="41">
    <w:p>
      <w:pPr>
        <w:pStyle w:val="FootnoteText"/>
        <w:bidi w:val="0"/>
        <w:spacing w:lineRule="auto" w:line="240" w:before="0" w:after="0"/>
        <w:jc w:val="left"/>
        <w:rPr/>
      </w:pPr>
      <w:r>
        <w:rPr>
          <w:rStyle w:val="FootnoteCharacters"/>
        </w:rPr>
        <w:footnoteRef/>
      </w:r>
      <w:r>
        <w:rPr>
          <w:rFonts w:cs="Times New Roman"/>
          <w:sz w:val="22"/>
          <w:szCs w:val="22"/>
        </w:rPr>
        <w:t>. Blankespoor et al.</w:t>
      </w:r>
    </w:p>
  </w:footnote>
  <w:footnote w:id="42">
    <w:p>
      <w:pPr>
        <w:pStyle w:val="FootnoteText"/>
        <w:bidi w:val="0"/>
        <w:spacing w:lineRule="auto" w:line="240" w:before="0" w:after="0"/>
        <w:jc w:val="left"/>
        <w:rPr/>
      </w:pPr>
      <w:r>
        <w:rPr>
          <w:rStyle w:val="FootnoteCharacters"/>
        </w:rPr>
        <w:footnoteRef/>
      </w:r>
      <w:r>
        <w:rPr>
          <w:rFonts w:cs="Times New Roman"/>
          <w:sz w:val="22"/>
          <w:szCs w:val="22"/>
        </w:rPr>
        <w:t>. Bartov et al.</w:t>
      </w:r>
    </w:p>
  </w:footnote>
  <w:footnote w:id="43">
    <w:p>
      <w:pPr>
        <w:pStyle w:val="FootnoteText"/>
        <w:bidi w:val="0"/>
        <w:spacing w:lineRule="auto" w:line="240" w:before="0" w:after="0"/>
        <w:jc w:val="left"/>
        <w:rPr/>
      </w:pPr>
      <w:r>
        <w:rPr>
          <w:rStyle w:val="FootnoteCharacters"/>
        </w:rPr>
        <w:footnoteRef/>
      </w:r>
      <w:r>
        <w:rPr>
          <w:rFonts w:cs="Times New Roman"/>
          <w:sz w:val="22"/>
          <w:szCs w:val="22"/>
        </w:rPr>
        <w:t>. Elliott et al.</w:t>
      </w:r>
    </w:p>
  </w:footnote>
  <w:footnote w:id="44">
    <w:p>
      <w:pPr>
        <w:pStyle w:val="FootnoteText"/>
        <w:bidi w:val="0"/>
        <w:spacing w:lineRule="auto" w:line="240" w:before="0" w:after="0"/>
        <w:jc w:val="left"/>
        <w:rPr/>
      </w:pPr>
      <w:r>
        <w:rPr>
          <w:rStyle w:val="FootnoteCharacters"/>
        </w:rPr>
        <w:footnoteRef/>
      </w:r>
      <w:r>
        <w:rPr>
          <w:rFonts w:cs="Times New Roman"/>
          <w:sz w:val="22"/>
          <w:szCs w:val="22"/>
        </w:rPr>
        <w:t>. Moderation</w:t>
      </w:r>
    </w:p>
  </w:footnote>
  <w:footnote w:id="45">
    <w:p>
      <w:pPr>
        <w:pStyle w:val="FootnoteText"/>
        <w:bidi w:val="0"/>
        <w:spacing w:lineRule="auto" w:line="240" w:before="0" w:after="0"/>
        <w:jc w:val="left"/>
        <w:rPr/>
      </w:pPr>
      <w:r>
        <w:rPr>
          <w:rStyle w:val="FootnoteCharacters"/>
        </w:rPr>
        <w:footnoteRef/>
      </w:r>
      <w:r>
        <w:rPr>
          <w:rFonts w:cs="Times New Roman"/>
          <w:sz w:val="22"/>
          <w:szCs w:val="22"/>
        </w:rPr>
        <w:t>. Moderated mediation</w:t>
      </w:r>
    </w:p>
  </w:footnote>
  <w:footnote w:id="46">
    <w:p>
      <w:pPr>
        <w:pStyle w:val="FootnoteText"/>
        <w:bidi w:val="0"/>
        <w:spacing w:lineRule="auto" w:line="240" w:before="0" w:after="0"/>
        <w:jc w:val="left"/>
        <w:rPr/>
      </w:pPr>
      <w:r>
        <w:rPr>
          <w:rStyle w:val="FootnoteCharacters"/>
        </w:rPr>
        <w:footnoteRef/>
      </w:r>
      <w:r>
        <w:rPr>
          <w:rFonts w:cs="Times New Roman"/>
          <w:sz w:val="22"/>
          <w:szCs w:val="22"/>
        </w:rPr>
        <w:t>. Preacher et al.</w:t>
      </w:r>
    </w:p>
  </w:footnote>
  <w:footnote w:id="47">
    <w:p>
      <w:pPr>
        <w:pStyle w:val="FootnoteText"/>
        <w:bidi w:val="0"/>
        <w:spacing w:lineRule="auto" w:line="240" w:before="0" w:after="0"/>
        <w:jc w:val="left"/>
        <w:rPr/>
      </w:pPr>
      <w:r>
        <w:rPr>
          <w:rStyle w:val="FootnoteCharacters"/>
        </w:rPr>
        <w:footnoteRef/>
      </w:r>
      <w:r>
        <w:rPr>
          <w:rFonts w:cs="Times New Roman"/>
          <w:sz w:val="22"/>
          <w:szCs w:val="22"/>
        </w:rPr>
        <w:t>. Structural Equation Modeling</w:t>
      </w:r>
    </w:p>
  </w:footnote>
  <w:footnote w:id="48">
    <w:p>
      <w:pPr>
        <w:pStyle w:val="FootnoteText"/>
        <w:bidi w:val="0"/>
        <w:spacing w:lineRule="auto" w:line="240" w:before="0" w:after="0"/>
        <w:jc w:val="left"/>
        <w:rPr/>
      </w:pPr>
      <w:r>
        <w:rPr>
          <w:rStyle w:val="FootnoteCharacters"/>
        </w:rPr>
        <w:footnoteRef/>
      </w:r>
      <w:r>
        <w:rPr>
          <w:rFonts w:cs="Times New Roman"/>
          <w:sz w:val="22"/>
          <w:szCs w:val="22"/>
        </w:rPr>
        <w:t>. Wolf et al.</w:t>
      </w:r>
    </w:p>
  </w:footnote>
  <w:footnote w:id="49">
    <w:p>
      <w:pPr>
        <w:pStyle w:val="FootnoteText"/>
        <w:bidi w:val="0"/>
        <w:spacing w:lineRule="auto" w:line="240" w:before="0" w:after="0"/>
        <w:jc w:val="left"/>
        <w:rPr/>
      </w:pPr>
      <w:r>
        <w:rPr>
          <w:rStyle w:val="FootnoteCharacters"/>
        </w:rPr>
        <w:footnoteRef/>
      </w:r>
      <w:r>
        <w:rPr>
          <w:rFonts w:cs="Times New Roman"/>
          <w:sz w:val="22"/>
          <w:szCs w:val="22"/>
        </w:rPr>
        <w:t>. Kline</w:t>
      </w:r>
    </w:p>
  </w:footnote>
  <w:footnote w:id="50">
    <w:p>
      <w:pPr>
        <w:pStyle w:val="FootnoteText"/>
        <w:bidi w:val="0"/>
        <w:spacing w:lineRule="auto" w:line="240" w:before="0" w:after="0"/>
        <w:jc w:val="left"/>
        <w:rPr/>
      </w:pPr>
      <w:r>
        <w:rPr>
          <w:rStyle w:val="FootnoteCharacters"/>
        </w:rPr>
        <w:footnoteRef/>
      </w:r>
      <w:r>
        <w:rPr>
          <w:rFonts w:cs="Times New Roman"/>
          <w:sz w:val="22"/>
          <w:szCs w:val="22"/>
        </w:rPr>
        <w:t>. MacCallum et al.</w:t>
      </w:r>
    </w:p>
  </w:footnote>
  <w:footnote w:id="51">
    <w:p>
      <w:pPr>
        <w:pStyle w:val="FootnoteText"/>
        <w:bidi w:val="0"/>
        <w:spacing w:lineRule="auto" w:line="240" w:before="0" w:after="0"/>
        <w:jc w:val="left"/>
        <w:rPr/>
      </w:pPr>
      <w:r>
        <w:rPr>
          <w:rStyle w:val="FootnoteCharacters"/>
        </w:rPr>
        <w:footnoteRef/>
      </w:r>
      <w:r>
        <w:rPr>
          <w:rFonts w:cs="Times New Roman"/>
          <w:sz w:val="22"/>
          <w:szCs w:val="22"/>
        </w:rPr>
        <w:t>. Igolkina &amp; Meshcheryakov</w:t>
      </w:r>
    </w:p>
  </w:footnote>
  <w:footnote w:id="52">
    <w:p>
      <w:pPr>
        <w:pStyle w:val="FootnoteText"/>
        <w:bidi w:val="0"/>
        <w:spacing w:lineRule="auto" w:line="240" w:before="0" w:after="0"/>
        <w:jc w:val="left"/>
        <w:rPr/>
      </w:pPr>
      <w:r>
        <w:rPr>
          <w:rStyle w:val="FootnoteCharacters"/>
        </w:rPr>
        <w:footnoteRef/>
      </w:r>
      <w:r>
        <w:rPr>
          <w:rFonts w:cs="Times New Roman"/>
          <w:sz w:val="22"/>
          <w:szCs w:val="22"/>
        </w:rPr>
        <w:t>. Mardia</w:t>
      </w:r>
    </w:p>
  </w:footnote>
  <w:footnote w:id="53">
    <w:p>
      <w:pPr>
        <w:pStyle w:val="FootnoteText"/>
        <w:bidi w:val="0"/>
        <w:spacing w:lineRule="auto" w:line="240" w:before="0" w:after="0"/>
        <w:jc w:val="left"/>
        <w:rPr/>
      </w:pPr>
      <w:r>
        <w:rPr>
          <w:rStyle w:val="FootnoteCharacters"/>
        </w:rPr>
        <w:footnoteRef/>
      </w:r>
      <w:r>
        <w:rPr>
          <w:rFonts w:cs="Times New Roman"/>
          <w:sz w:val="22"/>
          <w:szCs w:val="22"/>
        </w:rPr>
        <w:t>. Maximum likelihood estimation</w:t>
      </w:r>
    </w:p>
  </w:footnote>
  <w:footnote w:id="54">
    <w:p>
      <w:pPr>
        <w:pStyle w:val="FootnoteText"/>
        <w:bidi w:val="0"/>
        <w:spacing w:lineRule="auto" w:line="240" w:before="0" w:after="0"/>
        <w:jc w:val="left"/>
        <w:rPr/>
      </w:pPr>
      <w:r>
        <w:rPr>
          <w:rStyle w:val="FootnoteCharacters"/>
        </w:rPr>
        <w:footnoteRef/>
      </w:r>
      <w:r>
        <w:rPr>
          <w:rFonts w:cs="Times New Roman"/>
          <w:sz w:val="22"/>
          <w:szCs w:val="22"/>
        </w:rPr>
        <w:t>. Rhemtulla et al.</w:t>
      </w:r>
    </w:p>
  </w:footnote>
  <w:footnote w:id="55">
    <w:p>
      <w:pPr>
        <w:pStyle w:val="FootnoteText"/>
        <w:bidi w:val="0"/>
        <w:spacing w:lineRule="auto" w:line="240" w:before="0" w:after="0"/>
        <w:jc w:val="left"/>
        <w:rPr/>
      </w:pPr>
      <w:r>
        <w:rPr>
          <w:rStyle w:val="FootnoteCharacters"/>
        </w:rPr>
        <w:footnoteRef/>
      </w:r>
      <w:r>
        <w:rPr>
          <w:rFonts w:cs="Times New Roman"/>
          <w:sz w:val="22"/>
          <w:szCs w:val="22"/>
        </w:rPr>
        <w:t>. Diagonally weighted least squares</w:t>
      </w:r>
    </w:p>
  </w:footnote>
  <w:footnote w:id="56">
    <w:p>
      <w:pPr>
        <w:pStyle w:val="FootnoteText"/>
        <w:bidi w:val="0"/>
        <w:spacing w:lineRule="auto" w:line="240" w:before="0" w:after="0"/>
        <w:jc w:val="left"/>
        <w:rPr/>
      </w:pPr>
      <w:r>
        <w:rPr>
          <w:rStyle w:val="FootnoteCharacters"/>
        </w:rPr>
        <w:footnoteRef/>
      </w:r>
      <w:r>
        <w:rPr>
          <w:rFonts w:cs="Times New Roman"/>
          <w:sz w:val="22"/>
          <w:szCs w:val="22"/>
        </w:rPr>
        <w:t>. Li</w:t>
      </w:r>
    </w:p>
  </w:footnote>
  <w:footnote w:id="57">
    <w:p>
      <w:pPr>
        <w:pStyle w:val="FootnoteText"/>
        <w:bidi w:val="0"/>
        <w:spacing w:lineRule="auto" w:line="240" w:before="0" w:after="0"/>
        <w:jc w:val="left"/>
        <w:rPr/>
      </w:pPr>
      <w:r>
        <w:rPr>
          <w:rStyle w:val="FootnoteCharacters"/>
        </w:rPr>
        <w:footnoteRef/>
      </w:r>
      <w:r>
        <w:rPr>
          <w:rFonts w:cs="Times New Roman"/>
          <w:sz w:val="22"/>
          <w:szCs w:val="22"/>
        </w:rPr>
        <w:t>. Confirmatory factor analysis</w:t>
      </w:r>
    </w:p>
  </w:footnote>
  <w:footnote w:id="58">
    <w:p>
      <w:pPr>
        <w:pStyle w:val="FootnoteText"/>
        <w:bidi w:val="0"/>
        <w:spacing w:lineRule="auto" w:line="240" w:before="0" w:after="0"/>
        <w:jc w:val="left"/>
        <w:rPr/>
      </w:pPr>
      <w:r>
        <w:rPr>
          <w:rStyle w:val="FootnoteCharacters"/>
        </w:rPr>
        <w:footnoteRef/>
      </w:r>
      <w:r>
        <w:rPr>
          <w:rFonts w:cs="Times New Roman"/>
          <w:sz w:val="22"/>
          <w:szCs w:val="22"/>
        </w:rPr>
        <w:t>. Composite reliability</w:t>
      </w:r>
    </w:p>
  </w:footnote>
  <w:footnote w:id="59">
    <w:p>
      <w:pPr>
        <w:pStyle w:val="FootnoteText"/>
        <w:bidi w:val="0"/>
        <w:spacing w:lineRule="auto" w:line="240" w:before="0" w:after="0"/>
        <w:jc w:val="left"/>
        <w:rPr/>
      </w:pPr>
      <w:r>
        <w:rPr>
          <w:rStyle w:val="FootnoteCharacters"/>
        </w:rPr>
        <w:footnoteRef/>
      </w:r>
      <w:r>
        <w:rPr>
          <w:rFonts w:cs="Times New Roman"/>
          <w:sz w:val="22"/>
          <w:szCs w:val="22"/>
        </w:rPr>
        <w:t>. Convergent validity</w:t>
      </w:r>
    </w:p>
  </w:footnote>
  <w:footnote w:id="60">
    <w:p>
      <w:pPr>
        <w:pStyle w:val="FootnoteText"/>
        <w:bidi w:val="0"/>
        <w:spacing w:lineRule="auto" w:line="240" w:before="0" w:after="0"/>
        <w:jc w:val="left"/>
        <w:rPr/>
      </w:pPr>
      <w:r>
        <w:rPr>
          <w:rStyle w:val="FootnoteCharacters"/>
        </w:rPr>
        <w:footnoteRef/>
      </w:r>
      <w:r>
        <w:rPr>
          <w:rFonts w:cs="Times New Roman"/>
          <w:sz w:val="22"/>
          <w:szCs w:val="22"/>
        </w:rPr>
        <w:t>. Discriminant validity</w:t>
      </w:r>
    </w:p>
  </w:footnote>
  <w:footnote w:id="61">
    <w:p>
      <w:pPr>
        <w:pStyle w:val="FootnoteText"/>
        <w:bidi w:val="0"/>
        <w:spacing w:lineRule="auto" w:line="240" w:before="0" w:after="0"/>
        <w:jc w:val="left"/>
        <w:rPr/>
      </w:pPr>
      <w:r>
        <w:rPr>
          <w:rStyle w:val="FootnoteCharacters"/>
        </w:rPr>
        <w:footnoteRef/>
      </w:r>
      <w:r>
        <w:rPr>
          <w:rFonts w:cs="Times New Roman"/>
          <w:sz w:val="22"/>
          <w:szCs w:val="22"/>
        </w:rPr>
        <w:t>. Fornell &amp; Larcker</w:t>
      </w:r>
    </w:p>
  </w:footnote>
  <w:footnote w:id="62">
    <w:p>
      <w:pPr>
        <w:pStyle w:val="FootnoteText"/>
        <w:bidi w:val="0"/>
        <w:spacing w:lineRule="auto" w:line="240" w:before="0" w:after="0"/>
        <w:jc w:val="left"/>
        <w:rPr/>
      </w:pPr>
      <w:r>
        <w:rPr>
          <w:rStyle w:val="FootnoteCharacters"/>
        </w:rPr>
        <w:footnoteRef/>
      </w:r>
      <w:r>
        <w:rPr>
          <w:rFonts w:cs="Times New Roman"/>
          <w:sz w:val="22"/>
          <w:szCs w:val="22"/>
        </w:rPr>
        <w:t>. Henseler et al.</w:t>
      </w:r>
    </w:p>
  </w:footnote>
  <w:footnote w:id="63">
    <w:p>
      <w:pPr>
        <w:pStyle w:val="FootnoteText"/>
        <w:bidi w:val="0"/>
        <w:spacing w:lineRule="auto" w:line="240" w:before="0" w:after="0"/>
        <w:jc w:val="left"/>
        <w:rPr/>
      </w:pPr>
      <w:r>
        <w:rPr>
          <w:rStyle w:val="FootnoteCharacters"/>
        </w:rPr>
        <w:footnoteRef/>
      </w:r>
      <w:r>
        <w:rPr>
          <w:rFonts w:cs="Times New Roman"/>
          <w:sz w:val="22"/>
          <w:szCs w:val="22"/>
        </w:rPr>
        <w:t>. Podsakoff et al.</w:t>
      </w:r>
    </w:p>
  </w:footnote>
  <w:footnote w:id="64">
    <w:p>
      <w:pPr>
        <w:pStyle w:val="FootnoteText"/>
        <w:bidi w:val="0"/>
        <w:spacing w:lineRule="auto" w:line="240" w:before="0" w:after="0"/>
        <w:jc w:val="left"/>
        <w:rPr/>
      </w:pPr>
      <w:r>
        <w:rPr>
          <w:rStyle w:val="FootnoteCharacters"/>
        </w:rPr>
        <w:footnoteRef/>
      </w:r>
      <w:r>
        <w:rPr>
          <w:rFonts w:cs="Times New Roman"/>
          <w:sz w:val="22"/>
          <w:szCs w:val="22"/>
        </w:rPr>
        <w:t>. Hu &amp; Bentler</w:t>
      </w:r>
    </w:p>
  </w:footnote>
  <w:footnote w:id="65">
    <w:p>
      <w:pPr>
        <w:pStyle w:val="FootnoteText"/>
        <w:bidi w:val="0"/>
        <w:spacing w:lineRule="auto" w:line="240" w:before="0" w:after="0"/>
        <w:jc w:val="left"/>
        <w:rPr/>
      </w:pPr>
      <w:r>
        <w:rPr>
          <w:rStyle w:val="FootnoteCharacters"/>
        </w:rPr>
        <w:footnoteRef/>
      </w:r>
      <w:r>
        <w:rPr>
          <w:rFonts w:cs="Times New Roman"/>
          <w:sz w:val="22"/>
          <w:szCs w:val="22"/>
        </w:rPr>
        <w:t>. Marsh et al.</w:t>
      </w:r>
    </w:p>
  </w:footnote>
  <w:footnote w:id="66">
    <w:p>
      <w:pPr>
        <w:pStyle w:val="FootnoteText"/>
        <w:bidi w:val="0"/>
        <w:spacing w:lineRule="auto" w:line="240" w:before="0" w:after="0"/>
        <w:jc w:val="left"/>
        <w:rPr/>
      </w:pPr>
      <w:r>
        <w:rPr>
          <w:rStyle w:val="FootnoteCharacters"/>
        </w:rPr>
        <w:footnoteRef/>
      </w:r>
      <w:r>
        <w:rPr>
          <w:rFonts w:cs="Times New Roman"/>
          <w:sz w:val="22"/>
          <w:szCs w:val="22"/>
        </w:rPr>
        <w:t>. Little et al.</w:t>
      </w:r>
    </w:p>
  </w:footnote>
  <w:footnote w:id="67">
    <w:p>
      <w:pPr>
        <w:pStyle w:val="FootnoteText"/>
        <w:bidi w:val="0"/>
        <w:spacing w:lineRule="auto" w:line="240" w:before="0" w:after="0"/>
        <w:jc w:val="left"/>
        <w:rPr/>
      </w:pPr>
      <w:r>
        <w:rPr>
          <w:rStyle w:val="FootnoteCharacters"/>
        </w:rPr>
        <w:footnoteRef/>
      </w:r>
      <w:r>
        <w:rPr>
          <w:rFonts w:cs="Times New Roman"/>
          <w:sz w:val="22"/>
          <w:szCs w:val="22"/>
        </w:rPr>
        <w:t>. Cohen</w:t>
      </w:r>
    </w:p>
  </w:footnote>
</w:footnotes>
</file>

<file path=word/settings.xml><?xml version="1.0" encoding="utf-8"?>
<w:settings xmlns:w="http://schemas.openxmlformats.org/wordprocessingml/2006/main">
  <w:view w:val="print"/>
  <w:zoom w:percent="100"/>
  <w:defaultTabStop w:val="720"/>
  <w:autoHyphenation w:val="true"/>
  <w:footnotePr>
    <w:numFmt w:val="decimal"/>
    <w:footnote w:id="0"/>
    <w:footnote w:id="1"/>
  </w:footnotePr>
  <w:compat>
    <w:compatSetting w:name="compatibilityMode" w:uri="http://schemas.microsoft.com/office/word" w:val="15"/>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pacing w:lineRule="auto" w:line="240" w:before="0" w:after="0"/>
    </w:pPr>
    <w:rPr>
      <w:sz w:val="18"/>
      <w:szCs w:val="1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