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lineRule="auto" w:line="240" w:before="0" w:after="200"/>
        <w:jc w:val="center"/>
        <w:rPr/>
      </w:pPr>
      <w:r>
        <w:rPr>
          <w:rFonts w:ascii="Times New Roman" w:hAnsi="Times New Roman" w:eastAsia="Times New Roman" w:cs="B Zar"/>
          <w:b/>
          <w:b/>
          <w:bCs/>
          <w:sz w:val="24"/>
          <w:sz w:val="24"/>
          <w:szCs w:val="24"/>
          <w:rtl w:val="true"/>
          <w:lang w:val="en-US" w:bidi="fa-IR"/>
        </w:rPr>
        <w:t>پرسشنامهٔ پژوهش — مقالهٔ اول</w:t>
      </w:r>
    </w:p>
    <w:p>
      <w:pPr>
        <w:pStyle w:val="Normal"/>
        <w:bidi w:val="1"/>
        <w:spacing w:lineRule="auto" w:line="240" w:before="0" w:after="120"/>
        <w:jc w:val="center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اثر مواجهه با محتوای سرمایه‌گذاری شبکه‌های اجتماعی بر کیفیت تصمیم سرمایه‌گذاران حقیقی بورس تهران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: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نقش میانجی متوالی فومو و رفتار توده‌وار و نقش تعدیل‌گر استفاده از اطلاعات حسابداری</w:t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سرمایه‌گذار گرامی</w:t>
      </w:r>
    </w:p>
    <w:p>
      <w:pPr>
        <w:pStyle w:val="Normal"/>
        <w:bidi w:val="1"/>
        <w:spacing w:lineRule="auto" w:line="240" w:before="0" w:after="50"/>
        <w:ind w:firstLine="360"/>
        <w:jc w:val="both"/>
        <w:rPr/>
      </w:pP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این پرسشنامه برای یک پژوهش دانشگاهی دربارهٔ تصمیم‌های سرمایه‌گذاران حقیقی در بازار سرمایهٔ ایران تهیه شده است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شرکت در پژوهش اختیاری است و پاسخ‌ها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کاملاً بی‌نام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گردآوری و فقط به‌صورت آماری و گروهی تحلیل می‌شود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پاسخ درست یا نادرست وجود ندارد؛ لطفاً مطابق رفتار واقعی خود در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۱۲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 ماه گذشته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پاسخ دهید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تکمیل پرسشنامه حدود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۱۰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دقیقه زمان می‌برد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با تکمیل و ارسال پرسشنامه، رضایت آگاهانهٔ خود را برای استفادهٔ پژوهشی از پاسخ‌ها اعلام می‌کنید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شرط ورود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حداقل یک سال سابقهٔ معاملهٔ مستقل در بازار سهام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بورس یا فرابورس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به‌صورت حقیقی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تماس با پژوهشگر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highlight w:val="yellow"/>
          <w:rtl w:val="true"/>
          <w:lang w:val="en-US" w:bidi="fa-IR"/>
        </w:rPr>
        <w:t>ایمیل پژوهشگر</w:t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بخش الف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اطلاعات عمومی</w:t>
      </w:r>
    </w:p>
    <w:p>
      <w:pPr>
        <w:pStyle w:val="Normal"/>
        <w:keepNext w:val="true"/>
        <w:bidi w:val="1"/>
        <w:spacing w:lineRule="auto" w:line="240" w:before="120" w:after="60"/>
        <w:jc w:val="center"/>
        <w:rPr/>
      </w:pP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>جدول الف</w:t>
      </w:r>
      <w:r>
        <w:rPr>
          <w:rFonts w:eastAsia="Times New Roman" w:cs="B Zar"/>
          <w:b/>
          <w:bCs/>
          <w:sz w:val="20"/>
          <w:szCs w:val="20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>سؤال‌های جمعیت‌شناختی</w:t>
      </w:r>
    </w:p>
    <w:tbl>
      <w:tblPr>
        <w:bidiVisual w:val="true"/>
        <w:tblW w:w="9000" w:type="dxa"/>
        <w:jc w:val="center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700"/>
        <w:gridCol w:w="4300"/>
        <w:gridCol w:w="4000"/>
      </w:tblGrid>
      <w:tr>
        <w:trPr>
          <w:tblHeader w:val="true"/>
        </w:trPr>
        <w:tc>
          <w:tcPr>
            <w:tcW w:w="7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کد</w:t>
            </w:r>
          </w:p>
        </w:tc>
        <w:tc>
          <w:tcPr>
            <w:tcW w:w="43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سؤال</w:t>
            </w:r>
          </w:p>
        </w:tc>
        <w:tc>
          <w:tcPr>
            <w:tcW w:w="40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 xml:space="preserve">گزینه‌ها </w:t>
            </w:r>
            <w:r>
              <w:rPr>
                <w:rFonts w:eastAsia="Times New Roman" w:cs="B Nazanin"/>
                <w:b/>
                <w:bCs/>
                <w:sz w:val="22"/>
                <w:szCs w:val="22"/>
                <w:rtl w:val="true"/>
                <w:lang w:val="en-US" w:bidi="fa-IR"/>
              </w:rPr>
              <w:t xml:space="preserve">/ </w:t>
            </w: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پاسخ</w:t>
            </w:r>
          </w:p>
        </w:tc>
      </w:tr>
      <w:tr>
        <w:trPr>
          <w:cantSplit w:val="true"/>
        </w:trPr>
        <w:tc>
          <w:tcPr>
            <w:tcW w:w="7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D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۱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جنسیت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○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زن  ○ مرد</w:t>
            </w:r>
          </w:p>
        </w:tc>
      </w:tr>
      <w:tr>
        <w:trPr>
          <w:cantSplit w:val="true"/>
        </w:trPr>
        <w:tc>
          <w:tcPr>
            <w:tcW w:w="7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D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۲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سن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سال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)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........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سال</w:t>
            </w:r>
          </w:p>
        </w:tc>
      </w:tr>
      <w:tr>
        <w:trPr>
          <w:cantSplit w:val="true"/>
        </w:trPr>
        <w:tc>
          <w:tcPr>
            <w:tcW w:w="7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D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۳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تحصیلات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○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دیپلم و کمتر  ○ کارشناسی  ○ کارشناسی ارشد  ○ دکتری</w:t>
            </w:r>
          </w:p>
        </w:tc>
      </w:tr>
      <w:tr>
        <w:trPr>
          <w:cantSplit w:val="true"/>
        </w:trPr>
        <w:tc>
          <w:tcPr>
            <w:tcW w:w="7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D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۴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سابقهٔ معامله در بازار سهام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سال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)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........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سال</w:t>
            </w:r>
          </w:p>
        </w:tc>
      </w:tr>
      <w:tr>
        <w:trPr>
          <w:cantSplit w:val="true"/>
        </w:trPr>
        <w:tc>
          <w:tcPr>
            <w:tcW w:w="7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D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۵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ارزش تقریبی سبد سهام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میلیون تومان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)</w:t>
            </w:r>
          </w:p>
        </w:tc>
        <w:tc>
          <w:tcPr>
            <w:tcW w:w="40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........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میلیون تومان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D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۷</w:t>
            </w:r>
          </w:p>
        </w:tc>
        <w:tc>
          <w:tcPr>
            <w:tcW w:w="43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کدام شبکه‌ها را بیشتر برای محتوای بورس دنبال می‌کنید؟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چندگزینه‌ای؛ فقط توصیفی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)</w:t>
            </w:r>
          </w:p>
        </w:tc>
        <w:tc>
          <w:tcPr>
            <w:tcW w:w="40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○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تلگرام  ○ اینستاگرام  ○ ایتا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/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روبیکا  ○ ایکس  ○ آپارات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/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یوتیوب  ○ سایر</w:t>
            </w:r>
          </w:p>
        </w:tc>
      </w:tr>
    </w:tbl>
    <w:p>
      <w:pPr>
        <w:pStyle w:val="Normal"/>
        <w:bidi w:val="1"/>
        <w:spacing w:lineRule="auto" w:line="240" w:before="0" w:after="100"/>
        <w:ind w:firstLine="360"/>
        <w:jc w:val="both"/>
        <w:rPr/>
      </w:pPr>
      <w:r>
        <w:rPr>
          <w:rtl w:val="true"/>
        </w:rPr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بخش ب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گویه‌های اصلی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مقیاس پاسخ 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لیکرت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۵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 درجه‌ای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):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=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کاملاً مخالفم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|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۲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=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مخالفم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|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۳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=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نظری ندارم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|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۴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=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موافقم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|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۵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=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کاملاً موافقم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برای هر گویه فقط یک گزینه را علامت بزنید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۱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مواجهه با محتوای سرمایه‌گذاری در شبکه‌های اجتماعی — </w:t>
      </w:r>
      <w:r>
        <w:rPr>
          <w:rFonts w:eastAsia="Times New Roman" w:cs="B Nazanin"/>
          <w:b/>
          <w:bCs/>
          <w:sz w:val="24"/>
          <w:szCs w:val="24"/>
          <w:lang w:val="en-US" w:bidi="fa-IR"/>
        </w:rPr>
        <w:t>Exposure to investment content on social media (SME)</w:t>
      </w:r>
    </w:p>
    <w:p>
      <w:pPr>
        <w:pStyle w:val="Normal"/>
        <w:keepNext w:val="true"/>
        <w:bidi w:val="1"/>
        <w:spacing w:lineRule="auto" w:line="240" w:before="120" w:after="60"/>
        <w:jc w:val="center"/>
        <w:rPr/>
      </w:pP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جدول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lang w:val="en-US" w:bidi="fa-IR"/>
        </w:rPr>
        <w:t>۱</w:t>
      </w:r>
      <w:r>
        <w:rPr>
          <w:rFonts w:eastAsia="Times New Roman" w:cs="B Zar"/>
          <w:b/>
          <w:bCs/>
          <w:sz w:val="20"/>
          <w:szCs w:val="20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گویه‌های سازهٔ </w:t>
      </w:r>
      <w:r>
        <w:rPr>
          <w:rFonts w:eastAsia="Times New Roman" w:cs="B Zar"/>
          <w:b/>
          <w:bCs/>
          <w:sz w:val="20"/>
          <w:szCs w:val="20"/>
          <w:lang w:val="en-US" w:bidi="fa-IR"/>
        </w:rPr>
        <w:t>SME</w:t>
      </w:r>
    </w:p>
    <w:tbl>
      <w:tblPr>
        <w:bidiVisual w:val="true"/>
        <w:tblW w:w="9072" w:type="dxa"/>
        <w:jc w:val="center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800"/>
        <w:gridCol w:w="5371"/>
        <w:gridCol w:w="581"/>
        <w:gridCol w:w="579"/>
        <w:gridCol w:w="580"/>
        <w:gridCol w:w="581"/>
        <w:gridCol w:w="579"/>
      </w:tblGrid>
      <w:tr>
        <w:trPr>
          <w:tblHeader w:val="true"/>
        </w:trPr>
        <w:tc>
          <w:tcPr>
            <w:tcW w:w="8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کد</w:t>
            </w:r>
          </w:p>
        </w:tc>
        <w:tc>
          <w:tcPr>
            <w:tcW w:w="5371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گویه</w:t>
            </w:r>
          </w:p>
        </w:tc>
        <w:tc>
          <w:tcPr>
            <w:tcW w:w="581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۱</w:t>
            </w:r>
          </w:p>
        </w:tc>
        <w:tc>
          <w:tcPr>
            <w:tcW w:w="57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۲</w:t>
            </w:r>
          </w:p>
        </w:tc>
        <w:tc>
          <w:tcPr>
            <w:tcW w:w="58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۳</w:t>
            </w:r>
          </w:p>
        </w:tc>
        <w:tc>
          <w:tcPr>
            <w:tcW w:w="581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۴</w:t>
            </w:r>
          </w:p>
        </w:tc>
        <w:tc>
          <w:tcPr>
            <w:tcW w:w="57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۵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SME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۱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هر روز محتوای مربوط به بورس و سرمایه‌گذاری را در شبکه‌های اجتماعی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تلگرام، اینستاگرام، ایتا، ایکس و مانند آن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)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دنبال می‌کنم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SME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۲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بخش قابل‌توجهی از وقتم در شبکه‌های اجتماعی صرف دیدن تحلیل‌ها و اخبار بازار سرمایه می‌شود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SME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۳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عضو چند کانال، گروه یا صفحهٔ سرمایه‌گذاری هستم و پیام‌های آن‌ها را مرتب می‌خوانم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SME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۴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تحلیل‌ها و نظرهای منتشرشده در شبکه‌های اجتماعی از منابع اصلی اطلاعات من دربارهٔ سهام است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8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SME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۵</w:t>
            </w:r>
          </w:p>
        </w:tc>
        <w:tc>
          <w:tcPr>
            <w:tcW w:w="5371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معمولاً محتوای سرمایه‌گذاری را با دیگران به اشتراک می‌گذارم یا دربارهٔ آن گفت‌وگو می‌کنم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</w:tbl>
    <w:p>
      <w:pPr>
        <w:pStyle w:val="Normal"/>
        <w:bidi w:val="1"/>
        <w:spacing w:lineRule="auto" w:line="240" w:before="0" w:after="100"/>
        <w:ind w:firstLine="360"/>
        <w:jc w:val="both"/>
        <w:rPr/>
      </w:pPr>
      <w:r>
        <w:rPr>
          <w:rtl w:val="true"/>
        </w:rPr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۲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ترس از دست دادن فرصت سرمایه‌گذاری 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فومو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) — </w:t>
      </w:r>
      <w:r>
        <w:rPr>
          <w:rFonts w:eastAsia="Times New Roman" w:cs="B Nazanin"/>
          <w:b/>
          <w:bCs/>
          <w:sz w:val="24"/>
          <w:szCs w:val="24"/>
          <w:lang w:val="en-US" w:bidi="fa-IR"/>
        </w:rPr>
        <w:t>Investment-related fear of missing out (FOMO) (FOMO)</w:t>
      </w:r>
    </w:p>
    <w:p>
      <w:pPr>
        <w:pStyle w:val="Normal"/>
        <w:keepNext w:val="true"/>
        <w:bidi w:val="1"/>
        <w:spacing w:lineRule="auto" w:line="240" w:before="120" w:after="60"/>
        <w:jc w:val="center"/>
        <w:rPr/>
      </w:pP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جدول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lang w:val="en-US" w:bidi="fa-IR"/>
        </w:rPr>
        <w:t>۲</w:t>
      </w:r>
      <w:r>
        <w:rPr>
          <w:rFonts w:eastAsia="Times New Roman" w:cs="B Zar"/>
          <w:b/>
          <w:bCs/>
          <w:sz w:val="20"/>
          <w:szCs w:val="20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گویه‌های سازهٔ </w:t>
      </w:r>
      <w:r>
        <w:rPr>
          <w:rFonts w:eastAsia="Times New Roman" w:cs="B Zar"/>
          <w:b/>
          <w:bCs/>
          <w:sz w:val="20"/>
          <w:szCs w:val="20"/>
          <w:lang w:val="en-US" w:bidi="fa-IR"/>
        </w:rPr>
        <w:t>FOMO</w:t>
      </w:r>
    </w:p>
    <w:tbl>
      <w:tblPr>
        <w:bidiVisual w:val="true"/>
        <w:tblW w:w="9072" w:type="dxa"/>
        <w:jc w:val="center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800"/>
        <w:gridCol w:w="5371"/>
        <w:gridCol w:w="581"/>
        <w:gridCol w:w="579"/>
        <w:gridCol w:w="580"/>
        <w:gridCol w:w="581"/>
        <w:gridCol w:w="579"/>
      </w:tblGrid>
      <w:tr>
        <w:trPr>
          <w:tblHeader w:val="true"/>
        </w:trPr>
        <w:tc>
          <w:tcPr>
            <w:tcW w:w="8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کد</w:t>
            </w:r>
          </w:p>
        </w:tc>
        <w:tc>
          <w:tcPr>
            <w:tcW w:w="5371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گویه</w:t>
            </w:r>
          </w:p>
        </w:tc>
        <w:tc>
          <w:tcPr>
            <w:tcW w:w="581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۱</w:t>
            </w:r>
          </w:p>
        </w:tc>
        <w:tc>
          <w:tcPr>
            <w:tcW w:w="57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۲</w:t>
            </w:r>
          </w:p>
        </w:tc>
        <w:tc>
          <w:tcPr>
            <w:tcW w:w="58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۳</w:t>
            </w:r>
          </w:p>
        </w:tc>
        <w:tc>
          <w:tcPr>
            <w:tcW w:w="581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۴</w:t>
            </w:r>
          </w:p>
        </w:tc>
        <w:tc>
          <w:tcPr>
            <w:tcW w:w="57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۵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FOMO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۱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وقتی می‌شنوم دیگران از یک سهم سود زیادی کرده‌اند، نگران می‌شوم که فرصت سودآوری را از دست داده‌ام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FOMO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۲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نگرانم سایر سرمایه‌گذاران فرصت‌های سودآورتری از من پیدا کنند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FOMO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۳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وقتی گروهی از سرمایه‌گذاران آشنا سهمی را می‌خرند و من در آن نیستم، مضطرب می‌شوم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FOMO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۴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اگر مدتی از جریان بازار و خبرهای آن دور باشم، احساس نگرانی می‌کنم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FOMO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۵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از اینکه فرصت ورود به یک سهم در حال رشد را از دست بدهم ناراحت می‌شوم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8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FOMO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۶</w:t>
            </w:r>
          </w:p>
        </w:tc>
        <w:tc>
          <w:tcPr>
            <w:tcW w:w="5371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گاهی احساس می‌کنم اگر همین حالا وارد نشوم، دیگر خیلی دیر خواهد شد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</w:tbl>
    <w:p>
      <w:pPr>
        <w:pStyle w:val="Normal"/>
        <w:bidi w:val="1"/>
        <w:spacing w:lineRule="auto" w:line="240" w:before="0" w:after="100"/>
        <w:ind w:firstLine="360"/>
        <w:jc w:val="both"/>
        <w:rPr/>
      </w:pPr>
      <w:r>
        <w:rPr>
          <w:rtl w:val="true"/>
        </w:rPr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۳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رفتار توده‌وار — </w:t>
      </w:r>
      <w:r>
        <w:rPr>
          <w:rFonts w:eastAsia="Times New Roman" w:cs="B Nazanin"/>
          <w:b/>
          <w:bCs/>
          <w:sz w:val="24"/>
          <w:szCs w:val="24"/>
          <w:lang w:val="en-US" w:bidi="fa-IR"/>
        </w:rPr>
        <w:t>Herding behavior (HRD)</w:t>
      </w:r>
    </w:p>
    <w:p>
      <w:pPr>
        <w:pStyle w:val="Normal"/>
        <w:keepNext w:val="true"/>
        <w:bidi w:val="1"/>
        <w:spacing w:lineRule="auto" w:line="240" w:before="120" w:after="60"/>
        <w:jc w:val="center"/>
        <w:rPr/>
      </w:pP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جدول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lang w:val="en-US" w:bidi="fa-IR"/>
        </w:rPr>
        <w:t>۳</w:t>
      </w:r>
      <w:r>
        <w:rPr>
          <w:rFonts w:eastAsia="Times New Roman" w:cs="B Zar"/>
          <w:b/>
          <w:bCs/>
          <w:sz w:val="20"/>
          <w:szCs w:val="20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گویه‌های سازهٔ </w:t>
      </w:r>
      <w:r>
        <w:rPr>
          <w:rFonts w:eastAsia="Times New Roman" w:cs="B Zar"/>
          <w:b/>
          <w:bCs/>
          <w:sz w:val="20"/>
          <w:szCs w:val="20"/>
          <w:lang w:val="en-US" w:bidi="fa-IR"/>
        </w:rPr>
        <w:t>HRD</w:t>
      </w:r>
    </w:p>
    <w:tbl>
      <w:tblPr>
        <w:bidiVisual w:val="true"/>
        <w:tblW w:w="9072" w:type="dxa"/>
        <w:jc w:val="center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800"/>
        <w:gridCol w:w="5371"/>
        <w:gridCol w:w="581"/>
        <w:gridCol w:w="579"/>
        <w:gridCol w:w="580"/>
        <w:gridCol w:w="581"/>
        <w:gridCol w:w="579"/>
      </w:tblGrid>
      <w:tr>
        <w:trPr>
          <w:tblHeader w:val="true"/>
        </w:trPr>
        <w:tc>
          <w:tcPr>
            <w:tcW w:w="8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کد</w:t>
            </w:r>
          </w:p>
        </w:tc>
        <w:tc>
          <w:tcPr>
            <w:tcW w:w="5371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گویه</w:t>
            </w:r>
          </w:p>
        </w:tc>
        <w:tc>
          <w:tcPr>
            <w:tcW w:w="581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۱</w:t>
            </w:r>
          </w:p>
        </w:tc>
        <w:tc>
          <w:tcPr>
            <w:tcW w:w="57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۲</w:t>
            </w:r>
          </w:p>
        </w:tc>
        <w:tc>
          <w:tcPr>
            <w:tcW w:w="58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۳</w:t>
            </w:r>
          </w:p>
        </w:tc>
        <w:tc>
          <w:tcPr>
            <w:tcW w:w="581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۴</w:t>
            </w:r>
          </w:p>
        </w:tc>
        <w:tc>
          <w:tcPr>
            <w:tcW w:w="57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۵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HRD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۱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با تغییر تصمیم‌های سایر سرمایه‌گذاران به‌سرعت واکنش نشان می‌دهم و از آن‌ها پیروی می‌کنم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HRD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۲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برای خرید یا فروش، به حجم معاملات و صف‌های خرید و فروش توجه می‌کنم تا هم‌جهت با بازار باشم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HRD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۳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اگر بیشتر سرمایه‌گذاران سهمی را بخرند، من هم تمایل به خرید آن دارم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HRD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۴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در تصمیم‌گیری، نظر جمع را به تحلیل شخصی‌ام ترجیح می‌دهم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8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HRD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۵</w:t>
            </w:r>
          </w:p>
        </w:tc>
        <w:tc>
          <w:tcPr>
            <w:tcW w:w="5371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تصمیم‌های سرمایه‌گذاری من تحت‌تأثیر تصمیم دوستان و اطرافیان فعال در بورس است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</w:tbl>
    <w:p>
      <w:pPr>
        <w:pStyle w:val="Normal"/>
        <w:bidi w:val="1"/>
        <w:spacing w:lineRule="auto" w:line="240" w:before="0" w:after="100"/>
        <w:ind w:firstLine="360"/>
        <w:jc w:val="both"/>
        <w:rPr/>
      </w:pPr>
      <w:r>
        <w:rPr>
          <w:rtl w:val="true"/>
        </w:rPr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۴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استفاده از اطلاعات حسابداری — </w:t>
      </w:r>
      <w:r>
        <w:rPr>
          <w:rFonts w:eastAsia="Times New Roman" w:cs="B Nazanin"/>
          <w:b/>
          <w:bCs/>
          <w:sz w:val="24"/>
          <w:szCs w:val="24"/>
          <w:lang w:val="en-US" w:bidi="fa-IR"/>
        </w:rPr>
        <w:t>Use of accounting information (AIU)</w:t>
      </w:r>
    </w:p>
    <w:p>
      <w:pPr>
        <w:pStyle w:val="Normal"/>
        <w:keepNext w:val="true"/>
        <w:bidi w:val="1"/>
        <w:spacing w:lineRule="auto" w:line="240" w:before="120" w:after="60"/>
        <w:jc w:val="center"/>
        <w:rPr/>
      </w:pP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جدول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lang w:val="en-US" w:bidi="fa-IR"/>
        </w:rPr>
        <w:t>۴</w:t>
      </w:r>
      <w:r>
        <w:rPr>
          <w:rFonts w:eastAsia="Times New Roman" w:cs="B Zar"/>
          <w:b/>
          <w:bCs/>
          <w:sz w:val="20"/>
          <w:szCs w:val="20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گویه‌های سازهٔ </w:t>
      </w:r>
      <w:r>
        <w:rPr>
          <w:rFonts w:eastAsia="Times New Roman" w:cs="B Zar"/>
          <w:b/>
          <w:bCs/>
          <w:sz w:val="20"/>
          <w:szCs w:val="20"/>
          <w:lang w:val="en-US" w:bidi="fa-IR"/>
        </w:rPr>
        <w:t>AIU</w:t>
      </w:r>
    </w:p>
    <w:tbl>
      <w:tblPr>
        <w:bidiVisual w:val="true"/>
        <w:tblW w:w="9072" w:type="dxa"/>
        <w:jc w:val="center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800"/>
        <w:gridCol w:w="5371"/>
        <w:gridCol w:w="581"/>
        <w:gridCol w:w="579"/>
        <w:gridCol w:w="580"/>
        <w:gridCol w:w="581"/>
        <w:gridCol w:w="579"/>
      </w:tblGrid>
      <w:tr>
        <w:trPr>
          <w:tblHeader w:val="true"/>
        </w:trPr>
        <w:tc>
          <w:tcPr>
            <w:tcW w:w="8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کد</w:t>
            </w:r>
          </w:p>
        </w:tc>
        <w:tc>
          <w:tcPr>
            <w:tcW w:w="5371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گویه</w:t>
            </w:r>
          </w:p>
        </w:tc>
        <w:tc>
          <w:tcPr>
            <w:tcW w:w="581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۱</w:t>
            </w:r>
          </w:p>
        </w:tc>
        <w:tc>
          <w:tcPr>
            <w:tcW w:w="57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۲</w:t>
            </w:r>
          </w:p>
        </w:tc>
        <w:tc>
          <w:tcPr>
            <w:tcW w:w="58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۳</w:t>
            </w:r>
          </w:p>
        </w:tc>
        <w:tc>
          <w:tcPr>
            <w:tcW w:w="581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۴</w:t>
            </w:r>
          </w:p>
        </w:tc>
        <w:tc>
          <w:tcPr>
            <w:tcW w:w="57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۵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AIU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۱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پیش از خرید یک سهم، صورت‌های مالی شرکت را بررسی می‌کنم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AIU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۲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از اطلاعات منتشرشده در سامانهٔ کدال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مانند گزارش فعالیت ماهانه و اطلاعیه‌های بااهمیت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)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استفاده می‌کنم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AIU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۳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سود هر سهم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EPS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)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، نسبت قیمت به سود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P/E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)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و سایر نسبت‌های مالی را در تصمیمم لحاظ می‌کنم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AIU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۴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به گزارش حسابرس مستقل و یادداشت‌های توضیحی صورت‌های مالی توجه می‌کنم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8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AIU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۵</w:t>
            </w:r>
          </w:p>
        </w:tc>
        <w:tc>
          <w:tcPr>
            <w:tcW w:w="5371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کیفیت سود و جریان‌های نقدی شرکت را پیش از تصمیم ارزیابی می‌کنم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</w:tbl>
    <w:p>
      <w:pPr>
        <w:pStyle w:val="Normal"/>
        <w:bidi w:val="1"/>
        <w:spacing w:lineRule="auto" w:line="240" w:before="0" w:after="100"/>
        <w:ind w:firstLine="360"/>
        <w:jc w:val="both"/>
        <w:rPr/>
      </w:pPr>
      <w:r>
        <w:rPr>
          <w:rtl w:val="true"/>
        </w:rPr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۵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کیفیت تصمیم سرمایه‌گذاری — </w:t>
      </w:r>
      <w:r>
        <w:rPr>
          <w:rFonts w:eastAsia="Times New Roman" w:cs="B Nazanin"/>
          <w:b/>
          <w:bCs/>
          <w:sz w:val="24"/>
          <w:szCs w:val="24"/>
          <w:lang w:val="en-US" w:bidi="fa-IR"/>
        </w:rPr>
        <w:t>Investment decision quality (IDQ)</w:t>
      </w:r>
    </w:p>
    <w:p>
      <w:pPr>
        <w:pStyle w:val="Normal"/>
        <w:keepNext w:val="true"/>
        <w:bidi w:val="1"/>
        <w:spacing w:lineRule="auto" w:line="240" w:before="120" w:after="60"/>
        <w:jc w:val="center"/>
        <w:rPr/>
      </w:pP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جدول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lang w:val="en-US" w:bidi="fa-IR"/>
        </w:rPr>
        <w:t>۵</w:t>
      </w:r>
      <w:r>
        <w:rPr>
          <w:rFonts w:eastAsia="Times New Roman" w:cs="B Zar"/>
          <w:b/>
          <w:bCs/>
          <w:sz w:val="20"/>
          <w:szCs w:val="20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گویه‌های سازهٔ </w:t>
      </w:r>
      <w:r>
        <w:rPr>
          <w:rFonts w:eastAsia="Times New Roman" w:cs="B Zar"/>
          <w:b/>
          <w:bCs/>
          <w:sz w:val="20"/>
          <w:szCs w:val="20"/>
          <w:lang w:val="en-US" w:bidi="fa-IR"/>
        </w:rPr>
        <w:t>IDQ</w:t>
      </w:r>
    </w:p>
    <w:tbl>
      <w:tblPr>
        <w:bidiVisual w:val="true"/>
        <w:tblW w:w="9072" w:type="dxa"/>
        <w:jc w:val="center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800"/>
        <w:gridCol w:w="5371"/>
        <w:gridCol w:w="581"/>
        <w:gridCol w:w="579"/>
        <w:gridCol w:w="580"/>
        <w:gridCol w:w="581"/>
        <w:gridCol w:w="579"/>
      </w:tblGrid>
      <w:tr>
        <w:trPr>
          <w:tblHeader w:val="true"/>
        </w:trPr>
        <w:tc>
          <w:tcPr>
            <w:tcW w:w="8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کد</w:t>
            </w:r>
          </w:p>
        </w:tc>
        <w:tc>
          <w:tcPr>
            <w:tcW w:w="5371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گویه</w:t>
            </w:r>
          </w:p>
        </w:tc>
        <w:tc>
          <w:tcPr>
            <w:tcW w:w="581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۱</w:t>
            </w:r>
          </w:p>
        </w:tc>
        <w:tc>
          <w:tcPr>
            <w:tcW w:w="57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۲</w:t>
            </w:r>
          </w:p>
        </w:tc>
        <w:tc>
          <w:tcPr>
            <w:tcW w:w="58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۳</w:t>
            </w:r>
          </w:p>
        </w:tc>
        <w:tc>
          <w:tcPr>
            <w:tcW w:w="581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۴</w:t>
            </w:r>
          </w:p>
        </w:tc>
        <w:tc>
          <w:tcPr>
            <w:tcW w:w="57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lang w:val="en-US" w:bidi="fa-IR"/>
              </w:rPr>
              <w:t>۵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IDQ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۱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تصمیم‌های سرمایه‌گذاری من معمولاً بر تحلیل مستند استوارند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IDQ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۲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از نتیجهٔ تصمیم‌های سرمایه‌گذاری خود در یک سال گذشته رضایت دارم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IDQ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۳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بازده سبد من در یک سال گذشته مطابق انتظارم بوده است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IDQ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۴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تصمیم‌های من با اهداف مالی بلندمدتم هم‌راستا هستند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8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IDQ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۵</w:t>
            </w:r>
          </w:p>
        </w:tc>
        <w:tc>
          <w:tcPr>
            <w:tcW w:w="5371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به‌ندرت از تصمیم‌های معاملاتی خود پشیمان می‌شوم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  <w:tc>
          <w:tcPr>
            <w:tcW w:w="581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81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57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</w:tbl>
    <w:p>
      <w:pPr>
        <w:pStyle w:val="Normal"/>
        <w:bidi w:val="1"/>
        <w:spacing w:lineRule="auto" w:line="240" w:before="0" w:after="100"/>
        <w:ind w:firstLine="360"/>
        <w:jc w:val="both"/>
        <w:rPr/>
      </w:pPr>
      <w:r>
        <w:rPr>
          <w:rtl w:val="true"/>
        </w:rPr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گویهٔ کنترل دقت 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نسخهٔ آنلاین؛ در میان گویه‌ها قرار می‌گیرد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):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«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برای نشان‌دادن دقت، در این ردیف گزینهٔ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۴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را انتخاب کنید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.»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پاسخ‌دهندهٔ ناموفق از تحلیل کنار گذاشته می‌شود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p>
      <w:pPr>
        <w:pStyle w:val="Normal"/>
        <w:bidi w:val="1"/>
        <w:spacing w:lineRule="auto" w:line="240" w:before="0" w:after="50"/>
        <w:jc w:val="center"/>
        <w:rPr/>
      </w:pP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با سپاس از وقتی که گذاشتید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p>
      <w:pPr>
        <w:pStyle w:val="Normal"/>
        <w:rPr/>
      </w:pPr>
      <w:r>
        <w:rPr>
          <w:rtl w:val="true"/>
        </w:rPr>
      </w:r>
      <w:r>
        <w:br w:type="page"/>
      </w:r>
    </w:p>
    <w:p>
      <w:pPr>
        <w:pStyle w:val="Normal"/>
        <w:bidi w:val="1"/>
        <w:spacing w:lineRule="auto" w:line="240" w:before="0" w:after="200"/>
        <w:jc w:val="center"/>
        <w:rPr/>
      </w:pPr>
      <w:r>
        <w:rPr>
          <w:rFonts w:ascii="Times New Roman" w:hAnsi="Times New Roman" w:eastAsia="Times New Roman" w:cs="B Zar"/>
          <w:b/>
          <w:b/>
          <w:bCs/>
          <w:sz w:val="24"/>
          <w:sz w:val="24"/>
          <w:szCs w:val="24"/>
          <w:rtl w:val="true"/>
          <w:lang w:val="en-US" w:bidi="fa-IR"/>
        </w:rPr>
        <w:t>پیوست پژوهشگر</w:t>
      </w:r>
      <w:r>
        <w:rPr>
          <w:rFonts w:eastAsia="Times New Roman" w:cs="B Zar"/>
          <w:b/>
          <w:bCs/>
          <w:sz w:val="24"/>
          <w:szCs w:val="24"/>
          <w:rtl w:val="true"/>
          <w:lang w:val="en-US" w:bidi="fa-IR"/>
        </w:rPr>
        <w:t xml:space="preserve">: </w:t>
      </w:r>
      <w:r>
        <w:rPr>
          <w:rFonts w:ascii="Times New Roman" w:hAnsi="Times New Roman" w:eastAsia="Times New Roman" w:cs="B Zar"/>
          <w:b/>
          <w:b/>
          <w:bCs/>
          <w:sz w:val="24"/>
          <w:sz w:val="24"/>
          <w:szCs w:val="24"/>
          <w:rtl w:val="true"/>
          <w:lang w:val="en-US" w:bidi="fa-IR"/>
        </w:rPr>
        <w:t xml:space="preserve">منابع، نمره‌دهی و اعتبارسنجی </w:t>
      </w:r>
      <w:r>
        <w:rPr>
          <w:rFonts w:eastAsia="Times New Roman" w:cs="B Zar"/>
          <w:b/>
          <w:bCs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 w:cs="B Zar"/>
          <w:b/>
          <w:b/>
          <w:bCs/>
          <w:sz w:val="24"/>
          <w:sz w:val="24"/>
          <w:szCs w:val="24"/>
          <w:rtl w:val="true"/>
          <w:lang w:val="en-US" w:bidi="fa-IR"/>
        </w:rPr>
        <w:t>در نسخهٔ توزیع‌شده حذف شود</w:t>
      </w:r>
      <w:r>
        <w:rPr>
          <w:rFonts w:eastAsia="Times New Roman" w:cs="B Zar"/>
          <w:b/>
          <w:bCs/>
          <w:sz w:val="24"/>
          <w:szCs w:val="24"/>
          <w:rtl w:val="true"/>
          <w:lang w:val="en-US" w:bidi="fa-IR"/>
        </w:rPr>
        <w:t>)</w:t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۱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مبنای نظری و منبع هر سازه</w:t>
      </w:r>
    </w:p>
    <w:p>
      <w:pPr>
        <w:pStyle w:val="Normal"/>
        <w:keepNext w:val="true"/>
        <w:bidi w:val="1"/>
        <w:spacing w:lineRule="auto" w:line="240" w:before="120" w:after="60"/>
        <w:jc w:val="center"/>
        <w:rPr/>
      </w:pP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جدول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lang w:val="en-US" w:bidi="fa-IR"/>
        </w:rPr>
        <w:t>۱</w:t>
      </w:r>
      <w:r>
        <w:rPr>
          <w:rFonts w:eastAsia="Times New Roman" w:cs="B Zar"/>
          <w:b/>
          <w:bCs/>
          <w:sz w:val="20"/>
          <w:szCs w:val="20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>منبع و وضعیت گویه‌ها</w:t>
      </w:r>
    </w:p>
    <w:tbl>
      <w:tblPr>
        <w:bidiVisual w:val="true"/>
        <w:tblW w:w="9000" w:type="dxa"/>
        <w:jc w:val="center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2400"/>
        <w:gridCol w:w="599"/>
        <w:gridCol w:w="3600"/>
        <w:gridCol w:w="2400"/>
      </w:tblGrid>
      <w:tr>
        <w:trPr>
          <w:tblHeader w:val="true"/>
        </w:trPr>
        <w:tc>
          <w:tcPr>
            <w:tcW w:w="24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rtl w:val="true"/>
                <w:lang w:val="en-US" w:bidi="fa-IR"/>
              </w:rPr>
              <w:t>سازه</w:t>
            </w:r>
          </w:p>
        </w:tc>
        <w:tc>
          <w:tcPr>
            <w:tcW w:w="59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rtl w:val="true"/>
                <w:lang w:val="en-US" w:bidi="fa-IR"/>
              </w:rPr>
              <w:t>گویه</w:t>
            </w:r>
          </w:p>
        </w:tc>
        <w:tc>
          <w:tcPr>
            <w:tcW w:w="36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rtl w:val="true"/>
                <w:lang w:val="en-US" w:bidi="fa-IR"/>
              </w:rPr>
              <w:t>منابع مبنا</w:t>
            </w:r>
          </w:p>
        </w:tc>
        <w:tc>
          <w:tcPr>
            <w:tcW w:w="24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rtl w:val="true"/>
                <w:lang w:val="en-US" w:bidi="fa-IR"/>
              </w:rPr>
              <w:t>وضعیت</w:t>
            </w:r>
          </w:p>
        </w:tc>
      </w:tr>
      <w:tr>
        <w:trPr>
          <w:cantSplit w:val="true"/>
        </w:trPr>
        <w:tc>
          <w:tcPr>
            <w:tcW w:w="24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مواجهه با محتوای سرمایه‌گذاری در شبکه‌های اجتماعی 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SME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5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۵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Ellison, N. B., Steinfield, C., &amp; Lampe, C. 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۲۰۰۷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)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؛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Cookson, J. A., Engelberg, J. E., &amp; Mullins, W. 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۲۰۲۳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)</w:t>
            </w:r>
          </w:p>
        </w:tc>
        <w:tc>
          <w:tcPr>
            <w:tcW w:w="24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بازنویسی و بومی‌سازی توسط پژوهشگر</w:t>
            </w:r>
          </w:p>
        </w:tc>
      </w:tr>
      <w:tr>
        <w:trPr>
          <w:cantSplit w:val="true"/>
        </w:trPr>
        <w:tc>
          <w:tcPr>
            <w:tcW w:w="24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ترس از دست دادن فرصت سرمایه‌گذاری 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فومو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 (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FOMO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5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۶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Przybylski, A. K., Murayama, K., DeHaan, C. R., &amp; Gladwell, V. 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۲۰۱۳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)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؛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Abel, J. P., Buff, C. L., &amp; Burr, S. A. 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۲۰۱۶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)</w:t>
            </w:r>
          </w:p>
        </w:tc>
        <w:tc>
          <w:tcPr>
            <w:tcW w:w="24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تطبیق با زمینهٔ سرمایه‌گذاری؛ ترجمه و بازنویسی</w:t>
            </w:r>
          </w:p>
        </w:tc>
      </w:tr>
      <w:tr>
        <w:trPr>
          <w:cantSplit w:val="true"/>
        </w:trPr>
        <w:tc>
          <w:tcPr>
            <w:tcW w:w="24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رفتار توده‌وار 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HRD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5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۵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Bakar, S., &amp; Yi, A. N. C. 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۲۰۱۶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)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؛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Kumar, S., &amp; Goyal, N. 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۲۰۱۵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)</w:t>
            </w:r>
          </w:p>
        </w:tc>
        <w:tc>
          <w:tcPr>
            <w:tcW w:w="24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بازنویسی و بومی‌سازی</w:t>
            </w:r>
          </w:p>
        </w:tc>
      </w:tr>
      <w:tr>
        <w:trPr>
          <w:cantSplit w:val="true"/>
        </w:trPr>
        <w:tc>
          <w:tcPr>
            <w:tcW w:w="24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استفاده از اطلاعات حسابداری 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AIU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5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۵</w:t>
            </w:r>
          </w:p>
        </w:tc>
        <w:tc>
          <w:tcPr>
            <w:tcW w:w="36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Lawrence, A. 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۲۰۱۳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)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؛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Miller, G. S., &amp; Skinner, D. J. 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۲۰۱۵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)</w:t>
            </w:r>
          </w:p>
        </w:tc>
        <w:tc>
          <w:tcPr>
            <w:tcW w:w="24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توسعه‌یافته توسط پژوهشگر</w:t>
            </w:r>
          </w:p>
        </w:tc>
      </w:tr>
      <w:tr>
        <w:trPr>
          <w:cantSplit w:val="true"/>
        </w:trPr>
        <w:tc>
          <w:tcPr>
            <w:tcW w:w="24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کیفیت تصمیم سرمایه‌گذاری 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IDQ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59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۵</w:t>
            </w:r>
          </w:p>
        </w:tc>
        <w:tc>
          <w:tcPr>
            <w:tcW w:w="36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Parker, A. M., &amp; Fischhoff, B. 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۲۰۰۵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)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؛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Bruine de Bruin, W., Parker, A. M., &amp; Fischhoff, B. 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۲۰۰۷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)</w:t>
            </w:r>
          </w:p>
        </w:tc>
        <w:tc>
          <w:tcPr>
            <w:tcW w:w="24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توسعه‌یافته توسط پژوهشگر</w:t>
            </w:r>
          </w:p>
        </w:tc>
      </w:tr>
    </w:tbl>
    <w:p>
      <w:pPr>
        <w:pStyle w:val="Normal"/>
        <w:bidi w:val="1"/>
        <w:spacing w:lineRule="auto" w:line="240" w:before="0" w:after="100"/>
        <w:ind w:firstLine="360"/>
        <w:jc w:val="both"/>
        <w:rPr/>
      </w:pPr>
      <w:r>
        <w:rPr>
          <w:rtl w:val="true"/>
        </w:rPr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هشدار روش‌شناختی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هیچ‌یک از گویه‌ها نسخهٔ استانداردشدهٔ فارسی نیست؛ همه از مقیاس‌های بین‌المللی بازنویسی یا بر پایهٔ تعریف نظری سازه توسط پژوهشگر ساخته شده‌اند و پیش از جمع‌آوری داده‌ٔ واقعی باید اعتبارسنجی شوند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بخش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۴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).</w:t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۲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راهنمای نمره‌دهی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کدگذاری پاسخ‌ها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گزینه‌ها به ترتیب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تا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۵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کد می‌شوند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هیچ گویهٔ معکوسی وجود ندارد، بنابراین بازکدگذاری لازم نیست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نمرهٔ سازه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=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میانگین حسابی گویه‌های آن سازه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دامنه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تا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۵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)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؛ نمرهٔ بالاتر یعنی شدت بیشتر سازه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در کیفیت تصمیم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: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کیفیت بهتر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).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داده‌های گم‌شده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اگر دست‌کم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۸۰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٪ گویه‌های یک سازه پاسخ داده شده باشد، میانگین گویه‌های پاسخ‌داده‌شده محاسبه می‌شود، وگرنه نمرهٔ آن سازه گم‌شده است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p>
      <w:pPr>
        <w:pStyle w:val="Normal"/>
        <w:keepNext w:val="true"/>
        <w:bidi w:val="1"/>
        <w:spacing w:lineRule="auto" w:line="240" w:before="120" w:after="60"/>
        <w:jc w:val="center"/>
        <w:rPr/>
      </w:pP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جدول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lang w:val="en-US" w:bidi="fa-IR"/>
        </w:rPr>
        <w:t>۲</w:t>
      </w:r>
      <w:r>
        <w:rPr>
          <w:rFonts w:eastAsia="Times New Roman" w:cs="B Zar"/>
          <w:b/>
          <w:bCs/>
          <w:sz w:val="20"/>
          <w:szCs w:val="20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>فرمول نمره‌دهی</w:t>
      </w:r>
    </w:p>
    <w:tbl>
      <w:tblPr>
        <w:bidiVisual w:val="true"/>
        <w:tblW w:w="9000" w:type="dxa"/>
        <w:jc w:val="center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2300"/>
        <w:gridCol w:w="2700"/>
        <w:gridCol w:w="1499"/>
        <w:gridCol w:w="1301"/>
        <w:gridCol w:w="1200"/>
      </w:tblGrid>
      <w:tr>
        <w:trPr>
          <w:tblHeader w:val="true"/>
        </w:trPr>
        <w:tc>
          <w:tcPr>
            <w:tcW w:w="23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rtl w:val="true"/>
                <w:lang w:val="en-US" w:bidi="fa-IR"/>
              </w:rPr>
              <w:t>سازه</w:t>
            </w:r>
          </w:p>
        </w:tc>
        <w:tc>
          <w:tcPr>
            <w:tcW w:w="27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rtl w:val="true"/>
                <w:lang w:val="en-US" w:bidi="fa-IR"/>
              </w:rPr>
              <w:t>گویه‌ها</w:t>
            </w:r>
          </w:p>
        </w:tc>
        <w:tc>
          <w:tcPr>
            <w:tcW w:w="149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rtl w:val="true"/>
                <w:lang w:val="en-US" w:bidi="fa-IR"/>
              </w:rPr>
              <w:t>فرمول</w:t>
            </w:r>
          </w:p>
        </w:tc>
        <w:tc>
          <w:tcPr>
            <w:tcW w:w="1301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rtl w:val="true"/>
                <w:lang w:val="en-US" w:bidi="fa-IR"/>
              </w:rPr>
              <w:t>جمع خام</w:t>
            </w:r>
          </w:p>
        </w:tc>
        <w:tc>
          <w:tcPr>
            <w:tcW w:w="12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rtl w:val="true"/>
                <w:lang w:val="en-US" w:bidi="fa-IR"/>
              </w:rPr>
              <w:t>نمرهٔ میانگین</w:t>
            </w:r>
          </w:p>
        </w:tc>
      </w:tr>
      <w:tr>
        <w:trPr>
          <w:cantSplit w:val="true"/>
        </w:trPr>
        <w:tc>
          <w:tcPr>
            <w:tcW w:w="2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مواجهه با محتوای سرمایه‌گذاری در شبکه‌های اجتماعی 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SME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SME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 xml:space="preserve">۱،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SME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 xml:space="preserve">۲،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SME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 xml:space="preserve">۳،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SME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 xml:space="preserve">۴،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SME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۵</w:t>
            </w:r>
          </w:p>
        </w:tc>
        <w:tc>
          <w:tcPr>
            <w:tcW w:w="14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میانگین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۵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گویه</w:t>
            </w:r>
          </w:p>
        </w:tc>
        <w:tc>
          <w:tcPr>
            <w:tcW w:w="130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۵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تا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۲۵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تا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۵</w:t>
            </w:r>
          </w:p>
        </w:tc>
      </w:tr>
      <w:tr>
        <w:trPr>
          <w:cantSplit w:val="true"/>
        </w:trPr>
        <w:tc>
          <w:tcPr>
            <w:tcW w:w="2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ترس از دست دادن فرصت سرمایه‌گذاری 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>فومو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 (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FOMO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FOMO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 xml:space="preserve">۱،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FOMO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 xml:space="preserve">۲،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FOMO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 xml:space="preserve">۳،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FOMO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 xml:space="preserve">۴،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FOMO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 xml:space="preserve">۵،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FOMO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۶</w:t>
            </w:r>
          </w:p>
        </w:tc>
        <w:tc>
          <w:tcPr>
            <w:tcW w:w="14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میانگین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۶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گویه</w:t>
            </w:r>
          </w:p>
        </w:tc>
        <w:tc>
          <w:tcPr>
            <w:tcW w:w="130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۶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تا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۳۰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تا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۵</w:t>
            </w:r>
          </w:p>
        </w:tc>
      </w:tr>
      <w:tr>
        <w:trPr>
          <w:cantSplit w:val="true"/>
        </w:trPr>
        <w:tc>
          <w:tcPr>
            <w:tcW w:w="2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رفتار توده‌وار 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HRD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HRD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 xml:space="preserve">۱،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HRD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 xml:space="preserve">۲،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HRD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 xml:space="preserve">۳،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HRD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 xml:space="preserve">۴،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HRD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۵</w:t>
            </w:r>
          </w:p>
        </w:tc>
        <w:tc>
          <w:tcPr>
            <w:tcW w:w="14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میانگین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۵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گویه</w:t>
            </w:r>
          </w:p>
        </w:tc>
        <w:tc>
          <w:tcPr>
            <w:tcW w:w="130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۵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تا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۲۵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تا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۵</w:t>
            </w:r>
          </w:p>
        </w:tc>
      </w:tr>
      <w:tr>
        <w:trPr>
          <w:cantSplit w:val="true"/>
        </w:trPr>
        <w:tc>
          <w:tcPr>
            <w:tcW w:w="2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استفاده از اطلاعات حسابداری 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AIU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AIU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 xml:space="preserve">۱،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AIU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 xml:space="preserve">۲،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AIU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 xml:space="preserve">۳،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AIU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 xml:space="preserve">۴،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AIU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۵</w:t>
            </w:r>
          </w:p>
        </w:tc>
        <w:tc>
          <w:tcPr>
            <w:tcW w:w="14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میانگین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۵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گویه</w:t>
            </w:r>
          </w:p>
        </w:tc>
        <w:tc>
          <w:tcPr>
            <w:tcW w:w="130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۵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تا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۲۵</w:t>
            </w:r>
          </w:p>
        </w:tc>
        <w:tc>
          <w:tcPr>
            <w:tcW w:w="12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تا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۵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کیفیت تصمیم سرمایه‌گذاری 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IDQ</w:t>
            </w: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27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IDQ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 xml:space="preserve">۱،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IDQ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 xml:space="preserve">۲،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IDQ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 xml:space="preserve">۳،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IDQ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 xml:space="preserve">۴، </w:t>
            </w: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IDQ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۵</w:t>
            </w:r>
          </w:p>
        </w:tc>
        <w:tc>
          <w:tcPr>
            <w:tcW w:w="149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میانگین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۵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گویه</w:t>
            </w:r>
          </w:p>
        </w:tc>
        <w:tc>
          <w:tcPr>
            <w:tcW w:w="1301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۵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تا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۲۵</w:t>
            </w:r>
          </w:p>
        </w:tc>
        <w:tc>
          <w:tcPr>
            <w:tcW w:w="12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تا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۵</w:t>
            </w:r>
          </w:p>
        </w:tc>
      </w:tr>
    </w:tbl>
    <w:p>
      <w:pPr>
        <w:pStyle w:val="Normal"/>
        <w:bidi w:val="1"/>
        <w:spacing w:lineRule="auto" w:line="240" w:before="0" w:after="100"/>
        <w:ind w:firstLine="360"/>
        <w:jc w:val="both"/>
        <w:rPr/>
      </w:pPr>
      <w:r>
        <w:rPr>
          <w:rtl w:val="true"/>
        </w:rPr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تفسیر نمرهٔ میانگین 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پیشنهادی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):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تا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۲٫۳۳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=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پایین؛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۲٫۳۴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تا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۳٫۶۷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=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متوسط؛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۳٫۶۸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تا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۵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=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بالا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مثال محاسبه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اگر پاسخ‌های یک نفر به گویه‌های </w:t>
      </w:r>
      <w:r>
        <w:rPr>
          <w:rFonts w:eastAsia="Times New Roman" w:cs="B Nazanin"/>
          <w:sz w:val="24"/>
          <w:szCs w:val="24"/>
          <w:lang w:val="en-US" w:bidi="fa-IR"/>
        </w:rPr>
        <w:t>FOMO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تا </w:t>
      </w:r>
      <w:r>
        <w:rPr>
          <w:rFonts w:eastAsia="Times New Roman" w:cs="B Nazanin"/>
          <w:sz w:val="24"/>
          <w:szCs w:val="24"/>
          <w:lang w:val="en-US" w:bidi="fa-IR"/>
        </w:rPr>
        <w:t>FOMO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۶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برابر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۴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،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۵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،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۳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،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۴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،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۴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و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۵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باشد، نمرهٔ فومو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= (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۴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+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۵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+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۳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+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۴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+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۴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+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۵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 ÷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۶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=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۴٫۱۷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سطح بالا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).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متغیرهای دیگر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جنسیت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=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مرد،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۰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=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زن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)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، تحصیلات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تا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۴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).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تذکر روش‌شناختی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میانگین یا جمع گویه‌ها فقط برای گزارش توصیفی و بازخورد به پاسخ‌دهنده مناسب است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در مقالهٔ مربوط، همهٔ تحلیل‌ها بر پایهٔ مدل متغیر پنهان انجام شده است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هر گویه مستقیماً به سازهٔ خود متصل است و هیچ نمرهٔ ترکیبی ساخته نمی‌شود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)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؛ اگر نمرهٔ فردی برای هر پاسخ‌دهنده لازم باشد، نمرهٔ عاملی مبتنی بر بارهای مدل اندازه‌گیری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روش رگرسیونی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توصیه می‌شود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۳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شاخص‌های مورد انتظار پایایی و روایی</w:t>
      </w:r>
    </w:p>
    <w:p>
      <w:pPr>
        <w:pStyle w:val="Normal"/>
        <w:keepNext w:val="true"/>
        <w:bidi w:val="1"/>
        <w:spacing w:lineRule="auto" w:line="240" w:before="120" w:after="60"/>
        <w:jc w:val="center"/>
        <w:rPr/>
      </w:pP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جدول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lang w:val="en-US" w:bidi="fa-IR"/>
        </w:rPr>
        <w:t>۳</w:t>
      </w:r>
      <w:r>
        <w:rPr>
          <w:rFonts w:eastAsia="Times New Roman" w:cs="B Zar"/>
          <w:b/>
          <w:bCs/>
          <w:sz w:val="20"/>
          <w:szCs w:val="20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پایایی و روایی همگرا در داده‌ٔ شبیه‌سازی‌شده </w:t>
      </w:r>
      <w:r>
        <w:rPr>
          <w:rFonts w:eastAsia="Times New Roman" w:cs="B Zar"/>
          <w:b/>
          <w:bCs/>
          <w:sz w:val="20"/>
          <w:szCs w:val="20"/>
          <w:rtl w:val="true"/>
          <w:lang w:val="en-US" w:bidi="fa-IR"/>
        </w:rPr>
        <w:t>(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>مرجع مقایسه؛ نه نتیجهٔ تجربی</w:t>
      </w:r>
      <w:r>
        <w:rPr>
          <w:rFonts w:eastAsia="Times New Roman" w:cs="B Zar"/>
          <w:b/>
          <w:bCs/>
          <w:sz w:val="20"/>
          <w:szCs w:val="20"/>
          <w:rtl w:val="true"/>
          <w:lang w:val="en-US" w:bidi="fa-IR"/>
        </w:rPr>
        <w:t>)</w:t>
      </w:r>
    </w:p>
    <w:tbl>
      <w:tblPr>
        <w:bidiVisual w:val="true"/>
        <w:tblW w:w="9100" w:type="dxa"/>
        <w:jc w:val="center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4600"/>
        <w:gridCol w:w="1499"/>
        <w:gridCol w:w="1501"/>
        <w:gridCol w:w="1499"/>
      </w:tblGrid>
      <w:tr>
        <w:trPr>
          <w:tblHeader w:val="true"/>
        </w:trPr>
        <w:tc>
          <w:tcPr>
            <w:tcW w:w="46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سازه</w:t>
            </w:r>
          </w:p>
        </w:tc>
        <w:tc>
          <w:tcPr>
            <w:tcW w:w="149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آلفا</w:t>
            </w:r>
          </w:p>
        </w:tc>
        <w:tc>
          <w:tcPr>
            <w:tcW w:w="1501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b/>
                <w:bCs/>
                <w:sz w:val="22"/>
                <w:szCs w:val="22"/>
                <w:lang w:val="en-US" w:bidi="fa-IR"/>
              </w:rPr>
              <w:t>CR</w:t>
            </w:r>
          </w:p>
        </w:tc>
        <w:tc>
          <w:tcPr>
            <w:tcW w:w="149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b/>
                <w:bCs/>
                <w:sz w:val="22"/>
                <w:szCs w:val="22"/>
                <w:lang w:val="en-US" w:bidi="fa-IR"/>
              </w:rPr>
              <w:t>AVE</w:t>
            </w:r>
          </w:p>
        </w:tc>
      </w:tr>
      <w:tr>
        <w:trPr>
          <w:cantSplit w:val="true"/>
        </w:trPr>
        <w:tc>
          <w:tcPr>
            <w:tcW w:w="46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مواجهه با محتوای سرمایه‌گذاری در شبکه‌های اجتماعی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SME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)</w:t>
            </w:r>
          </w:p>
        </w:tc>
        <w:tc>
          <w:tcPr>
            <w:tcW w:w="14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۰٫۸۲۹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۰٫۸۳۱</w:t>
            </w:r>
          </w:p>
        </w:tc>
        <w:tc>
          <w:tcPr>
            <w:tcW w:w="14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۰٫۵۰۰</w:t>
            </w:r>
          </w:p>
        </w:tc>
      </w:tr>
      <w:tr>
        <w:trPr>
          <w:cantSplit w:val="true"/>
        </w:trPr>
        <w:tc>
          <w:tcPr>
            <w:tcW w:w="46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ترس از دست دادن فرصت سرمایه‌گذاری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فومو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) (</w:t>
            </w: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FOMO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)</w:t>
            </w:r>
          </w:p>
        </w:tc>
        <w:tc>
          <w:tcPr>
            <w:tcW w:w="14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۰٫۸۷۵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۰٫۸۷۵</w:t>
            </w:r>
          </w:p>
        </w:tc>
        <w:tc>
          <w:tcPr>
            <w:tcW w:w="14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۰٫۵۴۰</w:t>
            </w:r>
          </w:p>
        </w:tc>
      </w:tr>
      <w:tr>
        <w:trPr>
          <w:cantSplit w:val="true"/>
        </w:trPr>
        <w:tc>
          <w:tcPr>
            <w:tcW w:w="46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رفتار توده‌وار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HRD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)</w:t>
            </w:r>
          </w:p>
        </w:tc>
        <w:tc>
          <w:tcPr>
            <w:tcW w:w="14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۰٫۸۴۴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۰٫۸۴۶</w:t>
            </w:r>
          </w:p>
        </w:tc>
        <w:tc>
          <w:tcPr>
            <w:tcW w:w="14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۰٫۵۲۴</w:t>
            </w:r>
          </w:p>
        </w:tc>
      </w:tr>
      <w:tr>
        <w:trPr>
          <w:cantSplit w:val="true"/>
        </w:trPr>
        <w:tc>
          <w:tcPr>
            <w:tcW w:w="46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استفاده از اطلاعات حسابداری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AIU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)</w:t>
            </w:r>
          </w:p>
        </w:tc>
        <w:tc>
          <w:tcPr>
            <w:tcW w:w="14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۰٫۸۴۴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۰٫۸۴۶</w:t>
            </w:r>
          </w:p>
        </w:tc>
        <w:tc>
          <w:tcPr>
            <w:tcW w:w="14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۰٫۵۲۵</w:t>
            </w:r>
          </w:p>
        </w:tc>
      </w:tr>
      <w:tr>
        <w:trPr>
          <w:cantSplit w:val="true"/>
        </w:trPr>
        <w:tc>
          <w:tcPr>
            <w:tcW w:w="46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کیفیت تصمیم سرمایه‌گذاری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IDQ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)</w:t>
            </w:r>
          </w:p>
        </w:tc>
        <w:tc>
          <w:tcPr>
            <w:tcW w:w="149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۰٫۸۴۵</w:t>
            </w:r>
          </w:p>
        </w:tc>
        <w:tc>
          <w:tcPr>
            <w:tcW w:w="1501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۰٫۸۴۶</w:t>
            </w:r>
          </w:p>
        </w:tc>
        <w:tc>
          <w:tcPr>
            <w:tcW w:w="149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۰٫۵۲۶</w:t>
            </w:r>
          </w:p>
        </w:tc>
      </w:tr>
    </w:tbl>
    <w:p>
      <w:pPr>
        <w:pStyle w:val="Normal"/>
        <w:bidi w:val="1"/>
        <w:spacing w:lineRule="auto" w:line="240" w:before="40" w:after="120"/>
        <w:jc w:val="both"/>
        <w:rPr/>
      </w:pPr>
      <w:r>
        <w:rPr>
          <w:rFonts w:ascii="Times New Roman" w:hAnsi="Times New Roman" w:eastAsia="Times New Roman"/>
          <w:sz w:val="20"/>
          <w:sz w:val="20"/>
          <w:szCs w:val="20"/>
          <w:rtl w:val="true"/>
          <w:lang w:val="en-US" w:bidi="fa-IR"/>
        </w:rPr>
        <w:t>آستانه‌ها</w:t>
      </w:r>
      <w:r>
        <w:rPr>
          <w:rFonts w:eastAsia="Times New Roman" w:cs="B Nazanin"/>
          <w:sz w:val="20"/>
          <w:szCs w:val="20"/>
          <w:rtl w:val="true"/>
          <w:lang w:val="en-US" w:bidi="fa-IR"/>
        </w:rPr>
        <w:t xml:space="preserve">: </w:t>
      </w:r>
      <w:r>
        <w:rPr>
          <w:rFonts w:ascii="Times New Roman" w:hAnsi="Times New Roman" w:eastAsia="Times New Roman"/>
          <w:sz w:val="20"/>
          <w:sz w:val="20"/>
          <w:szCs w:val="20"/>
          <w:rtl w:val="true"/>
          <w:lang w:val="en-US" w:bidi="fa-IR"/>
        </w:rPr>
        <w:t xml:space="preserve">آلفا و </w:t>
      </w:r>
      <w:r>
        <w:rPr>
          <w:rFonts w:eastAsia="Times New Roman" w:cs="B Nazanin"/>
          <w:sz w:val="20"/>
          <w:szCs w:val="20"/>
          <w:lang w:val="en-US" w:bidi="fa-IR"/>
        </w:rPr>
        <w:t xml:space="preserve">CR ≥ </w:t>
      </w:r>
      <w:r>
        <w:rPr>
          <w:rFonts w:ascii="Times New Roman" w:hAnsi="Times New Roman" w:eastAsia="Times New Roman"/>
          <w:sz w:val="20"/>
          <w:sz w:val="20"/>
          <w:szCs w:val="20"/>
          <w:lang w:val="en-US" w:bidi="fa-IR"/>
        </w:rPr>
        <w:t>۰٫۷۰</w:t>
      </w:r>
      <w:r>
        <w:rPr>
          <w:rFonts w:ascii="Times New Roman" w:hAnsi="Times New Roman" w:eastAsia="Times New Roman"/>
          <w:sz w:val="20"/>
          <w:sz w:val="20"/>
          <w:szCs w:val="20"/>
          <w:rtl w:val="true"/>
          <w:lang w:val="en-US" w:bidi="fa-IR"/>
        </w:rPr>
        <w:t xml:space="preserve">؛ </w:t>
      </w:r>
      <w:r>
        <w:rPr>
          <w:rFonts w:eastAsia="Times New Roman" w:cs="B Nazanin"/>
          <w:sz w:val="20"/>
          <w:szCs w:val="20"/>
          <w:lang w:val="en-US" w:bidi="fa-IR"/>
        </w:rPr>
        <w:t xml:space="preserve">AVE ≥ </w:t>
      </w:r>
      <w:r>
        <w:rPr>
          <w:rFonts w:ascii="Times New Roman" w:hAnsi="Times New Roman" w:eastAsia="Times New Roman"/>
          <w:sz w:val="20"/>
          <w:sz w:val="20"/>
          <w:szCs w:val="20"/>
          <w:lang w:val="en-US" w:bidi="fa-IR"/>
        </w:rPr>
        <w:t>۰٫۵۰</w:t>
      </w:r>
      <w:r>
        <w:rPr>
          <w:rFonts w:ascii="Times New Roman" w:hAnsi="Times New Roman" w:eastAsia="Times New Roman"/>
          <w:sz w:val="20"/>
          <w:sz w:val="20"/>
          <w:szCs w:val="20"/>
          <w:rtl w:val="true"/>
          <w:lang w:val="en-US" w:bidi="fa-IR"/>
        </w:rPr>
        <w:t xml:space="preserve"> </w:t>
      </w:r>
      <w:r>
        <w:rPr>
          <w:rFonts w:eastAsia="Times New Roman" w:cs="B Nazanin"/>
          <w:sz w:val="20"/>
          <w:szCs w:val="20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0"/>
          <w:sz w:val="20"/>
          <w:szCs w:val="20"/>
          <w:rtl w:val="true"/>
          <w:lang w:val="en-US" w:bidi="fa-IR"/>
        </w:rPr>
        <w:t>فورنل و لارکر</w:t>
      </w:r>
      <w:r>
        <w:rPr>
          <w:rFonts w:eastAsia="Times New Roman" w:cs="B Nazanin"/>
          <w:sz w:val="20"/>
          <w:szCs w:val="20"/>
          <w:rtl w:val="true"/>
          <w:lang w:val="en-US" w:bidi="fa-IR"/>
        </w:rPr>
        <w:t>)</w:t>
      </w:r>
      <w:r>
        <w:rPr>
          <w:rFonts w:ascii="Times New Roman" w:hAnsi="Times New Roman" w:eastAsia="Times New Roman"/>
          <w:sz w:val="20"/>
          <w:sz w:val="20"/>
          <w:szCs w:val="20"/>
          <w:rtl w:val="true"/>
          <w:lang w:val="en-US" w:bidi="fa-IR"/>
        </w:rPr>
        <w:t xml:space="preserve">؛ </w:t>
      </w:r>
      <w:r>
        <w:rPr>
          <w:rFonts w:eastAsia="Times New Roman" w:cs="B Nazanin"/>
          <w:sz w:val="20"/>
          <w:szCs w:val="20"/>
          <w:lang w:val="en-US" w:bidi="fa-IR"/>
        </w:rPr>
        <w:t xml:space="preserve">HTMT &lt; </w:t>
      </w:r>
      <w:r>
        <w:rPr>
          <w:rFonts w:ascii="Times New Roman" w:hAnsi="Times New Roman" w:eastAsia="Times New Roman"/>
          <w:sz w:val="20"/>
          <w:sz w:val="20"/>
          <w:szCs w:val="20"/>
          <w:lang w:val="en-US" w:bidi="fa-IR"/>
        </w:rPr>
        <w:t>۰٫۸۵</w:t>
      </w:r>
      <w:r>
        <w:rPr>
          <w:rFonts w:ascii="Times New Roman" w:hAnsi="Times New Roman" w:eastAsia="Times New Roman"/>
          <w:sz w:val="20"/>
          <w:sz w:val="20"/>
          <w:szCs w:val="20"/>
          <w:rtl w:val="true"/>
          <w:lang w:val="en-US" w:bidi="fa-IR"/>
        </w:rPr>
        <w:t xml:space="preserve"> </w:t>
      </w:r>
      <w:r>
        <w:rPr>
          <w:rFonts w:eastAsia="Times New Roman" w:cs="B Nazanin"/>
          <w:sz w:val="20"/>
          <w:szCs w:val="20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0"/>
          <w:sz w:val="20"/>
          <w:szCs w:val="20"/>
          <w:rtl w:val="true"/>
          <w:lang w:val="en-US" w:bidi="fa-IR"/>
        </w:rPr>
        <w:t>هنسلر و همکاران</w:t>
      </w:r>
      <w:r>
        <w:rPr>
          <w:rFonts w:eastAsia="Times New Roman" w:cs="B Nazanin"/>
          <w:sz w:val="20"/>
          <w:szCs w:val="20"/>
          <w:rtl w:val="true"/>
          <w:lang w:val="en-US" w:bidi="fa-IR"/>
        </w:rPr>
        <w:t>)</w:t>
      </w:r>
      <w:r>
        <w:rPr>
          <w:rFonts w:ascii="Times New Roman" w:hAnsi="Times New Roman" w:eastAsia="Times New Roman"/>
          <w:sz w:val="20"/>
          <w:sz w:val="20"/>
          <w:szCs w:val="20"/>
          <w:rtl w:val="true"/>
          <w:lang w:val="en-US" w:bidi="fa-IR"/>
        </w:rPr>
        <w:t xml:space="preserve">؛ بار عاملی استاندارد ≥ </w:t>
      </w:r>
      <w:r>
        <w:rPr>
          <w:rFonts w:ascii="Times New Roman" w:hAnsi="Times New Roman" w:eastAsia="Times New Roman"/>
          <w:sz w:val="20"/>
          <w:sz w:val="20"/>
          <w:szCs w:val="20"/>
          <w:lang w:val="en-US" w:bidi="fa-IR"/>
        </w:rPr>
        <w:t>۰٫۵۰</w:t>
      </w:r>
      <w:r>
        <w:rPr>
          <w:rFonts w:ascii="Times New Roman" w:hAnsi="Times New Roman" w:eastAsia="Times New Roman"/>
          <w:sz w:val="20"/>
          <w:sz w:val="20"/>
          <w:szCs w:val="20"/>
          <w:rtl w:val="true"/>
          <w:lang w:val="en-US" w:bidi="fa-IR"/>
        </w:rPr>
        <w:t>؛ برازش</w:t>
      </w:r>
      <w:r>
        <w:rPr>
          <w:rFonts w:eastAsia="Times New Roman" w:cs="B Nazanin"/>
          <w:sz w:val="20"/>
          <w:szCs w:val="20"/>
          <w:rtl w:val="true"/>
          <w:lang w:val="en-US" w:bidi="fa-IR"/>
        </w:rPr>
        <w:t xml:space="preserve">: </w:t>
      </w:r>
      <w:r>
        <w:rPr>
          <w:rFonts w:eastAsia="Times New Roman" w:cs="B Nazanin"/>
          <w:sz w:val="20"/>
          <w:szCs w:val="20"/>
          <w:lang w:val="en-US" w:bidi="fa-IR"/>
        </w:rPr>
        <w:t>CFI</w:t>
      </w:r>
      <w:r>
        <w:rPr>
          <w:rFonts w:eastAsia="Times New Roman" w:cs="B Nazanin"/>
          <w:sz w:val="20"/>
          <w:szCs w:val="20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0"/>
          <w:sz w:val="20"/>
          <w:szCs w:val="20"/>
          <w:rtl w:val="true"/>
          <w:lang w:val="en-US" w:bidi="fa-IR"/>
        </w:rPr>
        <w:t xml:space="preserve">و </w:t>
      </w:r>
      <w:r>
        <w:rPr>
          <w:rFonts w:eastAsia="Times New Roman" w:cs="B Nazanin"/>
          <w:sz w:val="20"/>
          <w:szCs w:val="20"/>
          <w:lang w:val="en-US" w:bidi="fa-IR"/>
        </w:rPr>
        <w:t xml:space="preserve">TLI ≥ </w:t>
      </w:r>
      <w:r>
        <w:rPr>
          <w:rFonts w:ascii="Times New Roman" w:hAnsi="Times New Roman" w:eastAsia="Times New Roman"/>
          <w:sz w:val="20"/>
          <w:sz w:val="20"/>
          <w:szCs w:val="20"/>
          <w:lang w:val="en-US" w:bidi="fa-IR"/>
        </w:rPr>
        <w:t xml:space="preserve">۰٫۹۵، </w:t>
      </w:r>
      <w:r>
        <w:rPr>
          <w:rFonts w:eastAsia="Times New Roman" w:cs="B Nazanin"/>
          <w:sz w:val="20"/>
          <w:szCs w:val="20"/>
          <w:lang w:val="en-US" w:bidi="fa-IR"/>
        </w:rPr>
        <w:t xml:space="preserve">RMSEA ≤ </w:t>
      </w:r>
      <w:r>
        <w:rPr>
          <w:rFonts w:ascii="Times New Roman" w:hAnsi="Times New Roman" w:eastAsia="Times New Roman"/>
          <w:sz w:val="20"/>
          <w:sz w:val="20"/>
          <w:szCs w:val="20"/>
          <w:lang w:val="en-US" w:bidi="fa-IR"/>
        </w:rPr>
        <w:t xml:space="preserve">۰٫۰۶، </w:t>
      </w:r>
      <w:r>
        <w:rPr>
          <w:rFonts w:eastAsia="Times New Roman" w:cs="B Nazanin"/>
          <w:sz w:val="20"/>
          <w:szCs w:val="20"/>
          <w:lang w:val="en-US" w:bidi="fa-IR"/>
        </w:rPr>
        <w:t xml:space="preserve">SRMR ≤ </w:t>
      </w:r>
      <w:r>
        <w:rPr>
          <w:rFonts w:ascii="Times New Roman" w:hAnsi="Times New Roman" w:eastAsia="Times New Roman"/>
          <w:sz w:val="20"/>
          <w:sz w:val="20"/>
          <w:szCs w:val="20"/>
          <w:lang w:val="en-US" w:bidi="fa-IR"/>
        </w:rPr>
        <w:t>۰٫۰۸</w:t>
      </w:r>
      <w:r>
        <w:rPr>
          <w:rFonts w:ascii="Times New Roman" w:hAnsi="Times New Roman" w:eastAsia="Times New Roman"/>
          <w:sz w:val="20"/>
          <w:sz w:val="20"/>
          <w:szCs w:val="20"/>
          <w:rtl w:val="true"/>
          <w:lang w:val="en-US" w:bidi="fa-IR"/>
        </w:rPr>
        <w:t xml:space="preserve"> </w:t>
      </w:r>
      <w:r>
        <w:rPr>
          <w:rFonts w:eastAsia="Times New Roman" w:cs="B Nazanin"/>
          <w:sz w:val="20"/>
          <w:szCs w:val="20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0"/>
          <w:sz w:val="20"/>
          <w:szCs w:val="20"/>
          <w:rtl w:val="true"/>
          <w:lang w:val="en-US" w:bidi="fa-IR"/>
        </w:rPr>
        <w:t>هو و بنتلر</w:t>
      </w:r>
      <w:r>
        <w:rPr>
          <w:rFonts w:eastAsia="Times New Roman" w:cs="B Nazanin"/>
          <w:sz w:val="20"/>
          <w:szCs w:val="20"/>
          <w:rtl w:val="true"/>
          <w:lang w:val="en-US" w:bidi="fa-IR"/>
        </w:rPr>
        <w:t>).</w:t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۴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پروتکل اعتبارسنجی پیش از گردآوری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گام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۱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.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روایی صوری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: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ارزیابی خوانایی و وضوح گویه‌ها با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۱۰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تا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۱۵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سرمایه‌گذار فعال؛ اصلاح واژه‌های مبهم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گام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۲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.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روایی محتوا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کمّی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):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ارزیابی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۸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تا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۱۰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متخصص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حسابداری، مالی رفتاری، روان‌شناسی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).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برای هر گویه نسبت روایی محتوا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eastAsia="Times New Roman" w:cs="B Nazanin"/>
          <w:sz w:val="24"/>
          <w:szCs w:val="24"/>
          <w:lang w:val="en-US" w:bidi="fa-IR"/>
        </w:rPr>
        <w:t>CVR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به روش لاوشه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: </w:t>
      </w:r>
      <w:r>
        <w:rPr>
          <w:rFonts w:eastAsia="Times New Roman" w:cs="B Nazanin"/>
          <w:sz w:val="24"/>
          <w:szCs w:val="24"/>
          <w:lang w:val="en-US" w:bidi="fa-IR"/>
        </w:rPr>
        <w:t>CVR = (n_e − N/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۲</w:t>
      </w:r>
      <w:r>
        <w:rPr>
          <w:rFonts w:eastAsia="Times New Roman" w:cs="B Nazanin"/>
          <w:sz w:val="24"/>
          <w:szCs w:val="24"/>
          <w:lang w:val="en-US" w:bidi="fa-IR"/>
        </w:rPr>
        <w:t>) ÷ (N/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۲</w:t>
      </w:r>
      <w:r>
        <w:rPr>
          <w:rFonts w:eastAsia="Times New Roman" w:cs="B Nazanin"/>
          <w:sz w:val="24"/>
          <w:szCs w:val="24"/>
          <w:lang w:val="en-US" w:bidi="fa-IR"/>
        </w:rPr>
        <w:t>)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حداقل مقدار پذیرفتنی برای </w:t>
      </w:r>
      <w:r>
        <w:rPr>
          <w:rFonts w:eastAsia="Times New Roman" w:cs="B Nazanin"/>
          <w:sz w:val="24"/>
          <w:szCs w:val="24"/>
          <w:lang w:val="en-US" w:bidi="fa-IR"/>
        </w:rPr>
        <w:t xml:space="preserve">N =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۸، ۱۰، ۱۲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و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۱۵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به ترتیب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۰٫۷۵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،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۰٫۶۲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،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۰٫۵۶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و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۰٫۴۹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است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شاخص روایی محتوا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eastAsia="Times New Roman" w:cs="B Nazanin"/>
          <w:sz w:val="24"/>
          <w:szCs w:val="24"/>
          <w:lang w:val="en-US" w:bidi="fa-IR"/>
        </w:rPr>
        <w:t>CVI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برای ارتباط گویه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مقیاس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تا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۴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؛ نسبت امتیاز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۳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و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۴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)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؛ پذیرش </w:t>
      </w:r>
      <w:r>
        <w:rPr>
          <w:rFonts w:eastAsia="Times New Roman" w:cs="B Nazanin"/>
          <w:sz w:val="24"/>
          <w:szCs w:val="24"/>
          <w:lang w:val="en-US" w:bidi="fa-IR"/>
        </w:rPr>
        <w:t xml:space="preserve">I-CVI ≥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۰٫۷۸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و </w:t>
      </w:r>
      <w:r>
        <w:rPr>
          <w:rFonts w:eastAsia="Times New Roman" w:cs="B Nazanin"/>
          <w:sz w:val="24"/>
          <w:szCs w:val="24"/>
          <w:lang w:val="en-US" w:bidi="fa-IR"/>
        </w:rPr>
        <w:t xml:space="preserve">S-CVI/Ave ≥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۰٫۹۰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پولیت و بک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).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گام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۳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.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ترجمه و ترجمهٔ معکوس برای گویه‌های برگرفته از مقیاس‌های انگلیسی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بریسلین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)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؛ مقایسهٔ دو مترجم مستقل و رفع اختلاف‌ها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گام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۴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.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مطالعهٔ مقدماتی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۳۰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تا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۵۰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نفره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: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آلفای کرونباخ، همبستگی گویه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-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کل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(≥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۰٫۳۰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)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، بررسی گویه‌های پرت و زمان تکمیل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گام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۵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.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مطالعهٔ اصلی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: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حداقل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۳۵۰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پرسشنامهٔ معتبر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ترجیحاً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۴۰۰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تا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۴۵۰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)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؛ تحلیل عاملی تأییدی، پایایی ترکیبی، </w:t>
      </w:r>
      <w:r>
        <w:rPr>
          <w:rFonts w:eastAsia="Times New Roman" w:cs="B Nazanin"/>
          <w:sz w:val="24"/>
          <w:szCs w:val="24"/>
          <w:lang w:val="en-US" w:bidi="fa-IR"/>
        </w:rPr>
        <w:t>AVE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 xml:space="preserve">، </w:t>
      </w:r>
      <w:r>
        <w:rPr>
          <w:rFonts w:eastAsia="Times New Roman" w:cs="B Nazanin"/>
          <w:sz w:val="24"/>
          <w:szCs w:val="24"/>
          <w:lang w:val="en-US" w:bidi="fa-IR"/>
        </w:rPr>
        <w:t>HTMT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، سوگیری روش مشترک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آزمون تک‌عاملی هارمن و مدل عامل روش مشترک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).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گام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۶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.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اخلاق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: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رضایت آگاهانه، بی‌نامی، حذف دادهٔ شناسایی‌کننده، و دریافت کد اخلاق از کمیتهٔ اخلاق دانشگاه پیش از توزیع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۵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فرم پانل متخصصان 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(</w:t>
      </w:r>
      <w:r>
        <w:rPr>
          <w:rFonts w:eastAsia="Times New Roman" w:cs="B Nazanin"/>
          <w:b/>
          <w:bCs/>
          <w:sz w:val="24"/>
          <w:szCs w:val="24"/>
          <w:lang w:val="en-US" w:bidi="fa-IR"/>
        </w:rPr>
        <w:t>CVR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و </w:t>
      </w:r>
      <w:r>
        <w:rPr>
          <w:rFonts w:eastAsia="Times New Roman" w:cs="B Nazanin"/>
          <w:b/>
          <w:bCs/>
          <w:sz w:val="24"/>
          <w:szCs w:val="24"/>
          <w:lang w:val="en-US" w:bidi="fa-IR"/>
        </w:rPr>
        <w:t>CVI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)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برای هر گویه،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«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ضروری بودن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»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را با یکی از سه گزینه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ضروری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/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مفید اما غیرضروری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/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غیرضروری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و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«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ارتباط گویه با سازه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»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را با نمرهٔ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۱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نامرتبط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تا </w:t>
      </w:r>
      <w:r>
        <w:rPr>
          <w:rFonts w:ascii="Times New Roman" w:hAnsi="Times New Roman" w:eastAsia="Times New Roman"/>
          <w:sz w:val="24"/>
          <w:sz w:val="24"/>
          <w:szCs w:val="24"/>
          <w:lang w:val="en-US" w:bidi="fa-IR"/>
        </w:rPr>
        <w:t>۴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کاملاً مرتبط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مشخص کنید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p>
      <w:pPr>
        <w:pStyle w:val="Normal"/>
        <w:keepNext w:val="true"/>
        <w:bidi w:val="1"/>
        <w:spacing w:lineRule="auto" w:line="240" w:before="120" w:after="60"/>
        <w:jc w:val="center"/>
        <w:rPr/>
      </w:pP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جدول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lang w:val="en-US" w:bidi="fa-IR"/>
        </w:rPr>
        <w:t>۴</w:t>
      </w:r>
      <w:r>
        <w:rPr>
          <w:rFonts w:eastAsia="Times New Roman" w:cs="B Zar"/>
          <w:b/>
          <w:bCs/>
          <w:sz w:val="20"/>
          <w:szCs w:val="20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>فرم ارزیابی متخصصان</w:t>
      </w:r>
    </w:p>
    <w:tbl>
      <w:tblPr>
        <w:bidiVisual w:val="true"/>
        <w:tblW w:w="9000" w:type="dxa"/>
        <w:jc w:val="center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1099"/>
        <w:gridCol w:w="2800"/>
        <w:gridCol w:w="1800"/>
        <w:gridCol w:w="3300"/>
      </w:tblGrid>
      <w:tr>
        <w:trPr>
          <w:tblHeader w:val="true"/>
        </w:trPr>
        <w:tc>
          <w:tcPr>
            <w:tcW w:w="109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rtl w:val="true"/>
                <w:lang w:val="en-US" w:bidi="fa-IR"/>
              </w:rPr>
              <w:t>کد گویه</w:t>
            </w:r>
          </w:p>
        </w:tc>
        <w:tc>
          <w:tcPr>
            <w:tcW w:w="28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rtl w:val="true"/>
                <w:lang w:val="en-US" w:bidi="fa-IR"/>
              </w:rPr>
              <w:t xml:space="preserve">ضروری </w:t>
            </w:r>
            <w:r>
              <w:rPr>
                <w:rFonts w:eastAsia="Times New Roman" w:cs="B Nazanin"/>
                <w:b/>
                <w:bCs/>
                <w:sz w:val="20"/>
                <w:szCs w:val="20"/>
                <w:rtl w:val="true"/>
                <w:lang w:val="en-US" w:bidi="fa-IR"/>
              </w:rPr>
              <w:t xml:space="preserve">| </w:t>
            </w: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rtl w:val="true"/>
                <w:lang w:val="en-US" w:bidi="fa-IR"/>
              </w:rPr>
              <w:t xml:space="preserve">مفید </w:t>
            </w:r>
            <w:r>
              <w:rPr>
                <w:rFonts w:eastAsia="Times New Roman" w:cs="B Nazanin"/>
                <w:b/>
                <w:bCs/>
                <w:sz w:val="20"/>
                <w:szCs w:val="20"/>
                <w:rtl w:val="true"/>
                <w:lang w:val="en-US" w:bidi="fa-IR"/>
              </w:rPr>
              <w:t xml:space="preserve">| </w:t>
            </w: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rtl w:val="true"/>
                <w:lang w:val="en-US" w:bidi="fa-IR"/>
              </w:rPr>
              <w:t>غیرضروری</w:t>
            </w:r>
          </w:p>
        </w:tc>
        <w:tc>
          <w:tcPr>
            <w:tcW w:w="18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rtl w:val="true"/>
                <w:lang w:val="en-US" w:bidi="fa-IR"/>
              </w:rPr>
              <w:t xml:space="preserve">ارتباط </w:t>
            </w:r>
            <w:r>
              <w:rPr>
                <w:rFonts w:eastAsia="Times New Roman" w:cs="B Nazanin"/>
                <w:b/>
                <w:bCs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rtl w:val="true"/>
                <w:lang w:val="en-US" w:bidi="fa-IR"/>
              </w:rPr>
              <w:t xml:space="preserve"> تا </w:t>
            </w: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lang w:val="en-US" w:bidi="fa-IR"/>
              </w:rPr>
              <w:t>۴</w:t>
            </w:r>
            <w:r>
              <w:rPr>
                <w:rFonts w:eastAsia="Times New Roman" w:cs="B Nazanin"/>
                <w:b/>
                <w:bCs/>
                <w:sz w:val="20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33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0"/>
                <w:sz w:val="20"/>
                <w:szCs w:val="20"/>
                <w:rtl w:val="true"/>
                <w:lang w:val="en-US" w:bidi="fa-IR"/>
              </w:rPr>
              <w:t>پیشنهاد اصلاح</w:t>
            </w:r>
          </w:p>
        </w:tc>
      </w:tr>
      <w:tr>
        <w:trPr>
          <w:cantSplit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SME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</w:p>
        </w:tc>
        <w:tc>
          <w:tcPr>
            <w:tcW w:w="2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cantSplit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SME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</w:p>
        </w:tc>
        <w:tc>
          <w:tcPr>
            <w:tcW w:w="2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cantSplit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SME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</w:p>
        </w:tc>
        <w:tc>
          <w:tcPr>
            <w:tcW w:w="2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cantSplit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SME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2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cantSplit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SME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۵</w:t>
            </w:r>
          </w:p>
        </w:tc>
        <w:tc>
          <w:tcPr>
            <w:tcW w:w="2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cantSplit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FOMO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</w:p>
        </w:tc>
        <w:tc>
          <w:tcPr>
            <w:tcW w:w="2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cantSplit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FOMO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</w:p>
        </w:tc>
        <w:tc>
          <w:tcPr>
            <w:tcW w:w="2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cantSplit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FOMO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</w:p>
        </w:tc>
        <w:tc>
          <w:tcPr>
            <w:tcW w:w="2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cantSplit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FOMO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2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cantSplit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FOMO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۵</w:t>
            </w:r>
          </w:p>
        </w:tc>
        <w:tc>
          <w:tcPr>
            <w:tcW w:w="2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cantSplit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FOMO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۶</w:t>
            </w:r>
          </w:p>
        </w:tc>
        <w:tc>
          <w:tcPr>
            <w:tcW w:w="2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cantSplit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HRD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</w:p>
        </w:tc>
        <w:tc>
          <w:tcPr>
            <w:tcW w:w="2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cantSplit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HRD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</w:p>
        </w:tc>
        <w:tc>
          <w:tcPr>
            <w:tcW w:w="2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cantSplit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HRD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</w:p>
        </w:tc>
        <w:tc>
          <w:tcPr>
            <w:tcW w:w="2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cantSplit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HRD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2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cantSplit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HRD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۵</w:t>
            </w:r>
          </w:p>
        </w:tc>
        <w:tc>
          <w:tcPr>
            <w:tcW w:w="2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cantSplit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AIU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</w:p>
        </w:tc>
        <w:tc>
          <w:tcPr>
            <w:tcW w:w="2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cantSplit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AIU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</w:p>
        </w:tc>
        <w:tc>
          <w:tcPr>
            <w:tcW w:w="2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cantSplit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AIU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</w:p>
        </w:tc>
        <w:tc>
          <w:tcPr>
            <w:tcW w:w="2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cantSplit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AIU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2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cantSplit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AIU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۵</w:t>
            </w:r>
          </w:p>
        </w:tc>
        <w:tc>
          <w:tcPr>
            <w:tcW w:w="2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cantSplit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IDQ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</w:p>
        </w:tc>
        <w:tc>
          <w:tcPr>
            <w:tcW w:w="2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cantSplit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IDQ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</w:p>
        </w:tc>
        <w:tc>
          <w:tcPr>
            <w:tcW w:w="2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cantSplit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IDQ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</w:p>
        </w:tc>
        <w:tc>
          <w:tcPr>
            <w:tcW w:w="2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cantSplit w:val="true"/>
        </w:trPr>
        <w:tc>
          <w:tcPr>
            <w:tcW w:w="10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IDQ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2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  <w:tr>
        <w:trPr>
          <w:cantSplit w:val="true"/>
        </w:trPr>
        <w:tc>
          <w:tcPr>
            <w:tcW w:w="109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lang w:val="en-US" w:bidi="fa-IR"/>
              </w:rPr>
              <w:t>IDQ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۵</w:t>
            </w:r>
          </w:p>
        </w:tc>
        <w:tc>
          <w:tcPr>
            <w:tcW w:w="28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0"/>
                <w:szCs w:val="20"/>
                <w:rtl w:val="true"/>
                <w:lang w:val="en-US" w:bidi="fa-IR"/>
              </w:rPr>
              <w:t>☐ ☐ ☐</w:t>
            </w:r>
          </w:p>
        </w:tc>
        <w:tc>
          <w:tcPr>
            <w:tcW w:w="18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۱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۳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0"/>
                <w:sz w:val="20"/>
                <w:szCs w:val="20"/>
                <w:lang w:val="en-US" w:bidi="fa-IR"/>
              </w:rPr>
              <w:t>۴</w:t>
            </w:r>
          </w:p>
        </w:tc>
        <w:tc>
          <w:tcPr>
            <w:tcW w:w="33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tl w:val="true"/>
              </w:rPr>
            </w:r>
          </w:p>
        </w:tc>
      </w:tr>
    </w:tbl>
    <w:p>
      <w:pPr>
        <w:pStyle w:val="Normal"/>
        <w:bidi w:val="1"/>
        <w:spacing w:lineRule="auto" w:line="240" w:before="0" w:after="100"/>
        <w:ind w:firstLine="360"/>
        <w:jc w:val="both"/>
        <w:rPr/>
      </w:pPr>
      <w:r>
        <w:rPr>
          <w:rtl w:val="true"/>
        </w:rPr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۶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منابع 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(</w:t>
      </w:r>
      <w:r>
        <w:rPr>
          <w:rFonts w:eastAsia="Times New Roman" w:cs="B Nazanin"/>
          <w:b/>
          <w:bCs/>
          <w:sz w:val="24"/>
          <w:szCs w:val="24"/>
          <w:lang w:val="en-US" w:bidi="fa-IR"/>
        </w:rPr>
        <w:t>APA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)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Abel, J. P., Buff, C. L., &amp; Burr, S. A. (2016). Social media and the fear of missing out: Scale development and assessment. Journal of Business &amp; Economic Research, 14(1), 33–44. https://doi.org/10.19030/jber.v14i1.9554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Bakar, S., &amp; Yi, A. N. C. (2016). The impact of psychological factors on investors' decision making in Malaysian stock market: A case of Klang Valley and Pahang. Procedia Economics and Finance, 35, 319–328. https://doi.org/10.1016/S2212-5671(16)00040-X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Brislin, R. W. (1970). Back-translation for cross-cultural research. Journal of Cross-Cultural Psychology, 1(3), 185–216. https://doi.org/10.1177/135910457000100301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Bruine de Bruin, W., Parker, A. M., &amp; Fischhoff, B. (2007). Individual differences in adult decision-making competence. Journal of Personality and Social Psychology, 92(5), 938–956. https://doi.org/10.1037/0022-3514.92.5.938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Cookson, J. A., Engelberg, J. E., &amp; Mullins, W. (2023). Echo chambers. The Review of Financial Studies, 36(2), 450–500. https://doi.org/10.1093/rfs/hhac058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Ellison, N. B., Steinfield, C., &amp; Lampe, C. (2007). The benefits of Facebook "friends": Social capital and college students' use of online social network sites. Journal of Computer-Mediated Communication, 12(4), 1143–1168. https://doi.org/10.1111/j.1083-6101.2007.00367.x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Fornell, C., &amp; Larcker, D. F. (1981). Evaluating structural equation models with unobservable variables and measurement error. Journal of Marketing Research, 18(1), 39–50. https://doi.org/10.1177/002224378101800104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Henseler, J., Ringle, C. M., &amp; Sarstedt, M. (2015). A new criterion for assessing discriminant validity in variance-based structural equation modeling. Journal of the Academy of Marketing Science, 43(1), 115–135. https://doi.org/10.1007/s11747-014-0403-8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Hu, L., &amp; Bentler, P. M. (1999). Cutoff criteria for fit indexes in covariance structure analysis: Conventional criteria versus new alternatives. Structural Equation Modeling, 6(1), 1–55. https://doi.org/10.1080/10705519909540118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Kumar, S., &amp; Goyal, N. (2015). Behavioural biases in investment decision making – a systematic literature review. Qualitative Research in Financial Markets, 7(1), 88–108. https://doi.org/10.1108/QRFM-06-2014-0022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Lawrence, A. (2013). Individual investors and financial disclosure. Journal of Accounting and Economics, 56(1), 130–147. https://doi.org/10.1016/j.jacceco.2013.05.001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Lawshe, C. H. (1975). A quantitative approach to content validity. Personnel Psychology, 28(4), 563–575. https://doi.org/10.1111/j.1744-6570.1975.tb01393.x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Miller, G. S., &amp; Skinner, D. J. (2015). The evolving disclosure landscape: How changes in technology, the media, and capital markets are affecting disclosure. Journal of Accounting Research, 53(2), 221–239. https://doi.org/10.1111/1475-679X.12075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Parker, A. M., &amp; Fischhoff, B. (2005). Decision-making competence: External validation through an individual-differences approach. Journal of Behavioral Decision Making, 18(1), 1–27. https://doi.org/10.1002/bdm.481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Podsakoff, P. M., MacKenzie, S. B., Lee, J.-Y., &amp; Podsakoff, N. P. (2003). Common method biases in behavioral research: A critical review of the literature and recommended remedies. Journal of Applied Psychology, 88(5), 879–903. https://doi.org/10.1037/0021-9010.88.5.879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Polit, D. F., &amp; Beck, C. T. (2006). The content validity index: Are you sure you know what's being reported? Critique and recommendations. Research in Nursing &amp; Health, 29(5), 489–497. https://doi.org/10.1002/nur.20147</w:t>
      </w:r>
    </w:p>
    <w:p>
      <w:pPr>
        <w:pStyle w:val="Normal"/>
        <w:spacing w:lineRule="auto" w:line="240" w:before="0" w:after="30"/>
        <w:jc w:val="left"/>
        <w:rPr/>
      </w:pPr>
      <w:r>
        <w:rPr>
          <w:rFonts w:eastAsia="Times New Roman" w:cs="Times New Roman"/>
          <w:sz w:val="24"/>
          <w:szCs w:val="24"/>
          <w:lang w:val="en-US" w:bidi="fa-IR"/>
        </w:rPr>
        <w:t>Przybylski, A. K., Murayama, K., DeHaan, C. R., &amp; Gladwell, V. (2013). Motivational, emotional, and behavioral correlates of fear of missing out. Computers in Human Behavior, 29(4), 1841–1848. https://doi.org/10.1016/j.chb.2013.02.014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7" w:right="1417" w:gutter="0" w:header="0" w:top="1417" w:footer="708" w:bottom="1417"/>
      <w:pgNumType w:fmt="decimal"/>
      <w:formProt w:val="false"/>
      <w:textDirection w:val="lrTb"/>
      <w:bidi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tl w:val="true"/>
      </w:rPr>
      <w:fldChar w:fldCharType="begin"/>
    </w:r>
    <w:r>
      <w:rPr>
        <w:rtl w:val="true"/>
      </w:rPr>
      <w:instrText xml:space="preserve"> PAGE </w:instrText>
    </w:r>
    <w:r>
      <w:rPr>
        <w:rtl w:val="true"/>
      </w:rPr>
      <w:fldChar w:fldCharType="separate"/>
    </w:r>
    <w:r>
      <w:rPr>
        <w:rtl w:val="true"/>
      </w:rPr>
      <w:t>9</w:t>
    </w:r>
    <w:r>
      <w:rPr>
        <w:rtl w:val="true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tl w:val="true"/>
      </w:rPr>
      <w:fldChar w:fldCharType="begin"/>
    </w:r>
    <w:r>
      <w:rPr>
        <w:rtl w:val="true"/>
      </w:rPr>
      <w:instrText xml:space="preserve"> PAGE </w:instrText>
    </w:r>
    <w:r>
      <w:rPr>
        <w:rtl w:val="true"/>
      </w:rPr>
      <w:fldChar w:fldCharType="separate"/>
    </w:r>
    <w:r>
      <w:rPr>
        <w:rtl w:val="true"/>
      </w:rPr>
      <w:t>9</w:t>
    </w:r>
    <w:r>
      <w:rPr>
        <w:rtl w:val="true"/>
      </w:rPr>
      <w:fldChar w:fldCharType="end"/>
    </w:r>
  </w:p>
</w:ftr>
</file>

<file path=word/settings.xml><?xml version="1.0" encoding="utf-8"?>
<w:settings xmlns:w="http://schemas.openxmlformats.org/wordprocessingml/2006/main">
  <w:view w:val="print"/>
  <w:zoom w:percent="100"/>
  <w:defaultTabStop w:val="720"/>
  <w:autoHyphenation w:val="true"/>
  <w:compat>
    <w:compatSetting w:name="compatibilityMode" w:uri="http://schemas.microsoft.com/office/word" w:val="15"/>
  </w:compat>
  <w:themeFontLang w:val="en-US" w:eastAsia="" w:bidi="fa-IR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WenQuanYi Zen Hei" w:cs="B Nazanin"/>
        <w:sz w:val="24"/>
        <w:szCs w:val="24"/>
        <w:lang w:val="en-US" w:eastAsia="zh-CN" w:bidi="fa-IR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1"/>
      <w:spacing w:before="0" w:after="0"/>
      <w:jc w:val="left"/>
    </w:pPr>
    <w:rPr>
      <w:rFonts w:ascii="Times New Roman" w:hAnsi="Times New Roman" w:eastAsia="WenQuanYi Zen Hei" w:cs="B Nazanin"/>
      <w:color w:val="auto"/>
      <w:kern w:val="0"/>
      <w:sz w:val="24"/>
      <w:szCs w:val="24"/>
      <w:lang w:val="en-US" w:eastAsia="zh-CN" w:bidi="fa-IR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ootnoteText">
    <w:name w:val="Footnote Text"/>
    <w:basedOn w:val="Normal"/>
    <w:pPr>
      <w:spacing w:lineRule="auto" w:line="240" w:before="0" w:after="0"/>
    </w:pPr>
    <w:rPr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fa-IR</dc:language>
  <cp:lastModifiedBy/>
  <cp:revision>0</cp:revision>
  <dc:subject/>
  <dc:title>Article</dc:title>
</cp:coreProperties>
</file>