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9.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60"/>
        <w:jc w:val="center"/>
        <w:rPr/>
      </w:pPr>
      <w:r>
        <w:rPr>
          <w:rFonts w:eastAsia="Times New Roman" w:cs="Times New Roman"/>
          <w:b/>
          <w:bCs/>
          <w:sz w:val="32"/>
          <w:szCs w:val="32"/>
          <w:lang w:val="en-US" w:bidi="fa-IR"/>
        </w:rPr>
        <w:t>Competence Illusion or Calibrated Reliance? Generative-AI Use, Overconfidence and Decision Quality among Individual Investors</w:t>
      </w:r>
    </w:p>
    <w:p>
      <w:pPr>
        <w:pStyle w:val="Normal"/>
        <w:spacing w:lineRule="auto" w:line="276" w:before="0" w:after="120"/>
        <w:jc w:val="center"/>
        <w:rPr/>
      </w:pPr>
      <w:r>
        <w:rPr>
          <w:rFonts w:eastAsia="Times New Roman" w:cs="Times New Roman"/>
          <w:i/>
          <w:iCs/>
          <w:sz w:val="24"/>
          <w:szCs w:val="24"/>
          <w:lang w:val="en-US" w:bidi="fa-IR"/>
        </w:rPr>
        <w:t>[Author names, affiliations, ORCID and corresponding author – to be completed by the authors]</w:t>
      </w:r>
    </w:p>
    <w:p>
      <w:pPr>
        <w:pStyle w:val="Normal"/>
        <w:keepNext w:val="true"/>
        <w:spacing w:lineRule="auto" w:line="276" w:before="200" w:after="80"/>
        <w:jc w:val="left"/>
        <w:rPr/>
      </w:pPr>
      <w:r>
        <w:rPr>
          <w:rFonts w:eastAsia="Times New Roman" w:cs="Times New Roman"/>
          <w:b/>
          <w:bCs/>
          <w:sz w:val="26"/>
          <w:szCs w:val="26"/>
          <w:lang w:val="en-US" w:bidi="fa-IR"/>
        </w:rPr>
        <w:t>Abstract</w:t>
      </w:r>
    </w:p>
    <w:p>
      <w:pPr>
        <w:pStyle w:val="Normal"/>
        <w:spacing w:lineRule="auto" w:line="276" w:before="0" w:after="80"/>
        <w:jc w:val="both"/>
        <w:rPr/>
      </w:pPr>
      <w:r>
        <w:rPr>
          <w:rFonts w:eastAsia="Times New Roman" w:cs="Times New Roman"/>
          <w:b/>
          <w:bCs/>
          <w:sz w:val="24"/>
          <w:szCs w:val="24"/>
          <w:lang w:val="en-US" w:bidi="fa-IR"/>
        </w:rPr>
        <w:t>Purpose.</w:t>
      </w:r>
      <w:r>
        <w:rPr>
          <w:rFonts w:eastAsia="Times New Roman" w:cs="Times New Roman"/>
          <w:sz w:val="24"/>
          <w:szCs w:val="24"/>
          <w:lang w:val="en-US" w:bidi="fa-IR"/>
        </w:rPr>
        <w:t xml:space="preserve"> Individual investors increasingly consult generative AI (GenAI) for stock analysis, yet fluent but unverified answers may inflate perceived competence without raising actual skill. We test whether GenAI use lowers investment decision quality through an overconfidence (“competence illusion”) channel and an uncritical-reliance channel, and whether a verification channel and two competences—financial knowledge and AI literacy—offset these effects. </w:t>
      </w:r>
      <w:r>
        <w:rPr>
          <w:rFonts w:eastAsia="Times New Roman" w:cs="Times New Roman"/>
          <w:b/>
          <w:bCs/>
          <w:sz w:val="24"/>
          <w:szCs w:val="24"/>
          <w:lang w:val="en-US" w:bidi="fa-IR"/>
        </w:rPr>
        <w:t>Design.</w:t>
      </w:r>
      <w:r>
        <w:rPr>
          <w:rFonts w:eastAsia="Times New Roman" w:cs="Times New Roman"/>
          <w:sz w:val="24"/>
          <w:szCs w:val="24"/>
          <w:lang w:val="en-US" w:bidi="fa-IR"/>
        </w:rPr>
        <w:t xml:space="preserve"> Covariance-based structural equation modelling with fully latent variables (no item composites), latent interactions, and bootstrap conditional-indirect effects (B = 2000), on a questionnaire-plus-knowledge-test design. </w:t>
      </w:r>
      <w:r>
        <w:rPr>
          <w:rFonts w:eastAsia="Times New Roman" w:cs="Times New Roman"/>
          <w:b/>
          <w:bCs/>
          <w:sz w:val="24"/>
          <w:szCs w:val="24"/>
          <w:lang w:val="en-US" w:bidi="fa-IR"/>
        </w:rPr>
        <w:t>Findings.</w:t>
      </w:r>
      <w:r>
        <w:rPr>
          <w:rFonts w:eastAsia="Times New Roman" w:cs="Times New Roman"/>
          <w:sz w:val="24"/>
          <w:szCs w:val="24"/>
          <w:lang w:val="en-US" w:bidi="fa-IR"/>
        </w:rPr>
        <w:t xml:space="preserve"> GenAI use is associated with higher perceived competence (β = 0.51) and a larger calibration gap between predicted and actual knowledge-test scores (β = 0.26), and with more uncritical reliance (β = 0.45) but also more verification (β = 0.27). Illusion and reliance transmit negative indirect effects on decision quality, verification a positive one, so the net indirect effect is distinguishable from zero (indirect = −0.11 [−0.22, −0.00]). Financial knowledge weakens the use→illusion links, and AI literacy weakens the use→reliance link and strengthens the use→verification link. </w:t>
      </w:r>
      <w:r>
        <w:rPr>
          <w:rFonts w:eastAsia="Times New Roman" w:cs="Times New Roman"/>
          <w:b/>
          <w:bCs/>
          <w:sz w:val="24"/>
          <w:szCs w:val="24"/>
          <w:lang w:val="en-US" w:bidi="fa-IR"/>
        </w:rPr>
        <w:t>Originality.</w:t>
      </w:r>
      <w:r>
        <w:rPr>
          <w:rFonts w:eastAsia="Times New Roman" w:cs="Times New Roman"/>
          <w:sz w:val="24"/>
          <w:szCs w:val="24"/>
          <w:lang w:val="en-US" w:bidi="fa-IR"/>
        </w:rPr>
        <w:t xml:space="preserve"> The study separates illusion, reliance and verification in one model and shows that the decision-quality cost of GenAI depends on how it is used and by whom. </w:t>
      </w:r>
      <w:r>
        <w:rPr>
          <w:rFonts w:eastAsia="Times New Roman" w:cs="Times New Roman"/>
          <w:b/>
          <w:bCs/>
          <w:sz w:val="24"/>
          <w:szCs w:val="24"/>
          <w:lang w:val="en-US" w:bidi="fa-IR"/>
        </w:rPr>
        <w:t>Data note.</w:t>
      </w:r>
      <w:r>
        <w:rPr>
          <w:rFonts w:eastAsia="Times New Roman" w:cs="Times New Roman"/>
          <w:sz w:val="24"/>
          <w:szCs w:val="24"/>
          <w:lang w:val="en-US" w:bidi="fa-IR"/>
        </w:rPr>
        <w:t xml:space="preserve"> The data analysed here are synthetic, generated to demonstrate the design and code; they are not empirical evidence.</w:t>
      </w:r>
    </w:p>
    <w:p>
      <w:pPr>
        <w:pStyle w:val="Normal"/>
        <w:spacing w:lineRule="auto" w:line="276" w:before="0" w:after="80"/>
        <w:jc w:val="both"/>
        <w:rPr/>
      </w:pPr>
      <w:r>
        <w:rPr>
          <w:rFonts w:eastAsia="Times New Roman" w:cs="Times New Roman"/>
          <w:b/>
          <w:bCs/>
          <w:sz w:val="24"/>
          <w:szCs w:val="24"/>
          <w:lang w:val="en-US" w:bidi="fa-IR"/>
        </w:rPr>
        <w:t>Keywords:</w:t>
      </w:r>
      <w:r>
        <w:rPr>
          <w:rFonts w:eastAsia="Times New Roman" w:cs="Times New Roman"/>
          <w:sz w:val="24"/>
          <w:szCs w:val="24"/>
          <w:lang w:val="en-US" w:bidi="fa-IR"/>
        </w:rPr>
        <w:t xml:space="preserve"> generative artificial intelligence; overconfidence; automation bias; financial literacy; AI literacy; investor decision quality; structural equation modelling</w:t>
      </w:r>
    </w:p>
    <w:p>
      <w:pPr>
        <w:pStyle w:val="Normal"/>
        <w:spacing w:lineRule="auto" w:line="276" w:before="0" w:after="80"/>
        <w:jc w:val="both"/>
        <w:rPr/>
      </w:pPr>
      <w:r>
        <w:rPr>
          <w:rFonts w:eastAsia="Times New Roman" w:cs="Times New Roman"/>
          <w:b/>
          <w:bCs/>
          <w:sz w:val="24"/>
          <w:szCs w:val="24"/>
          <w:lang w:val="en-US" w:bidi="fa-IR"/>
        </w:rPr>
        <w:t>JEL:</w:t>
      </w:r>
      <w:r>
        <w:rPr>
          <w:rFonts w:eastAsia="Times New Roman" w:cs="Times New Roman"/>
          <w:sz w:val="24"/>
          <w:szCs w:val="24"/>
          <w:lang w:val="en-US" w:bidi="fa-IR"/>
        </w:rPr>
        <w:t xml:space="preserve"> G11, G41, D91, O33</w:t>
      </w:r>
    </w:p>
    <w:p>
      <w:pPr>
        <w:pStyle w:val="Normal"/>
        <w:keepNext w:val="true"/>
        <w:spacing w:lineRule="auto" w:line="276" w:before="140" w:after="60"/>
        <w:jc w:val="left"/>
        <w:rPr/>
      </w:pPr>
      <w:r>
        <w:rPr>
          <w:rFonts w:eastAsia="Times New Roman" w:cs="Times New Roman"/>
          <w:b/>
          <w:bCs/>
          <w:sz w:val="24"/>
          <w:szCs w:val="24"/>
          <w:lang w:val="en-US" w:bidi="fa-IR"/>
        </w:rPr>
        <w:t>Transparency statement on the data</w:t>
      </w:r>
    </w:p>
    <w:p>
      <w:pPr>
        <w:pStyle w:val="Normal"/>
        <w:spacing w:lineRule="auto" w:line="276" w:before="0" w:after="80"/>
        <w:jc w:val="both"/>
        <w:rPr/>
      </w:pPr>
      <w:r>
        <w:rPr>
          <w:rFonts w:eastAsia="Times New Roman" w:cs="Times New Roman"/>
          <w:sz w:val="24"/>
          <w:szCs w:val="24"/>
          <w:lang w:val="en-US" w:bidi="fa-IR"/>
        </w:rPr>
        <w:t xml:space="preserve">The sample (N = 428) is </w:t>
      </w:r>
      <w:r>
        <w:rPr>
          <w:rFonts w:eastAsia="Times New Roman" w:cs="Times New Roman"/>
          <w:b/>
          <w:bCs/>
          <w:sz w:val="24"/>
          <w:szCs w:val="24"/>
          <w:lang w:val="en-US" w:bidi="fa-IR"/>
        </w:rPr>
        <w:t>simulated</w:t>
      </w:r>
      <w:r>
        <w:rPr>
          <w:rFonts w:eastAsia="Times New Roman" w:cs="Times New Roman"/>
          <w:sz w:val="24"/>
          <w:szCs w:val="24"/>
          <w:lang w:val="en-US" w:bidi="fa-IR"/>
        </w:rPr>
        <w:t xml:space="preserve">. It was generated in Python from a pre-specified data-generating process (seed 31415) with realistic Likert thresholds, cross-loadings, correlated residuals and a weak method factor, so that the pipeline, the models and the reporting could be developed and tested before fieldwork. All coefficients, p values and confidence intervals reported below are properties of this synthetic sample and </w:t>
      </w:r>
      <w:r>
        <w:rPr>
          <w:rFonts w:eastAsia="Times New Roman" w:cs="Times New Roman"/>
          <w:b/>
          <w:bCs/>
          <w:sz w:val="24"/>
          <w:szCs w:val="24"/>
          <w:lang w:val="en-US" w:bidi="fa-IR"/>
        </w:rPr>
        <w:t>must not be cited as empirical findings</w:t>
      </w:r>
      <w:r>
        <w:rPr>
          <w:rFonts w:eastAsia="Times New Roman" w:cs="Times New Roman"/>
          <w:sz w:val="24"/>
          <w:szCs w:val="24"/>
          <w:lang w:val="en-US" w:bidi="fa-IR"/>
        </w:rPr>
        <w:t>. The manuscript, questionnaire, code and data are released together so that the same script can be run on real data (set DATA_PATH). Hypotheses are stated ex ante and are supported in the synthetic data by construction; with real data, partial support or non-support is the expected and informative outcome.</w:t>
      </w:r>
    </w:p>
    <w:p>
      <w:pPr>
        <w:pStyle w:val="Normal"/>
        <w:keepNext w:val="true"/>
        <w:spacing w:lineRule="auto" w:line="276" w:before="200" w:after="80"/>
        <w:jc w:val="left"/>
        <w:rPr/>
      </w:pPr>
      <w:r>
        <w:rPr>
          <w:rFonts w:eastAsia="Times New Roman" w:cs="Times New Roman"/>
          <w:b/>
          <w:bCs/>
          <w:sz w:val="26"/>
          <w:szCs w:val="26"/>
          <w:lang w:val="en-US" w:bidi="fa-IR"/>
        </w:rPr>
        <w:t>1. Introduction</w:t>
      </w:r>
    </w:p>
    <w:p>
      <w:pPr>
        <w:pStyle w:val="Normal"/>
        <w:spacing w:lineRule="auto" w:line="276" w:before="0" w:after="80"/>
        <w:ind w:firstLine="425"/>
        <w:jc w:val="both"/>
        <w:rPr/>
      </w:pPr>
      <w:r>
        <w:rPr>
          <w:rFonts w:eastAsia="Times New Roman" w:cs="Times New Roman"/>
          <w:sz w:val="24"/>
          <w:szCs w:val="24"/>
          <w:lang w:val="en-US" w:bidi="fa-IR"/>
        </w:rPr>
        <w:t xml:space="preserve">Since late 2022, general-purpose large language models have become a routine research assistant for retail investors: they summarise filings, explain ratios and propose trades in seconds. Early evidence suggests that such models can extract signal from financial text (Lopez-Lira &amp; Tang, 2023), but the same systems can state falsehoods fluently (Ji et al., 2023), and investors have long been shown to trade too much and earn too little when they overestimate their own ability (Barber &amp; Odean, 2000, 2001; Glaser &amp; Weber, 2007; Grinblatt &amp; Keloharju, 2009). The behavioural question is therefore not whether GenAI is accurate on average, but what it does to the </w:t>
      </w:r>
      <w:r>
        <w:rPr>
          <w:rFonts w:eastAsia="Times New Roman" w:cs="Times New Roman"/>
          <w:i/>
          <w:iCs/>
          <w:sz w:val="24"/>
          <w:szCs w:val="24"/>
          <w:lang w:val="en-US" w:bidi="fa-IR"/>
        </w:rPr>
        <w:t>investor's</w:t>
      </w:r>
      <w:r>
        <w:rPr>
          <w:rFonts w:eastAsia="Times New Roman" w:cs="Times New Roman"/>
          <w:sz w:val="24"/>
          <w:szCs w:val="24"/>
          <w:lang w:val="en-US" w:bidi="fa-IR"/>
        </w:rPr>
        <w:t xml:space="preserve"> judgement: does it leave the user better informed, or merely more confident?</w:t>
      </w:r>
    </w:p>
    <w:p>
      <w:pPr>
        <w:pStyle w:val="Normal"/>
        <w:spacing w:lineRule="auto" w:line="276" w:before="0" w:after="80"/>
        <w:ind w:firstLine="425"/>
        <w:jc w:val="both"/>
        <w:rPr/>
      </w:pPr>
      <w:r>
        <w:rPr>
          <w:rFonts w:eastAsia="Times New Roman" w:cs="Times New Roman"/>
          <w:sz w:val="24"/>
          <w:szCs w:val="24"/>
          <w:lang w:val="en-US" w:bidi="fa-IR"/>
        </w:rPr>
        <w:t xml:space="preserve">Two literatures speak to this question but rarely meet. Research on overconfidence and the Dunning–Kruger pattern shows that people with little knowledge poorly recognise the limits of that knowledge (Kruger &amp; Dunning, 1999; Ehrlinger et al., 2008) and that miscalibration takes distinct forms—overestimation, over-placement and over-precision (Moore &amp; Healy, 2008). Research on human–automation interaction shows that decision aids invite complacency and automation bias—accepting an aid's output without adequate checking (Parasuraman &amp; Manzey, 2010; Skitka et al., 1999; Goddard et al., 2012)—and that appropriate reliance requires trust calibrated to reliability (Lee &amp; See, 2004; Hoff &amp; Bashir, 2015). Evidence on algorithm aversion and appreciation shows that people sometimes over- and sometimes under-weight algorithmic advice (Dietvorst et al., 2015; Logg et al., 2019), and robo-advisory work documents both benefits and pitfalls for household finance (D'Acunto et al., 2019). Recent commentary warns that AI can create </w:t>
      </w:r>
      <w:r>
        <w:rPr>
          <w:rFonts w:eastAsia="Times New Roman" w:cs="Times New Roman"/>
          <w:i/>
          <w:iCs/>
          <w:sz w:val="24"/>
          <w:szCs w:val="24"/>
          <w:lang w:val="en-US" w:bidi="fa-IR"/>
        </w:rPr>
        <w:t>illusions of understanding</w:t>
      </w:r>
      <w:r>
        <w:rPr>
          <w:rFonts w:eastAsia="Times New Roman" w:cs="Times New Roman"/>
          <w:sz w:val="24"/>
          <w:szCs w:val="24"/>
          <w:lang w:val="en-US" w:bidi="fa-IR"/>
        </w:rPr>
        <w:t xml:space="preserve"> (Messeri &amp; Crockett, 2024). What is missing, to our knowledge, is an investor-level model that places an </w:t>
      </w:r>
      <w:r>
        <w:rPr>
          <w:rFonts w:eastAsia="Times New Roman" w:cs="Times New Roman"/>
          <w:i/>
          <w:iCs/>
          <w:sz w:val="24"/>
          <w:szCs w:val="24"/>
          <w:lang w:val="en-US" w:bidi="fa-IR"/>
        </w:rPr>
        <w:t>illusion</w:t>
      </w:r>
      <w:r>
        <w:rPr>
          <w:rFonts w:eastAsia="Times New Roman" w:cs="Times New Roman"/>
          <w:sz w:val="24"/>
          <w:szCs w:val="24"/>
          <w:lang w:val="en-US" w:bidi="fa-IR"/>
        </w:rPr>
        <w:t xml:space="preserve"> channel, an </w:t>
      </w:r>
      <w:r>
        <w:rPr>
          <w:rFonts w:eastAsia="Times New Roman" w:cs="Times New Roman"/>
          <w:i/>
          <w:iCs/>
          <w:sz w:val="24"/>
          <w:szCs w:val="24"/>
          <w:lang w:val="en-US" w:bidi="fa-IR"/>
        </w:rPr>
        <w:t>uncritical-reliance</w:t>
      </w:r>
      <w:r>
        <w:rPr>
          <w:rFonts w:eastAsia="Times New Roman" w:cs="Times New Roman"/>
          <w:sz w:val="24"/>
          <w:szCs w:val="24"/>
          <w:lang w:val="en-US" w:bidi="fa-IR"/>
        </w:rPr>
        <w:t xml:space="preserve"> channel and a </w:t>
      </w:r>
      <w:r>
        <w:rPr>
          <w:rFonts w:eastAsia="Times New Roman" w:cs="Times New Roman"/>
          <w:i/>
          <w:iCs/>
          <w:sz w:val="24"/>
          <w:szCs w:val="24"/>
          <w:lang w:val="en-US" w:bidi="fa-IR"/>
        </w:rPr>
        <w:t>verification</w:t>
      </w:r>
      <w:r>
        <w:rPr>
          <w:rFonts w:eastAsia="Times New Roman" w:cs="Times New Roman"/>
          <w:sz w:val="24"/>
          <w:szCs w:val="24"/>
          <w:lang w:val="en-US" w:bidi="fa-IR"/>
        </w:rPr>
        <w:t xml:space="preserve"> channel side by side, links them to decision quality, and asks which competences make GenAI use safe.</w:t>
      </w:r>
    </w:p>
    <w:p>
      <w:pPr>
        <w:pStyle w:val="Normal"/>
        <w:spacing w:lineRule="auto" w:line="276" w:before="0" w:after="80"/>
        <w:ind w:firstLine="425"/>
        <w:jc w:val="both"/>
        <w:rPr/>
      </w:pPr>
      <w:r>
        <w:rPr>
          <w:rFonts w:eastAsia="Times New Roman" w:cs="Times New Roman"/>
          <w:sz w:val="24"/>
          <w:szCs w:val="24"/>
          <w:lang w:val="en-US" w:bidi="fa-IR"/>
        </w:rPr>
        <w:t>We contribute in three ways. First, we separate three behavioural consequences of GenAI use that are usually conflated: inflated perceived competence (measured both by self-report and by a behavioural calibration gap), uncritical reliance, and verification. Second, we show how the net association between use and decision quality arises as the sum of opposing indirect effects, which explains why a simple use→quality regression can show little (the “suppression” case). Third, we test two boundary conditions with direct managerial and regulatory relevance: objective financial knowledge, which should reduce the inflation of confidence, and AI literacy, which should reduce blind reliance and raise checking. We also provide an openly documented instrument, with each scale classified as adapted or researcher-made, to support replication.</w:t>
      </w:r>
    </w:p>
    <w:p>
      <w:pPr>
        <w:pStyle w:val="Normal"/>
        <w:keepNext w:val="true"/>
        <w:spacing w:lineRule="auto" w:line="276" w:before="200" w:after="80"/>
        <w:jc w:val="left"/>
        <w:rPr/>
      </w:pPr>
      <w:r>
        <w:rPr>
          <w:rFonts w:eastAsia="Times New Roman" w:cs="Times New Roman"/>
          <w:b/>
          <w:bCs/>
          <w:sz w:val="26"/>
          <w:szCs w:val="26"/>
          <w:lang w:val="en-US" w:bidi="fa-IR"/>
        </w:rPr>
        <w:t>2. Theory and hypotheses</w:t>
      </w:r>
    </w:p>
    <w:p>
      <w:pPr>
        <w:pStyle w:val="Normal"/>
        <w:keepNext w:val="true"/>
        <w:spacing w:lineRule="auto" w:line="276" w:before="140" w:after="60"/>
        <w:jc w:val="left"/>
        <w:rPr/>
      </w:pPr>
      <w:r>
        <w:rPr>
          <w:rFonts w:eastAsia="Times New Roman" w:cs="Times New Roman"/>
          <w:b/>
          <w:bCs/>
          <w:sz w:val="24"/>
          <w:szCs w:val="24"/>
          <w:lang w:val="en-US" w:bidi="fa-IR"/>
        </w:rPr>
        <w:t>2.1 GenAI use and the competence illusion</w:t>
      </w:r>
    </w:p>
    <w:p>
      <w:pPr>
        <w:pStyle w:val="Normal"/>
        <w:spacing w:lineRule="auto" w:line="276" w:before="0" w:after="80"/>
        <w:ind w:firstLine="425"/>
        <w:jc w:val="both"/>
        <w:rPr/>
      </w:pPr>
      <w:r>
        <w:rPr>
          <w:rFonts w:eastAsia="Times New Roman" w:cs="Times New Roman"/>
          <w:sz w:val="24"/>
          <w:szCs w:val="24"/>
          <w:lang w:val="en-US" w:bidi="fa-IR"/>
        </w:rPr>
        <w:t xml:space="preserve">Fluent, well-structured explanations generate a feeling of understanding that need not reflect competence. When an investor receives a polished analysis, the cognitive effort of producing it is outsourced, but the sense of mastery is retained (Messeri &amp; Crockett, 2024). Overconfidence in finance is typically defined as miscalibrated beliefs about one's own ability or the precision of one's forecasts (Moore &amp; Healy, 2008; Glaser &amp; Weber, 2007). We therefore expect heavier GenAI users to feel more competent </w:t>
      </w:r>
      <w:r>
        <w:rPr>
          <w:rFonts w:eastAsia="Times New Roman" w:cs="Times New Roman"/>
          <w:i/>
          <w:iCs/>
          <w:sz w:val="24"/>
          <w:szCs w:val="24"/>
          <w:lang w:val="en-US" w:bidi="fa-IR"/>
        </w:rPr>
        <w:t>with</w:t>
      </w:r>
      <w:r>
        <w:rPr>
          <w:rFonts w:eastAsia="Times New Roman" w:cs="Times New Roman"/>
          <w:sz w:val="24"/>
          <w:szCs w:val="24"/>
          <w:lang w:val="en-US" w:bidi="fa-IR"/>
        </w:rPr>
        <w:t xml:space="preserve"> AI (perceived competence, PCA) and to overestimate their objective knowledge relative to a test (calibration gap, CG).</w:t>
      </w:r>
    </w:p>
    <w:p>
      <w:pPr>
        <w:pStyle w:val="Normal"/>
        <w:spacing w:lineRule="auto" w:line="276" w:before="0" w:after="80"/>
        <w:ind w:firstLine="425"/>
        <w:jc w:val="both"/>
        <w:rPr/>
      </w:pPr>
      <w:r>
        <w:rPr>
          <w:rFonts w:eastAsia="Times New Roman" w:cs="Times New Roman"/>
          <w:b/>
          <w:bCs/>
          <w:sz w:val="24"/>
          <w:szCs w:val="24"/>
          <w:lang w:val="en-US" w:bidi="fa-IR"/>
        </w:rPr>
        <w:t>H1.</w:t>
      </w:r>
      <w:r>
        <w:rPr>
          <w:rFonts w:eastAsia="Times New Roman" w:cs="Times New Roman"/>
          <w:sz w:val="24"/>
          <w:szCs w:val="24"/>
          <w:lang w:val="en-US" w:bidi="fa-IR"/>
        </w:rPr>
        <w:t xml:space="preserve"> GenAI use is positively related to perceived competence with AI.  </w:t>
      </w:r>
      <w:r>
        <w:rPr>
          <w:rFonts w:eastAsia="Times New Roman" w:cs="Times New Roman"/>
          <w:b/>
          <w:bCs/>
          <w:sz w:val="24"/>
          <w:szCs w:val="24"/>
          <w:lang w:val="en-US" w:bidi="fa-IR"/>
        </w:rPr>
        <w:t>H2.</w:t>
      </w:r>
      <w:r>
        <w:rPr>
          <w:rFonts w:eastAsia="Times New Roman" w:cs="Times New Roman"/>
          <w:sz w:val="24"/>
          <w:szCs w:val="24"/>
          <w:lang w:val="en-US" w:bidi="fa-IR"/>
        </w:rPr>
        <w:t xml:space="preserve"> GenAI use is positively related to the calibration gap (overestimation).</w:t>
      </w:r>
    </w:p>
    <w:p>
      <w:pPr>
        <w:pStyle w:val="Normal"/>
        <w:keepNext w:val="true"/>
        <w:spacing w:lineRule="auto" w:line="276" w:before="140" w:after="60"/>
        <w:jc w:val="left"/>
        <w:rPr/>
      </w:pPr>
      <w:r>
        <w:rPr>
          <w:rFonts w:eastAsia="Times New Roman" w:cs="Times New Roman"/>
          <w:b/>
          <w:bCs/>
          <w:sz w:val="24"/>
          <w:szCs w:val="24"/>
          <w:lang w:val="en-US" w:bidi="fa-IR"/>
        </w:rPr>
        <w:t>2.2 Reliance, verification and decision quality</w:t>
      </w:r>
    </w:p>
    <w:p>
      <w:pPr>
        <w:pStyle w:val="Normal"/>
        <w:spacing w:lineRule="auto" w:line="276" w:before="0" w:after="80"/>
        <w:ind w:firstLine="425"/>
        <w:jc w:val="both"/>
        <w:rPr/>
      </w:pPr>
      <w:r>
        <w:rPr>
          <w:rFonts w:eastAsia="Times New Roman" w:cs="Times New Roman"/>
          <w:sz w:val="24"/>
          <w:szCs w:val="24"/>
          <w:lang w:val="en-US" w:bidi="fa-IR"/>
        </w:rPr>
        <w:t>Automation-bias research defines two error types—omission (failing to act because the aid is silent) and commission (following incorrect advice)—and attributes them to cognitive-miser heuristics and diffused responsibility (Skitka et al., 1999; Parasuraman &amp; Manzey, 2010; Goddard et al., 2012). In investing, the analogue is accepting an AI answer about a ratio, an audit opinion or a price trend without cross-checking. We define uncritical reliance (UR) as the tendency to accept AI output without independent checks, and verification (VER) as the behavioural counterpart of calibrated reliance: comparing AI claims with filings, independent sources and own calculations (Lee &amp; See, 2004; Hoff &amp; Bashir, 2015). Heavier use should raise both, because use creates both opportunity and exposure; but only verification should protect the quality of decisions.</w:t>
      </w:r>
    </w:p>
    <w:p>
      <w:pPr>
        <w:pStyle w:val="Normal"/>
        <w:spacing w:lineRule="auto" w:line="276" w:before="0" w:after="80"/>
        <w:ind w:firstLine="425"/>
        <w:jc w:val="both"/>
        <w:rPr/>
      </w:pPr>
      <w:r>
        <w:rPr>
          <w:rFonts w:eastAsia="Times New Roman" w:cs="Times New Roman"/>
          <w:b/>
          <w:bCs/>
          <w:sz w:val="24"/>
          <w:szCs w:val="24"/>
          <w:lang w:val="en-US" w:bidi="fa-IR"/>
        </w:rPr>
        <w:t>H3.</w:t>
      </w:r>
      <w:r>
        <w:rPr>
          <w:rFonts w:eastAsia="Times New Roman" w:cs="Times New Roman"/>
          <w:sz w:val="24"/>
          <w:szCs w:val="24"/>
          <w:lang w:val="en-US" w:bidi="fa-IR"/>
        </w:rPr>
        <w:t xml:space="preserve"> GenAI use is positively related to uncritical reliance.  </w:t>
      </w:r>
      <w:r>
        <w:rPr>
          <w:rFonts w:eastAsia="Times New Roman" w:cs="Times New Roman"/>
          <w:b/>
          <w:bCs/>
          <w:sz w:val="24"/>
          <w:szCs w:val="24"/>
          <w:lang w:val="en-US" w:bidi="fa-IR"/>
        </w:rPr>
        <w:t>H4.</w:t>
      </w:r>
      <w:r>
        <w:rPr>
          <w:rFonts w:eastAsia="Times New Roman" w:cs="Times New Roman"/>
          <w:sz w:val="24"/>
          <w:szCs w:val="24"/>
          <w:lang w:val="en-US" w:bidi="fa-IR"/>
        </w:rPr>
        <w:t xml:space="preserve"> GenAI use is positively related to verification (competing mechanism).</w:t>
      </w:r>
    </w:p>
    <w:p>
      <w:pPr>
        <w:pStyle w:val="Normal"/>
        <w:spacing w:lineRule="auto" w:line="276" w:before="0" w:after="80"/>
        <w:ind w:firstLine="425"/>
        <w:jc w:val="both"/>
        <w:rPr/>
      </w:pPr>
      <w:r>
        <w:rPr>
          <w:rFonts w:eastAsia="Times New Roman" w:cs="Times New Roman"/>
          <w:sz w:val="24"/>
          <w:szCs w:val="24"/>
          <w:lang w:val="en-US" w:bidi="fa-IR"/>
        </w:rPr>
        <w:t>Decision quality (IDQ) reflects documented analysis, satisfaction with outcomes, goal alignment and low regret (Parker &amp; Fischhoff, 2005; Bruine de Bruin et al., 2007). Overconfident investors trade more and perform worse (Barber &amp; Odean, 2000), and reliance on incorrect advice degrades outcomes, whereas checking limits errors.</w:t>
      </w:r>
    </w:p>
    <w:p>
      <w:pPr>
        <w:pStyle w:val="Normal"/>
        <w:spacing w:lineRule="auto" w:line="276" w:before="0" w:after="80"/>
        <w:ind w:firstLine="425"/>
        <w:jc w:val="both"/>
        <w:rPr/>
      </w:pPr>
      <w:r>
        <w:rPr>
          <w:rFonts w:eastAsia="Times New Roman" w:cs="Times New Roman"/>
          <w:b/>
          <w:bCs/>
          <w:sz w:val="24"/>
          <w:szCs w:val="24"/>
          <w:lang w:val="en-US" w:bidi="fa-IR"/>
        </w:rPr>
        <w:t>H5.</w:t>
      </w:r>
      <w:r>
        <w:rPr>
          <w:rFonts w:eastAsia="Times New Roman" w:cs="Times New Roman"/>
          <w:sz w:val="24"/>
          <w:szCs w:val="24"/>
          <w:lang w:val="en-US" w:bidi="fa-IR"/>
        </w:rPr>
        <w:t xml:space="preserve"> Perceived competence with AI is negatively related to decision quality.  </w:t>
      </w:r>
      <w:r>
        <w:rPr>
          <w:rFonts w:eastAsia="Times New Roman" w:cs="Times New Roman"/>
          <w:b/>
          <w:bCs/>
          <w:sz w:val="24"/>
          <w:szCs w:val="24"/>
          <w:lang w:val="en-US" w:bidi="fa-IR"/>
        </w:rPr>
        <w:t>H6.</w:t>
      </w:r>
      <w:r>
        <w:rPr>
          <w:rFonts w:eastAsia="Times New Roman" w:cs="Times New Roman"/>
          <w:sz w:val="24"/>
          <w:szCs w:val="24"/>
          <w:lang w:val="en-US" w:bidi="fa-IR"/>
        </w:rPr>
        <w:t xml:space="preserve"> The calibration gap is negatively related to decision quality.  </w:t>
      </w:r>
      <w:r>
        <w:rPr>
          <w:rFonts w:eastAsia="Times New Roman" w:cs="Times New Roman"/>
          <w:b/>
          <w:bCs/>
          <w:sz w:val="24"/>
          <w:szCs w:val="24"/>
          <w:lang w:val="en-US" w:bidi="fa-IR"/>
        </w:rPr>
        <w:t>H7.</w:t>
      </w:r>
      <w:r>
        <w:rPr>
          <w:rFonts w:eastAsia="Times New Roman" w:cs="Times New Roman"/>
          <w:sz w:val="24"/>
          <w:szCs w:val="24"/>
          <w:lang w:val="en-US" w:bidi="fa-IR"/>
        </w:rPr>
        <w:t xml:space="preserve"> Uncritical reliance is negatively related to decision quality.  </w:t>
      </w:r>
      <w:r>
        <w:rPr>
          <w:rFonts w:eastAsia="Times New Roman" w:cs="Times New Roman"/>
          <w:b/>
          <w:bCs/>
          <w:sz w:val="24"/>
          <w:szCs w:val="24"/>
          <w:lang w:val="en-US" w:bidi="fa-IR"/>
        </w:rPr>
        <w:t>H8.</w:t>
      </w:r>
      <w:r>
        <w:rPr>
          <w:rFonts w:eastAsia="Times New Roman" w:cs="Times New Roman"/>
          <w:sz w:val="24"/>
          <w:szCs w:val="24"/>
          <w:lang w:val="en-US" w:bidi="fa-IR"/>
        </w:rPr>
        <w:t xml:space="preserve"> Verification is positively related to decision quality.</w:t>
      </w:r>
    </w:p>
    <w:p>
      <w:pPr>
        <w:pStyle w:val="Normal"/>
        <w:spacing w:lineRule="auto" w:line="276" w:before="0" w:after="80"/>
        <w:ind w:firstLine="425"/>
        <w:jc w:val="both"/>
        <w:rPr/>
      </w:pPr>
      <w:r>
        <w:rPr>
          <w:rFonts w:eastAsia="Times New Roman" w:cs="Times New Roman"/>
          <w:b/>
          <w:bCs/>
          <w:sz w:val="24"/>
          <w:szCs w:val="24"/>
          <w:lang w:val="en-US" w:bidi="fa-IR"/>
        </w:rPr>
        <w:t>H9 (mediation).</w:t>
      </w:r>
      <w:r>
        <w:rPr>
          <w:rFonts w:eastAsia="Times New Roman" w:cs="Times New Roman"/>
          <w:sz w:val="24"/>
          <w:szCs w:val="24"/>
          <w:lang w:val="en-US" w:bidi="fa-IR"/>
        </w:rPr>
        <w:t xml:space="preserve"> GenAI use has negative indirect effects on decision quality through perceived competence, the calibration gap and uncritical reliance, and a positive indirect effect through verification; the net indirect effect is the sum of opposing paths.</w:t>
      </w:r>
    </w:p>
    <w:p>
      <w:pPr>
        <w:pStyle w:val="Normal"/>
        <w:keepNext w:val="true"/>
        <w:spacing w:lineRule="auto" w:line="276" w:before="140" w:after="60"/>
        <w:jc w:val="left"/>
        <w:rPr/>
      </w:pPr>
      <w:r>
        <w:rPr>
          <w:rFonts w:eastAsia="Times New Roman" w:cs="Times New Roman"/>
          <w:b/>
          <w:bCs/>
          <w:sz w:val="24"/>
          <w:szCs w:val="24"/>
          <w:lang w:val="en-US" w:bidi="fa-IR"/>
        </w:rPr>
        <w:t>2.3 Boundary conditions: financial knowledge and AI literacy</w:t>
      </w:r>
    </w:p>
    <w:p>
      <w:pPr>
        <w:pStyle w:val="Normal"/>
        <w:spacing w:lineRule="auto" w:line="276" w:before="0" w:after="80"/>
        <w:ind w:firstLine="425"/>
        <w:jc w:val="both"/>
        <w:rPr/>
      </w:pPr>
      <w:r>
        <w:rPr>
          <w:rFonts w:eastAsia="Times New Roman" w:cs="Times New Roman"/>
          <w:sz w:val="24"/>
          <w:szCs w:val="24"/>
          <w:lang w:val="en-US" w:bidi="fa-IR"/>
        </w:rPr>
        <w:t xml:space="preserve">Knowledge provides the standard against which an AI answer can be judged, and the metacognitive skill to see where it is lacking. Higher objective financial and accounting knowledge should therefore weaken the translation of use into inflated confidence (Kruger &amp; Dunning, 1999; Lusardi &amp; Mitchell, 2014; Van Rooij et al., 2011). AI literacy—understanding that GenAI can hallucinate, is trained on dated data, and must be evaluated (Long &amp; Magerko, 2020; Ng et al., 2021; Wang et al., 2023)—should reduce blind acceptance and increase checking, because the user knows </w:t>
      </w:r>
      <w:r>
        <w:rPr>
          <w:rFonts w:eastAsia="Times New Roman" w:cs="Times New Roman"/>
          <w:i/>
          <w:iCs/>
          <w:sz w:val="24"/>
          <w:szCs w:val="24"/>
          <w:lang w:val="en-US" w:bidi="fa-IR"/>
        </w:rPr>
        <w:t>when</w:t>
      </w:r>
      <w:r>
        <w:rPr>
          <w:rFonts w:eastAsia="Times New Roman" w:cs="Times New Roman"/>
          <w:sz w:val="24"/>
          <w:szCs w:val="24"/>
          <w:lang w:val="en-US" w:bidi="fa-IR"/>
        </w:rPr>
        <w:t xml:space="preserve"> not to rely.</w:t>
      </w:r>
    </w:p>
    <w:p>
      <w:pPr>
        <w:pStyle w:val="Normal"/>
        <w:spacing w:lineRule="auto" w:line="276" w:before="0" w:after="80"/>
        <w:ind w:firstLine="425"/>
        <w:jc w:val="both"/>
        <w:rPr/>
        <w:sectPr>
          <w:footerReference w:type="even" r:id="rId2"/>
          <w:footerReference w:type="default" r:id="rId3"/>
          <w:footerReference w:type="first" r:id="rId4"/>
          <w:type w:val="nextPage"/>
          <w:pgSz w:w="11906" w:h="16838"/>
          <w:pgMar w:left="1417" w:right="1417" w:gutter="0" w:header="0" w:top="1417" w:footer="708" w:bottom="1417"/>
          <w:pgNumType w:fmt="decimal"/>
          <w:formProt w:val="false"/>
          <w:textDirection w:val="lrTb"/>
          <w:docGrid w:type="default" w:linePitch="100" w:charSpace="0"/>
        </w:sectPr>
      </w:pPr>
      <w:r>
        <w:rPr>
          <w:rFonts w:eastAsia="Times New Roman" w:cs="Times New Roman"/>
          <w:b/>
          <w:bCs/>
          <w:sz w:val="24"/>
          <w:szCs w:val="24"/>
          <w:lang w:val="en-US" w:bidi="fa-IR"/>
        </w:rPr>
        <w:t>H10.</w:t>
      </w:r>
      <w:r>
        <w:rPr>
          <w:rFonts w:eastAsia="Times New Roman" w:cs="Times New Roman"/>
          <w:sz w:val="24"/>
          <w:szCs w:val="24"/>
          <w:lang w:val="en-US" w:bidi="fa-IR"/>
        </w:rPr>
        <w:t xml:space="preserve"> Financial knowledge weakens the relation of GenAI use to (a) perceived competence and (b) the calibration gap.  </w:t>
      </w:r>
      <w:r>
        <w:rPr>
          <w:rFonts w:eastAsia="Times New Roman" w:cs="Times New Roman"/>
          <w:b/>
          <w:bCs/>
          <w:sz w:val="24"/>
          <w:szCs w:val="24"/>
          <w:lang w:val="en-US" w:bidi="fa-IR"/>
        </w:rPr>
        <w:t>H11.</w:t>
      </w:r>
      <w:r>
        <w:rPr>
          <w:rFonts w:eastAsia="Times New Roman" w:cs="Times New Roman"/>
          <w:sz w:val="24"/>
          <w:szCs w:val="24"/>
          <w:lang w:val="en-US" w:bidi="fa-IR"/>
        </w:rPr>
        <w:t xml:space="preserve"> AI literacy (a) weakens the relation of use to uncritical reliance and (b) strengthens its relation to verification.  Moderated-mediation indices (Hayes, 2015) test whether the conditional indirect effects differ across moderator levels.</w:t>
      </w:r>
    </w:p>
    <w:p>
      <w:pPr>
        <w:pStyle w:val="Normal"/>
        <w:keepNext w:val="true"/>
        <w:jc w:val="center"/>
        <w:rPr/>
      </w:pPr>
      <w:r>
        <w:rPr/>
        <w:drawing>
          <wp:inline distT="0" distB="0" distL="0" distR="0">
            <wp:extent cx="8460105" cy="6184265"/>
            <wp:effectExtent l="0" t="0" r="0" b="0"/>
            <wp:docPr id="1" name="Fig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
                    <pic:cNvPicPr>
                      <a:picLocks noChangeAspect="1" noChangeArrowheads="1"/>
                    </pic:cNvPicPr>
                  </pic:nvPicPr>
                  <pic:blipFill>
                    <a:blip r:embed="rId5"/>
                    <a:stretch>
                      <a:fillRect/>
                    </a:stretch>
                  </pic:blipFill>
                  <pic:spPr bwMode="auto">
                    <a:xfrm>
                      <a:off x="0" y="0"/>
                      <a:ext cx="8460105" cy="6184265"/>
                    </a:xfrm>
                    <a:prstGeom prst="rect">
                      <a:avLst/>
                    </a:prstGeom>
                  </pic:spPr>
                </pic:pic>
              </a:graphicData>
            </a:graphic>
          </wp:inline>
        </w:drawing>
      </w:r>
    </w:p>
    <w:p>
      <w:pPr>
        <w:pStyle w:val="Normal"/>
        <w:spacing w:lineRule="auto" w:line="276" w:before="40" w:after="160"/>
        <w:jc w:val="left"/>
        <w:rPr/>
        <w:sectPr>
          <w:footerReference w:type="even" r:id="rId6"/>
          <w:footerReference w:type="default" r:id="rId7"/>
          <w:footerReference w:type="first" r:id="rId8"/>
          <w:type w:val="nextPage"/>
          <w:pgSz w:orient="landscape" w:w="16838" w:h="11906"/>
          <w:pgMar w:left="1000" w:right="1000" w:gutter="0" w:header="0" w:top="1000" w:footer="708" w:bottom="1000"/>
          <w:pgNumType w:fmt="decimal"/>
          <w:formProt w:val="false"/>
          <w:textDirection w:val="lrTb"/>
          <w:docGrid w:type="default" w:linePitch="100" w:charSpace="0"/>
        </w:sectPr>
      </w:pPr>
      <w:r>
        <w:rPr>
          <w:rFonts w:eastAsia="Times New Roman" w:cs="Times New Roman"/>
          <w:b/>
          <w:bCs/>
          <w:sz w:val="22"/>
          <w:szCs w:val="22"/>
          <w:lang w:val="en-US" w:bidi="fa-IR"/>
        </w:rPr>
        <w:t>Figure 1. Estimated structural model with all indicators: standardized loadings (λ) and standardized path coefficients (β), with latent R². Latent variables are ellipses, observed variables and indicators are boxes; dashed orange arrows are interaction (moderation) terms.</w:t>
      </w:r>
    </w:p>
    <w:p>
      <w:pPr>
        <w:pStyle w:val="Normal"/>
        <w:keepNext w:val="true"/>
        <w:spacing w:lineRule="auto" w:line="276" w:before="200" w:after="80"/>
        <w:jc w:val="left"/>
        <w:rPr/>
      </w:pPr>
      <w:r>
        <w:rPr>
          <w:rFonts w:eastAsia="Times New Roman" w:cs="Times New Roman"/>
          <w:b/>
          <w:bCs/>
          <w:sz w:val="26"/>
          <w:szCs w:val="26"/>
          <w:lang w:val="en-US" w:bidi="fa-IR"/>
        </w:rPr>
        <w:t>3. Data and method</w:t>
      </w:r>
    </w:p>
    <w:p>
      <w:pPr>
        <w:pStyle w:val="Normal"/>
        <w:keepNext w:val="true"/>
        <w:spacing w:lineRule="auto" w:line="276" w:before="140" w:after="60"/>
        <w:jc w:val="left"/>
        <w:rPr/>
      </w:pPr>
      <w:r>
        <w:rPr>
          <w:rFonts w:eastAsia="Times New Roman" w:cs="Times New Roman"/>
          <w:b/>
          <w:bCs/>
          <w:sz w:val="24"/>
          <w:szCs w:val="24"/>
          <w:lang w:val="en-US" w:bidi="fa-IR"/>
        </w:rPr>
        <w:t>3.1 Design and sample (synthetic)</w:t>
      </w:r>
    </w:p>
    <w:p>
      <w:pPr>
        <w:pStyle w:val="Normal"/>
        <w:spacing w:lineRule="auto" w:line="276" w:before="0" w:after="80"/>
        <w:ind w:firstLine="425"/>
        <w:jc w:val="both"/>
        <w:rPr/>
      </w:pPr>
      <w:r>
        <w:rPr>
          <w:rFonts w:eastAsia="Times New Roman" w:cs="Times New Roman"/>
          <w:sz w:val="24"/>
          <w:szCs w:val="24"/>
          <w:lang w:val="en-US" w:bidi="fa-IR"/>
        </w:rPr>
        <w:t>The planned study is a cross-sectional online survey of active individual stock investors with an embedded knowledge test. The synthetic sample has N = 428; 66% male, mean age 36.2 years (SD = 8.9), mean trading experience 6.6 years (SD = 4.0), and 64% reporting at least occasional GenAI use for investing (GUI1 ≥ 3). Because the model has 104 free parameters, the ratio of observations to parameters is 4.1:1; we therefore rely on a power analysis for covariance-structure models (MacCallum et al., 1996), which gives power above .99 to reject close fit (RMSEA = .05) against RMSEA = .08 at this N and these degrees of freedom, and we report DWLS and trimmed-sample checks. For real data, a target of N ≥ 400 with at least 40% regular users is recommended so that the exogenous construct keeps its variance.</w:t>
      </w:r>
    </w:p>
    <w:p>
      <w:pPr>
        <w:pStyle w:val="Normal"/>
        <w:keepNext w:val="true"/>
        <w:spacing w:lineRule="auto" w:line="276" w:before="140" w:after="60"/>
        <w:jc w:val="left"/>
        <w:rPr/>
      </w:pPr>
      <w:r>
        <w:rPr>
          <w:rFonts w:eastAsia="Times New Roman" w:cs="Times New Roman"/>
          <w:b/>
          <w:bCs/>
          <w:sz w:val="24"/>
          <w:szCs w:val="24"/>
          <w:lang w:val="en-US" w:bidi="fa-IR"/>
        </w:rPr>
        <w:t>3.2 Measures</w:t>
      </w:r>
    </w:p>
    <w:p>
      <w:pPr>
        <w:pStyle w:val="Normal"/>
        <w:spacing w:lineRule="auto" w:line="276" w:before="0" w:after="80"/>
        <w:jc w:val="both"/>
        <w:rPr/>
      </w:pPr>
      <w:r>
        <w:rPr>
          <w:rFonts w:eastAsia="Times New Roman" w:cs="Times New Roman"/>
          <w:sz w:val="24"/>
          <w:szCs w:val="24"/>
          <w:lang w:val="en-US" w:bidi="fa-IR"/>
        </w:rPr>
        <w:t>Table 1 lists each scale, its origin and its principal sources; the full item wording, scoring and validation protocol are in the accompanying questionnaire (Appendix A and the separate questionnaire file). Latent variables are indicated by their own items in the structural model; no summed or averaged composites enter any model.</w:t>
      </w:r>
    </w:p>
    <w:p>
      <w:pPr>
        <w:pStyle w:val="Normal"/>
        <w:keepNext w:val="true"/>
        <w:spacing w:lineRule="auto" w:line="276" w:before="140" w:after="60"/>
        <w:jc w:val="left"/>
        <w:rPr/>
      </w:pPr>
      <w:r>
        <w:rPr>
          <w:rFonts w:eastAsia="Times New Roman" w:cs="Times New Roman"/>
          <w:b/>
          <w:bCs/>
          <w:sz w:val="22"/>
          <w:szCs w:val="22"/>
          <w:lang w:val="en-US" w:bidi="fa-IR"/>
        </w:rPr>
        <w:t>Table 1. Measures and origin of the scales</w:t>
      </w:r>
    </w:p>
    <w:tbl>
      <w:tblPr>
        <w:tblW w:w="9300" w:type="dxa"/>
        <w:jc w:val="center"/>
        <w:tblInd w:w="0" w:type="dxa"/>
        <w:tblLayout w:type="fixed"/>
        <w:tblCellMar>
          <w:top w:w="0" w:type="dxa"/>
          <w:left w:w="60" w:type="dxa"/>
          <w:bottom w:w="0" w:type="dxa"/>
          <w:right w:w="60" w:type="dxa"/>
        </w:tblCellMar>
      </w:tblPr>
      <w:tblGrid>
        <w:gridCol w:w="700"/>
        <w:gridCol w:w="4400"/>
        <w:gridCol w:w="700"/>
        <w:gridCol w:w="3499"/>
      </w:tblGrid>
      <w:tr>
        <w:trPr>
          <w:tblHeader w:val="true"/>
        </w:trPr>
        <w:tc>
          <w:tcPr>
            <w:tcW w:w="7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20"/>
                <w:szCs w:val="20"/>
                <w:lang w:val="en-US" w:bidi="fa-IR"/>
              </w:rPr>
              <w:t>Code</w:t>
            </w:r>
          </w:p>
        </w:tc>
        <w:tc>
          <w:tcPr>
            <w:tcW w:w="44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Construct</w:t>
            </w:r>
          </w:p>
        </w:tc>
        <w:tc>
          <w:tcPr>
            <w:tcW w:w="7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Items</w:t>
            </w:r>
          </w:p>
        </w:tc>
        <w:tc>
          <w:tcPr>
            <w:tcW w:w="34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Origin</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GUI</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Generative-AI use for investing</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Researcher-made (theory-derived)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FK</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Objective financial/accounting knowledge test (8 items, scored 0/1)</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8</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Mixed: adapted + researcher-made</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CG</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Calibration gap (overestimation): predicted minus actual test score</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2</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Research-based (adapted)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PCA</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Perceived competence with AI (the 'illusion' facet)</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Researcher-made (theory-derived)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UR</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Uncritical reliance on AI output (automation-bias tendency)</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Researcher-made (theory-derived)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VER</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Verification behaviour (calibrated reliance)</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Researcher-made (theory-derived)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AIL</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AI literacy</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6</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Research-based (adapted)</w:t>
            </w:r>
          </w:p>
        </w:tc>
      </w:tr>
      <w:tr>
        <w:trPr>
          <w:cantSplit w:val="true"/>
        </w:trPr>
        <w:tc>
          <w:tcPr>
            <w:tcW w:w="700" w:type="dxa"/>
            <w:tcBorders/>
            <w:vAlign w:val="center"/>
          </w:tcPr>
          <w:p>
            <w:pPr>
              <w:pStyle w:val="Normal"/>
              <w:spacing w:lineRule="auto" w:line="240" w:before="30" w:after="30"/>
              <w:jc w:val="left"/>
              <w:rPr/>
            </w:pPr>
            <w:r>
              <w:rPr>
                <w:rFonts w:eastAsia="Times New Roman" w:cs="Times New Roman"/>
                <w:sz w:val="20"/>
                <w:szCs w:val="20"/>
                <w:lang w:val="en-US" w:bidi="fa-IR"/>
              </w:rPr>
              <w:t>IDQ</w:t>
            </w:r>
          </w:p>
        </w:tc>
        <w:tc>
          <w:tcPr>
            <w:tcW w:w="4400" w:type="dxa"/>
            <w:tcBorders/>
            <w:vAlign w:val="center"/>
          </w:tcPr>
          <w:p>
            <w:pPr>
              <w:pStyle w:val="Normal"/>
              <w:spacing w:lineRule="auto" w:line="240" w:before="30" w:after="30"/>
              <w:jc w:val="center"/>
              <w:rPr/>
            </w:pPr>
            <w:r>
              <w:rPr>
                <w:rFonts w:eastAsia="Times New Roman" w:cs="Times New Roman"/>
                <w:sz w:val="20"/>
                <w:szCs w:val="20"/>
                <w:lang w:val="en-US" w:bidi="fa-IR"/>
              </w:rPr>
              <w:t>Investment decision quality</w:t>
            </w:r>
          </w:p>
        </w:tc>
        <w:tc>
          <w:tcPr>
            <w:tcW w:w="700" w:type="dxa"/>
            <w:tcBorders/>
            <w:vAlign w:val="center"/>
          </w:tcPr>
          <w:p>
            <w:pPr>
              <w:pStyle w:val="Normal"/>
              <w:spacing w:lineRule="auto" w:line="240" w:before="30" w:after="30"/>
              <w:jc w:val="center"/>
              <w:rPr/>
            </w:pPr>
            <w:r>
              <w:rPr>
                <w:rFonts w:eastAsia="Times New Roman" w:cs="Times New Roman"/>
                <w:sz w:val="20"/>
                <w:szCs w:val="20"/>
                <w:lang w:val="en-US" w:bidi="fa-IR"/>
              </w:rPr>
              <w:t>5</w:t>
            </w:r>
          </w:p>
        </w:tc>
        <w:tc>
          <w:tcPr>
            <w:tcW w:w="3499" w:type="dxa"/>
            <w:tcBorders/>
            <w:vAlign w:val="center"/>
          </w:tcPr>
          <w:p>
            <w:pPr>
              <w:pStyle w:val="Normal"/>
              <w:spacing w:lineRule="auto" w:line="240" w:before="30" w:after="30"/>
              <w:jc w:val="center"/>
              <w:rPr/>
            </w:pPr>
            <w:r>
              <w:rPr>
                <w:rFonts w:eastAsia="Times New Roman" w:cs="Times New Roman"/>
                <w:sz w:val="20"/>
                <w:szCs w:val="20"/>
                <w:lang w:val="en-US" w:bidi="fa-IR"/>
              </w:rPr>
              <w:t>Mixed: adapted + researcher-made</w:t>
            </w:r>
          </w:p>
        </w:tc>
      </w:tr>
      <w:tr>
        <w:trPr>
          <w:cantSplit w:val="true"/>
        </w:trPr>
        <w:tc>
          <w:tcPr>
            <w:tcW w:w="700" w:type="dxa"/>
            <w:tcBorders>
              <w:bottom w:val="single" w:sz="8" w:space="0" w:color="000000"/>
            </w:tcBorders>
            <w:vAlign w:val="center"/>
          </w:tcPr>
          <w:p>
            <w:pPr>
              <w:pStyle w:val="Normal"/>
              <w:spacing w:lineRule="auto" w:line="240" w:before="30" w:after="30"/>
              <w:jc w:val="left"/>
              <w:rPr/>
            </w:pPr>
            <w:r>
              <w:rPr>
                <w:rFonts w:eastAsia="Times New Roman" w:cs="Times New Roman"/>
                <w:sz w:val="20"/>
                <w:szCs w:val="20"/>
                <w:lang w:val="en-US" w:bidi="fa-IR"/>
              </w:rPr>
              <w:t>VIG</w:t>
            </w:r>
          </w:p>
        </w:tc>
        <w:tc>
          <w:tcPr>
            <w:tcW w:w="44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Vignette task: acceptance of incorrect AI advice (behavioural criterion)</w:t>
            </w:r>
          </w:p>
        </w:tc>
        <w:tc>
          <w:tcPr>
            <w:tcW w:w="7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34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Researcher-made (theory-derived)</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i/>
          <w:iCs/>
          <w:sz w:val="24"/>
          <w:szCs w:val="24"/>
          <w:lang w:val="en-US" w:bidi="fa-IR"/>
        </w:rPr>
        <w:t>Calibration gap.</w:t>
      </w:r>
      <w:r>
        <w:rPr>
          <w:rFonts w:eastAsia="Times New Roman" w:cs="Times New Roman"/>
          <w:sz w:val="24"/>
          <w:szCs w:val="24"/>
          <w:lang w:val="en-US" w:bidi="fa-IR"/>
        </w:rPr>
        <w:t xml:space="preserve"> After the eight-item knowledge test, respondents predict how many items they answered correctly (C1). The gap is CG = C1 − actual score (positive = overestimation), the “overestimation” form of miscalibration in the taxonomy of Moore &amp; Healy (2008). It is standardized (CGz) and enters the model as an observed mediator. </w:t>
      </w:r>
      <w:r>
        <w:rPr>
          <w:rFonts w:eastAsia="Times New Roman" w:cs="Times New Roman"/>
          <w:i/>
          <w:iCs/>
          <w:sz w:val="24"/>
          <w:szCs w:val="24"/>
          <w:lang w:val="en-US" w:bidi="fa-IR"/>
        </w:rPr>
        <w:t>Financial knowledge</w:t>
      </w:r>
      <w:r>
        <w:rPr>
          <w:rFonts w:eastAsia="Times New Roman" w:cs="Times New Roman"/>
          <w:sz w:val="24"/>
          <w:szCs w:val="24"/>
          <w:lang w:val="en-US" w:bidi="fa-IR"/>
        </w:rPr>
        <w:t xml:space="preserve"> is the standardized test score (FKz; KR-20 = 0.66); a latent single-factor treatment is unnecessary because items are binary and the score is the test's intended output. </w:t>
      </w:r>
      <w:r>
        <w:rPr>
          <w:rFonts w:eastAsia="Times New Roman" w:cs="Times New Roman"/>
          <w:i/>
          <w:iCs/>
          <w:sz w:val="24"/>
          <w:szCs w:val="24"/>
          <w:lang w:val="en-US" w:bidi="fa-IR"/>
        </w:rPr>
        <w:t>Interactions</w:t>
      </w:r>
      <w:r>
        <w:rPr>
          <w:rFonts w:eastAsia="Times New Roman" w:cs="Times New Roman"/>
          <w:sz w:val="24"/>
          <w:szCs w:val="24"/>
          <w:lang w:val="en-US" w:bidi="fa-IR"/>
        </w:rPr>
        <w:t xml:space="preserve"> are latent: GUI×AIL and GUI×FKz are represented by matched-pair product indicators (Marsh et al., 2004) with residual-centred indicators as a robustness check (Little et al., 2006).</w:t>
      </w:r>
    </w:p>
    <w:p>
      <w:pPr>
        <w:pStyle w:val="Normal"/>
        <w:keepNext w:val="true"/>
        <w:spacing w:lineRule="auto" w:line="276" w:before="140" w:after="60"/>
        <w:jc w:val="left"/>
        <w:rPr/>
      </w:pPr>
      <w:r>
        <w:rPr>
          <w:rFonts w:eastAsia="Times New Roman" w:cs="Times New Roman"/>
          <w:b/>
          <w:bCs/>
          <w:sz w:val="24"/>
          <w:szCs w:val="24"/>
          <w:lang w:val="en-US" w:bidi="fa-IR"/>
        </w:rPr>
        <w:t>3.3 Analytic strategy</w:t>
      </w:r>
    </w:p>
    <w:p>
      <w:pPr>
        <w:pStyle w:val="Normal"/>
        <w:spacing w:lineRule="auto" w:line="276" w:before="0" w:after="80"/>
        <w:ind w:firstLine="425"/>
        <w:jc w:val="both"/>
        <w:rPr/>
      </w:pPr>
      <w:r>
        <w:rPr>
          <w:rFonts w:eastAsia="Times New Roman" w:cs="Times New Roman"/>
          <w:sz w:val="24"/>
          <w:szCs w:val="24"/>
          <w:lang w:val="en-US" w:bidi="fa-IR"/>
        </w:rPr>
        <w:t>Models were estimated by maximum likelihood in semopy (Igolkina &amp; Meshcheryakov, 2020) in Python. Fit is judged jointly: CFI/TLI ≥ .95, RMSEA ≤ .06, SRMR ≤ .08 (Hu &amp; Bentler, 1999), with the χ² test reported but not used alone because it over-rejects at this size. Convergent and discriminant validity use CR, AVE (Fornell &amp; Larcker, 1981) and HTMT (Henseler et al., 2015). Common-method bias is probed by Harman's single-factor test, a one-factor CFA and a common-latent-factor model (Podsakoff et al., 2003). Indirect and conditional indirect effects use 2,000 nonparametric bootstrap draws with percentile intervals (Preacher &amp; Hayes, 2008), evaluated at −1, 0 and +1 SD of the moderator, and indices of moderated mediation follow Hayes (2015). R² for latent outcomes is 1 − the standardized residual variance; the effect size of an interaction is f² from the R² change. Five competing structures (M1–M5) are compared by AIC/BIC and fit.</w:t>
      </w:r>
    </w:p>
    <w:p>
      <w:pPr>
        <w:pStyle w:val="Normal"/>
        <w:keepNext w:val="true"/>
        <w:spacing w:lineRule="auto" w:line="276" w:before="200" w:after="80"/>
        <w:jc w:val="left"/>
        <w:rPr/>
      </w:pPr>
      <w:r>
        <w:rPr>
          <w:rFonts w:eastAsia="Times New Roman" w:cs="Times New Roman"/>
          <w:b/>
          <w:bCs/>
          <w:sz w:val="26"/>
          <w:szCs w:val="26"/>
          <w:lang w:val="en-US" w:bidi="fa-IR"/>
        </w:rPr>
        <w:t>4. Results</w:t>
      </w:r>
    </w:p>
    <w:p>
      <w:pPr>
        <w:pStyle w:val="Normal"/>
        <w:keepNext w:val="true"/>
        <w:spacing w:lineRule="auto" w:line="276" w:before="140" w:after="60"/>
        <w:jc w:val="left"/>
        <w:rPr/>
      </w:pPr>
      <w:r>
        <w:rPr>
          <w:rFonts w:eastAsia="Times New Roman" w:cs="Times New Roman"/>
          <w:b/>
          <w:bCs/>
          <w:sz w:val="24"/>
          <w:szCs w:val="24"/>
          <w:lang w:val="en-US" w:bidi="fa-IR"/>
        </w:rPr>
        <w:t>4.1 Descriptives and the knowledge test</w:t>
      </w:r>
    </w:p>
    <w:p>
      <w:pPr>
        <w:pStyle w:val="Normal"/>
        <w:spacing w:lineRule="auto" w:line="276" w:before="0" w:after="80"/>
        <w:ind w:firstLine="425"/>
        <w:jc w:val="both"/>
        <w:rPr/>
      </w:pPr>
      <w:r>
        <w:rPr>
          <w:rFonts w:eastAsia="Times New Roman" w:cs="Times New Roman"/>
          <w:sz w:val="24"/>
          <w:szCs w:val="24"/>
          <w:lang w:val="en-US" w:bidi="fa-IR"/>
        </w:rPr>
        <w:t>The eight-item test had a mean of 3.73 (SD = 2.08); proportions correct ranged from 0.24 (FK8, compound interest) to 0.68 (FK1, inflation). KR-20 was 0.66, acceptable for an eight-item research test. Respondents' predictions averaged 3.71, so the mean calibration gap was −0.02 (SD = 1.35), but 34% overestimated; individual-level overestimation, not the mean, is the target construct. Item skewness (−0.56 to 0.42) and kurtosis (−0.81 to −0.39) were moderate; Mardia's multivariate kurtosis (769 vs. expected 783) indicated mild departure from normality, which motivated the DWLS check below.</w:t>
      </w:r>
    </w:p>
    <w:p>
      <w:pPr>
        <w:pStyle w:val="Normal"/>
        <w:keepNext w:val="true"/>
        <w:spacing w:lineRule="auto" w:line="276" w:before="140" w:after="60"/>
        <w:jc w:val="left"/>
        <w:rPr/>
      </w:pPr>
      <w:r>
        <w:rPr>
          <w:rFonts w:eastAsia="Times New Roman" w:cs="Times New Roman"/>
          <w:b/>
          <w:bCs/>
          <w:sz w:val="24"/>
          <w:szCs w:val="24"/>
          <w:lang w:val="en-US" w:bidi="fa-IR"/>
        </w:rPr>
        <w:t>4.2 Measurement model</w:t>
      </w:r>
    </w:p>
    <w:p>
      <w:pPr>
        <w:pStyle w:val="Normal"/>
        <w:spacing w:lineRule="auto" w:line="276" w:before="0" w:after="80"/>
        <w:ind w:firstLine="425"/>
        <w:jc w:val="both"/>
        <w:rPr/>
      </w:pPr>
      <w:r>
        <w:rPr>
          <w:rFonts w:eastAsia="Times New Roman" w:cs="Times New Roman"/>
          <w:sz w:val="24"/>
          <w:szCs w:val="24"/>
          <w:lang w:val="en-US" w:bidi="fa-IR"/>
        </w:rPr>
        <w:t>The six-factor CFA fitted well: χ²(309) = 378.8, p = .004; CFI = 0.986, TLI = 0.984, RMSEA = 0.023, SRMR = 0.037. All standardized loadings were between 0.64 and 0.84, CR ranged 0.82–0.87, and AVE 0.51–0.60 (Table 2). The largest HTMT was 0.56, well below .85, and the square root of each AVE exceeded its latent correlations. Harman's first factor explained 19.5% of variance; a one-factor CFA fitted poorly (CFI = 0.31) and adding a common latent factor changed fit only slightly (CFI = 0.994; common variance 15%), so method variance is not a dominant concern. Latent variance-inflation factors for the IDQ predictors were ≤ 1.87.</w:t>
      </w:r>
    </w:p>
    <w:p>
      <w:pPr>
        <w:pStyle w:val="Normal"/>
        <w:keepNext w:val="true"/>
        <w:spacing w:lineRule="auto" w:line="276" w:before="140" w:after="60"/>
        <w:jc w:val="left"/>
        <w:rPr/>
      </w:pPr>
      <w:r>
        <w:rPr>
          <w:rFonts w:eastAsia="Times New Roman" w:cs="Times New Roman"/>
          <w:b/>
          <w:bCs/>
          <w:sz w:val="22"/>
          <w:szCs w:val="22"/>
          <w:lang w:val="en-US" w:bidi="fa-IR"/>
        </w:rPr>
        <w:t>Table 2. Reliability and convergent validity</w:t>
      </w:r>
    </w:p>
    <w:tbl>
      <w:tblPr>
        <w:tblW w:w="8100" w:type="dxa"/>
        <w:jc w:val="center"/>
        <w:tblInd w:w="0" w:type="dxa"/>
        <w:tblLayout w:type="fixed"/>
        <w:tblCellMar>
          <w:top w:w="0" w:type="dxa"/>
          <w:left w:w="60" w:type="dxa"/>
          <w:bottom w:w="0" w:type="dxa"/>
          <w:right w:w="60" w:type="dxa"/>
        </w:tblCellMar>
      </w:tblPr>
      <w:tblGrid>
        <w:gridCol w:w="1700"/>
        <w:gridCol w:w="900"/>
        <w:gridCol w:w="1100"/>
        <w:gridCol w:w="1100"/>
        <w:gridCol w:w="1100"/>
        <w:gridCol w:w="2199"/>
      </w:tblGrid>
      <w:tr>
        <w:trPr>
          <w:tblHeader w:val="true"/>
        </w:trPr>
        <w:tc>
          <w:tcPr>
            <w:tcW w:w="17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20"/>
                <w:szCs w:val="20"/>
                <w:lang w:val="en-US" w:bidi="fa-IR"/>
              </w:rPr>
              <w:t>Construct</w:t>
            </w:r>
          </w:p>
        </w:tc>
        <w:tc>
          <w:tcPr>
            <w:tcW w:w="9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Items</w:t>
            </w:r>
          </w:p>
        </w:tc>
        <w:tc>
          <w:tcPr>
            <w:tcW w:w="11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α</w:t>
            </w:r>
          </w:p>
        </w:tc>
        <w:tc>
          <w:tcPr>
            <w:tcW w:w="11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CR</w:t>
            </w:r>
          </w:p>
        </w:tc>
        <w:tc>
          <w:tcPr>
            <w:tcW w:w="11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AVE</w:t>
            </w:r>
          </w:p>
        </w:tc>
        <w:tc>
          <w:tcPr>
            <w:tcW w:w="21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Loadings</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20"/>
                <w:szCs w:val="20"/>
                <w:lang w:val="en-US" w:bidi="fa-IR"/>
              </w:rPr>
              <w:t>GUI</w:t>
            </w:r>
          </w:p>
        </w:tc>
        <w:tc>
          <w:tcPr>
            <w:tcW w:w="9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0.85</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0.86</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0.60</w:t>
            </w:r>
          </w:p>
        </w:tc>
        <w:tc>
          <w:tcPr>
            <w:tcW w:w="2199" w:type="dxa"/>
            <w:tcBorders/>
            <w:vAlign w:val="center"/>
          </w:tcPr>
          <w:p>
            <w:pPr>
              <w:pStyle w:val="Normal"/>
              <w:spacing w:lineRule="auto" w:line="240" w:before="30" w:after="30"/>
              <w:jc w:val="center"/>
              <w:rPr/>
            </w:pPr>
            <w:r>
              <w:rPr>
                <w:rFonts w:eastAsia="Times New Roman" w:cs="Times New Roman"/>
                <w:sz w:val="20"/>
                <w:szCs w:val="20"/>
                <w:lang w:val="en-US" w:bidi="fa-IR"/>
              </w:rPr>
              <w:t>0.70–0.84</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20"/>
                <w:szCs w:val="20"/>
                <w:lang w:val="en-US" w:bidi="fa-IR"/>
              </w:rPr>
              <w:t>PCA</w:t>
            </w:r>
          </w:p>
        </w:tc>
        <w:tc>
          <w:tcPr>
            <w:tcW w:w="9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0.83</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0.84</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0.56</w:t>
            </w:r>
          </w:p>
        </w:tc>
        <w:tc>
          <w:tcPr>
            <w:tcW w:w="2199" w:type="dxa"/>
            <w:tcBorders/>
            <w:vAlign w:val="center"/>
          </w:tcPr>
          <w:p>
            <w:pPr>
              <w:pStyle w:val="Normal"/>
              <w:spacing w:lineRule="auto" w:line="240" w:before="30" w:after="30"/>
              <w:jc w:val="center"/>
              <w:rPr/>
            </w:pPr>
            <w:r>
              <w:rPr>
                <w:rFonts w:eastAsia="Times New Roman" w:cs="Times New Roman"/>
                <w:sz w:val="20"/>
                <w:szCs w:val="20"/>
                <w:lang w:val="en-US" w:bidi="fa-IR"/>
              </w:rPr>
              <w:t>0.64–0.82</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20"/>
                <w:szCs w:val="20"/>
                <w:lang w:val="en-US" w:bidi="fa-IR"/>
              </w:rPr>
              <w:t>UR</w:t>
            </w:r>
          </w:p>
        </w:tc>
        <w:tc>
          <w:tcPr>
            <w:tcW w:w="9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0.83</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0.83</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0.55</w:t>
            </w:r>
          </w:p>
        </w:tc>
        <w:tc>
          <w:tcPr>
            <w:tcW w:w="2199" w:type="dxa"/>
            <w:tcBorders/>
            <w:vAlign w:val="center"/>
          </w:tcPr>
          <w:p>
            <w:pPr>
              <w:pStyle w:val="Normal"/>
              <w:spacing w:lineRule="auto" w:line="240" w:before="30" w:after="30"/>
              <w:jc w:val="center"/>
              <w:rPr/>
            </w:pPr>
            <w:r>
              <w:rPr>
                <w:rFonts w:eastAsia="Times New Roman" w:cs="Times New Roman"/>
                <w:sz w:val="20"/>
                <w:szCs w:val="20"/>
                <w:lang w:val="en-US" w:bidi="fa-IR"/>
              </w:rPr>
              <w:t>0.70–0.80</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20"/>
                <w:szCs w:val="20"/>
                <w:lang w:val="en-US" w:bidi="fa-IR"/>
              </w:rPr>
              <w:t>VER</w:t>
            </w:r>
          </w:p>
        </w:tc>
        <w:tc>
          <w:tcPr>
            <w:tcW w:w="900" w:type="dxa"/>
            <w:tcBorders/>
            <w:vAlign w:val="center"/>
          </w:tcPr>
          <w:p>
            <w:pPr>
              <w:pStyle w:val="Normal"/>
              <w:spacing w:lineRule="auto" w:line="240" w:before="30" w:after="30"/>
              <w:jc w:val="center"/>
              <w:rPr/>
            </w:pPr>
            <w:r>
              <w:rPr>
                <w:rFonts w:eastAsia="Times New Roman" w:cs="Times New Roman"/>
                <w:sz w:val="20"/>
                <w:szCs w:val="20"/>
                <w:lang w:val="en-US" w:bidi="fa-IR"/>
              </w:rPr>
              <w:t>4</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0.82</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0.82</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0.54</w:t>
            </w:r>
          </w:p>
        </w:tc>
        <w:tc>
          <w:tcPr>
            <w:tcW w:w="2199" w:type="dxa"/>
            <w:tcBorders/>
            <w:vAlign w:val="center"/>
          </w:tcPr>
          <w:p>
            <w:pPr>
              <w:pStyle w:val="Normal"/>
              <w:spacing w:lineRule="auto" w:line="240" w:before="30" w:after="30"/>
              <w:jc w:val="center"/>
              <w:rPr/>
            </w:pPr>
            <w:r>
              <w:rPr>
                <w:rFonts w:eastAsia="Times New Roman" w:cs="Times New Roman"/>
                <w:sz w:val="20"/>
                <w:szCs w:val="20"/>
                <w:lang w:val="en-US" w:bidi="fa-IR"/>
              </w:rPr>
              <w:t>0.68–0.78</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20"/>
                <w:szCs w:val="20"/>
                <w:lang w:val="en-US" w:bidi="fa-IR"/>
              </w:rPr>
              <w:t>AIL</w:t>
            </w:r>
          </w:p>
        </w:tc>
        <w:tc>
          <w:tcPr>
            <w:tcW w:w="900" w:type="dxa"/>
            <w:tcBorders/>
            <w:vAlign w:val="center"/>
          </w:tcPr>
          <w:p>
            <w:pPr>
              <w:pStyle w:val="Normal"/>
              <w:spacing w:lineRule="auto" w:line="240" w:before="30" w:after="30"/>
              <w:jc w:val="center"/>
              <w:rPr/>
            </w:pPr>
            <w:r>
              <w:rPr>
                <w:rFonts w:eastAsia="Times New Roman" w:cs="Times New Roman"/>
                <w:sz w:val="20"/>
                <w:szCs w:val="20"/>
                <w:lang w:val="en-US" w:bidi="fa-IR"/>
              </w:rPr>
              <w:t>6</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0.87</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0.87</w:t>
            </w:r>
          </w:p>
        </w:tc>
        <w:tc>
          <w:tcPr>
            <w:tcW w:w="1100" w:type="dxa"/>
            <w:tcBorders/>
            <w:vAlign w:val="center"/>
          </w:tcPr>
          <w:p>
            <w:pPr>
              <w:pStyle w:val="Normal"/>
              <w:spacing w:lineRule="auto" w:line="240" w:before="30" w:after="30"/>
              <w:jc w:val="center"/>
              <w:rPr/>
            </w:pPr>
            <w:r>
              <w:rPr>
                <w:rFonts w:eastAsia="Times New Roman" w:cs="Times New Roman"/>
                <w:sz w:val="20"/>
                <w:szCs w:val="20"/>
                <w:lang w:val="en-US" w:bidi="fa-IR"/>
              </w:rPr>
              <w:t>0.54</w:t>
            </w:r>
          </w:p>
        </w:tc>
        <w:tc>
          <w:tcPr>
            <w:tcW w:w="2199" w:type="dxa"/>
            <w:tcBorders/>
            <w:vAlign w:val="center"/>
          </w:tcPr>
          <w:p>
            <w:pPr>
              <w:pStyle w:val="Normal"/>
              <w:spacing w:lineRule="auto" w:line="240" w:before="30" w:after="30"/>
              <w:jc w:val="center"/>
              <w:rPr/>
            </w:pPr>
            <w:r>
              <w:rPr>
                <w:rFonts w:eastAsia="Times New Roman" w:cs="Times New Roman"/>
                <w:sz w:val="20"/>
                <w:szCs w:val="20"/>
                <w:lang w:val="en-US" w:bidi="fa-IR"/>
              </w:rPr>
              <w:t>0.68–0.81</w:t>
            </w:r>
          </w:p>
        </w:tc>
      </w:tr>
      <w:tr>
        <w:trPr>
          <w:cantSplit w:val="true"/>
        </w:trPr>
        <w:tc>
          <w:tcPr>
            <w:tcW w:w="1700" w:type="dxa"/>
            <w:tcBorders>
              <w:bottom w:val="single" w:sz="8" w:space="0" w:color="000000"/>
            </w:tcBorders>
            <w:vAlign w:val="center"/>
          </w:tcPr>
          <w:p>
            <w:pPr>
              <w:pStyle w:val="Normal"/>
              <w:spacing w:lineRule="auto" w:line="240" w:before="30" w:after="30"/>
              <w:jc w:val="left"/>
              <w:rPr/>
            </w:pPr>
            <w:r>
              <w:rPr>
                <w:rFonts w:eastAsia="Times New Roman" w:cs="Times New Roman"/>
                <w:sz w:val="20"/>
                <w:szCs w:val="20"/>
                <w:lang w:val="en-US" w:bidi="fa-IR"/>
              </w:rPr>
              <w:t>IDQ</w:t>
            </w:r>
          </w:p>
        </w:tc>
        <w:tc>
          <w:tcPr>
            <w:tcW w:w="9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5</w:t>
            </w:r>
          </w:p>
        </w:tc>
        <w:tc>
          <w:tcPr>
            <w:tcW w:w="11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0.84</w:t>
            </w:r>
          </w:p>
        </w:tc>
        <w:tc>
          <w:tcPr>
            <w:tcW w:w="11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0.84</w:t>
            </w:r>
          </w:p>
        </w:tc>
        <w:tc>
          <w:tcPr>
            <w:tcW w:w="11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0.51</w:t>
            </w:r>
          </w:p>
        </w:tc>
        <w:tc>
          <w:tcPr>
            <w:tcW w:w="21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0.65–0.79</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4"/>
          <w:szCs w:val="24"/>
          <w:lang w:val="en-US" w:bidi="fa-IR"/>
        </w:rPr>
        <w:t>4.3 Structural model</w:t>
      </w:r>
    </w:p>
    <w:p>
      <w:pPr>
        <w:pStyle w:val="Normal"/>
        <w:spacing w:lineRule="auto" w:line="276" w:before="0" w:after="80"/>
        <w:ind w:firstLine="425"/>
        <w:jc w:val="both"/>
        <w:rPr/>
      </w:pPr>
      <w:r>
        <w:rPr>
          <w:rFonts w:eastAsia="Times New Roman" w:cs="Times New Roman"/>
          <w:sz w:val="24"/>
          <w:szCs w:val="24"/>
          <w:lang w:val="en-US" w:bidi="fa-IR"/>
        </w:rPr>
        <w:t>The full model fitted well: χ²(716) = 832.4, p = .002; CFI = 0.981, TLI = 0.979, RMSEA = 0.020, SRMR = 0.042. Table 3 and Figure 1 give the estimates.</w:t>
      </w:r>
    </w:p>
    <w:p>
      <w:pPr>
        <w:pStyle w:val="Normal"/>
        <w:keepNext w:val="true"/>
        <w:spacing w:lineRule="auto" w:line="276" w:before="140" w:after="60"/>
        <w:jc w:val="left"/>
        <w:rPr/>
      </w:pPr>
      <w:r>
        <w:rPr>
          <w:rFonts w:eastAsia="Times New Roman" w:cs="Times New Roman"/>
          <w:b/>
          <w:bCs/>
          <w:sz w:val="22"/>
          <w:szCs w:val="22"/>
          <w:lang w:val="en-US" w:bidi="fa-IR"/>
        </w:rPr>
        <w:t>Table 3. Structural estimates</w:t>
      </w:r>
    </w:p>
    <w:tbl>
      <w:tblPr>
        <w:tblW w:w="8600" w:type="dxa"/>
        <w:jc w:val="center"/>
        <w:tblInd w:w="0" w:type="dxa"/>
        <w:tblLayout w:type="fixed"/>
        <w:tblCellMar>
          <w:top w:w="0" w:type="dxa"/>
          <w:left w:w="60" w:type="dxa"/>
          <w:bottom w:w="0" w:type="dxa"/>
          <w:right w:w="60" w:type="dxa"/>
        </w:tblCellMar>
      </w:tblPr>
      <w:tblGrid>
        <w:gridCol w:w="799"/>
        <w:gridCol w:w="2701"/>
        <w:gridCol w:w="899"/>
        <w:gridCol w:w="801"/>
        <w:gridCol w:w="899"/>
        <w:gridCol w:w="1001"/>
        <w:gridCol w:w="1499"/>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20"/>
                <w:szCs w:val="20"/>
                <w:lang w:val="en-US" w:bidi="fa-IR"/>
              </w:rPr>
              <w:t>Hyp.</w:t>
            </w:r>
          </w:p>
        </w:tc>
        <w:tc>
          <w:tcPr>
            <w:tcW w:w="27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Path</w:t>
            </w:r>
          </w:p>
        </w:tc>
        <w:tc>
          <w:tcPr>
            <w:tcW w:w="8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b</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SE</w:t>
            </w:r>
          </w:p>
        </w:tc>
        <w:tc>
          <w:tcPr>
            <w:tcW w:w="8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β</w:t>
            </w:r>
          </w:p>
        </w:tc>
        <w:tc>
          <w:tcPr>
            <w:tcW w:w="10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p</w:t>
            </w:r>
          </w:p>
        </w:tc>
        <w:tc>
          <w:tcPr>
            <w:tcW w:w="14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Result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H1</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PCA</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0.50</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0.51</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H2</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CG</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0.28</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0.26</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H3</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UR</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0.40</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0.45</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H4</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VER</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0.25</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0.27</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H5</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PCA → IDQ</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0.21</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0.22</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H6</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CG → IDQ</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0.13</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0.04</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0.16</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.002</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H7</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UR → IDQ</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0.19</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0.18</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.002</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H8</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VER → IDQ</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0.41</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0.41</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H10a</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FK → PCA</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0.15</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0.16</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.002</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H10b</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FK → CG</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0.21</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0.05</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0.19</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H11a</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AIL → UR</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0.17</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0.16</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H11b</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AIL → VER</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0.28</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0.27</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&lt; .001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Supported</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GUI → IDQ (direct)</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0.02</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0.07</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0.02</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.763</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20"/>
                <w:szCs w:val="20"/>
                <w:lang w:val="en-US" w:bidi="fa-IR"/>
              </w:rPr>
              <w:t>—</w:t>
            </w:r>
          </w:p>
        </w:tc>
        <w:tc>
          <w:tcPr>
            <w:tcW w:w="2701" w:type="dxa"/>
            <w:tcBorders/>
            <w:vAlign w:val="center"/>
          </w:tcPr>
          <w:p>
            <w:pPr>
              <w:pStyle w:val="Normal"/>
              <w:spacing w:lineRule="auto" w:line="240" w:before="30" w:after="30"/>
              <w:jc w:val="center"/>
              <w:rPr/>
            </w:pPr>
            <w:r>
              <w:rPr>
                <w:rFonts w:eastAsia="Times New Roman" w:cs="Times New Roman"/>
                <w:sz w:val="20"/>
                <w:szCs w:val="20"/>
                <w:lang w:val="en-US" w:bidi="fa-IR"/>
              </w:rPr>
              <w:t>FK → IDQ</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0.14</w:t>
            </w:r>
          </w:p>
        </w:tc>
        <w:tc>
          <w:tcPr>
            <w:tcW w:w="801" w:type="dxa"/>
            <w:tcBorders/>
            <w:vAlign w:val="center"/>
          </w:tcPr>
          <w:p>
            <w:pPr>
              <w:pStyle w:val="Normal"/>
              <w:spacing w:lineRule="auto" w:line="240" w:before="30" w:after="30"/>
              <w:jc w:val="center"/>
              <w:rPr/>
            </w:pPr>
            <w:r>
              <w:rPr>
                <w:rFonts w:eastAsia="Times New Roman" w:cs="Times New Roman"/>
                <w:sz w:val="20"/>
                <w:szCs w:val="20"/>
                <w:lang w:val="en-US" w:bidi="fa-IR"/>
              </w:rPr>
              <w:t>0.04</w:t>
            </w:r>
          </w:p>
        </w:tc>
        <w:tc>
          <w:tcPr>
            <w:tcW w:w="899" w:type="dxa"/>
            <w:tcBorders/>
            <w:vAlign w:val="center"/>
          </w:tcPr>
          <w:p>
            <w:pPr>
              <w:pStyle w:val="Normal"/>
              <w:spacing w:lineRule="auto" w:line="240" w:before="30" w:after="30"/>
              <w:jc w:val="center"/>
              <w:rPr/>
            </w:pPr>
            <w:r>
              <w:rPr>
                <w:rFonts w:eastAsia="Times New Roman" w:cs="Times New Roman"/>
                <w:sz w:val="20"/>
                <w:szCs w:val="20"/>
                <w:lang w:val="en-US" w:bidi="fa-IR"/>
              </w:rPr>
              <w:t>0.17</w:t>
            </w:r>
          </w:p>
        </w:tc>
        <w:tc>
          <w:tcPr>
            <w:tcW w:w="1001" w:type="dxa"/>
            <w:tcBorders/>
            <w:vAlign w:val="center"/>
          </w:tcPr>
          <w:p>
            <w:pPr>
              <w:pStyle w:val="Normal"/>
              <w:spacing w:lineRule="auto" w:line="240" w:before="30" w:after="30"/>
              <w:jc w:val="center"/>
              <w:rPr/>
            </w:pPr>
            <w:r>
              <w:rPr>
                <w:rFonts w:eastAsia="Times New Roman" w:cs="Times New Roman"/>
                <w:sz w:val="20"/>
                <w:szCs w:val="20"/>
                <w:lang w:val="en-US" w:bidi="fa-IR"/>
              </w:rPr>
              <w:t>.001</w:t>
            </w:r>
          </w:p>
        </w:tc>
        <w:tc>
          <w:tcPr>
            <w:tcW w:w="1499" w:type="dxa"/>
            <w:tcBorders/>
            <w:vAlign w:val="center"/>
          </w:tcPr>
          <w:p>
            <w:pPr>
              <w:pStyle w:val="Normal"/>
              <w:spacing w:lineRule="auto" w:line="240" w:before="30" w:after="30"/>
              <w:jc w:val="center"/>
              <w:rPr/>
            </w:pPr>
            <w:r>
              <w:rPr>
                <w:rFonts w:eastAsia="Times New Roman" w:cs="Times New Roman"/>
                <w:sz w:val="20"/>
                <w:szCs w:val="20"/>
                <w:lang w:val="en-US" w:bidi="fa-IR"/>
              </w:rPr>
              <w:t>—</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20"/>
                <w:szCs w:val="20"/>
                <w:lang w:val="en-US" w:bidi="fa-IR"/>
              </w:rPr>
              <w:t>—</w:t>
            </w:r>
          </w:p>
        </w:tc>
        <w:tc>
          <w:tcPr>
            <w:tcW w:w="2701"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AIL → IDQ</w:t>
            </w:r>
          </w:p>
        </w:tc>
        <w:tc>
          <w:tcPr>
            <w:tcW w:w="8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0.05</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0.06</w:t>
            </w:r>
          </w:p>
        </w:tc>
        <w:tc>
          <w:tcPr>
            <w:tcW w:w="8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0.05</w:t>
            </w:r>
          </w:p>
        </w:tc>
        <w:tc>
          <w:tcPr>
            <w:tcW w:w="1001"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.367</w:t>
            </w:r>
          </w:p>
        </w:tc>
        <w:tc>
          <w:tcPr>
            <w:tcW w:w="14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GenAI use predicted higher perceived competence (β = 0.51, SE = 0.05, p &lt; .001; H1) and a larger calibration gap (β = 0.26, SE = 0.05, p &lt; .001; H2), more uncritical reliance (β = 0.45, SE = 0.05, p &lt; .001; H3) and more verification (β = 0.27, SE = 0.05, p &lt; .001; H4). Decision quality was lower when perceived competence (β = −0.22, SE = 0.06, p &lt; .001; H5), the calibration gap (β = −0.16, SE = 0.04, p = .002; H6) or uncritical reliance (β = −0.18, SE = 0.06, p = .002; H7) was higher, and higher with verification (β = 0.41, SE = 0.06, p &lt; .001; H8). The direct effect of use on quality was small (β = −0.02, SE = 0.07, p = .763), consistent with full mediation. Explained variance was R² = 0.30 (PCA), 0.19 (CG), 0.25 (UR), 0.28 (VER) and 0.34 (IDQ).</w:t>
      </w:r>
    </w:p>
    <w:p>
      <w:pPr>
        <w:pStyle w:val="Normal"/>
        <w:spacing w:lineRule="auto" w:line="276" w:before="0" w:after="80"/>
        <w:ind w:firstLine="425"/>
        <w:jc w:val="both"/>
        <w:rPr/>
      </w:pPr>
      <w:r>
        <w:rPr>
          <w:rFonts w:eastAsia="Times New Roman" w:cs="Times New Roman"/>
          <w:sz w:val="24"/>
          <w:szCs w:val="24"/>
          <w:lang w:val="en-US" w:bidi="fa-IR"/>
        </w:rPr>
        <w:t>Moderation. Financial knowledge weakened the effect of use on perceived competence (β = −0.16, SE = 0.05, p = .002; H10a) and on the calibration gap (β = −0.19, SE = 0.05, p &lt; .001; H10b). AI literacy weakened the effect of use on uncritical reliance (β = −0.16, SE = 0.06, p = .006; H11a) and strengthened its effect on verification (β = 0.27, SE = 0.06, p &lt; .001; H11b). Interaction effect sizes were small to moderate (f² = 0.025 for PCA, 0.040 for CG, 0.026 for UR, 0.099 for VER), typical of interaction effects in non-experimental data.</w:t>
      </w:r>
    </w:p>
    <w:p>
      <w:pPr>
        <w:pStyle w:val="Normal"/>
        <w:keepNext w:val="true"/>
        <w:spacing w:lineRule="auto" w:line="276" w:before="140" w:after="60"/>
        <w:jc w:val="left"/>
        <w:rPr/>
      </w:pPr>
      <w:r>
        <w:rPr>
          <w:rFonts w:eastAsia="Times New Roman" w:cs="Times New Roman"/>
          <w:b/>
          <w:bCs/>
          <w:sz w:val="24"/>
          <w:szCs w:val="24"/>
          <w:lang w:val="en-US" w:bidi="fa-IR"/>
        </w:rPr>
        <w:t>4.4 Indirect and conditional indirect effects</w:t>
      </w:r>
    </w:p>
    <w:p>
      <w:pPr>
        <w:pStyle w:val="Normal"/>
        <w:keepNext w:val="true"/>
        <w:spacing w:lineRule="auto" w:line="276" w:before="140" w:after="60"/>
        <w:jc w:val="left"/>
        <w:rPr/>
      </w:pPr>
      <w:r>
        <w:rPr>
          <w:rFonts w:eastAsia="Times New Roman" w:cs="Times New Roman"/>
          <w:b/>
          <w:bCs/>
          <w:sz w:val="22"/>
          <w:szCs w:val="22"/>
          <w:lang w:val="en-US" w:bidi="fa-IR"/>
        </w:rPr>
        <w:t>Table 4. Conditional indirect effects of GenAI use on decision quality (unstandardized; 95% bootstrap CI)</w:t>
      </w:r>
    </w:p>
    <w:tbl>
      <w:tblPr>
        <w:tblW w:w="9400" w:type="dxa"/>
        <w:jc w:val="center"/>
        <w:tblInd w:w="0" w:type="dxa"/>
        <w:tblLayout w:type="fixed"/>
        <w:tblCellMar>
          <w:top w:w="0" w:type="dxa"/>
          <w:left w:w="60" w:type="dxa"/>
          <w:bottom w:w="0" w:type="dxa"/>
          <w:right w:w="60" w:type="dxa"/>
        </w:tblCellMar>
      </w:tblPr>
      <w:tblGrid>
        <w:gridCol w:w="2500"/>
        <w:gridCol w:w="2299"/>
        <w:gridCol w:w="2300"/>
        <w:gridCol w:w="2300"/>
      </w:tblGrid>
      <w:tr>
        <w:trPr>
          <w:tblHeader w:val="true"/>
        </w:trPr>
        <w:tc>
          <w:tcPr>
            <w:tcW w:w="25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20"/>
                <w:szCs w:val="20"/>
                <w:lang w:val="en-US" w:bidi="fa-IR"/>
              </w:rPr>
              <w:t>Route</w:t>
            </w:r>
          </w:p>
        </w:tc>
        <w:tc>
          <w:tcPr>
            <w:tcW w:w="22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Moderator −1 SD</w:t>
            </w:r>
          </w:p>
        </w:tc>
        <w:tc>
          <w:tcPr>
            <w:tcW w:w="23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Mean</w:t>
            </w:r>
          </w:p>
        </w:tc>
        <w:tc>
          <w:tcPr>
            <w:tcW w:w="23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20"/>
                <w:szCs w:val="20"/>
                <w:lang w:val="en-US" w:bidi="fa-IR"/>
              </w:rPr>
              <w:t>+1 SD</w:t>
            </w:r>
          </w:p>
        </w:tc>
      </w:tr>
      <w:tr>
        <w:trPr>
          <w:cantSplit w:val="true"/>
        </w:trPr>
        <w:tc>
          <w:tcPr>
            <w:tcW w:w="2500" w:type="dxa"/>
            <w:tcBorders/>
            <w:vAlign w:val="center"/>
          </w:tcPr>
          <w:p>
            <w:pPr>
              <w:pStyle w:val="Normal"/>
              <w:spacing w:lineRule="auto" w:line="240" w:before="30" w:after="30"/>
              <w:jc w:val="left"/>
              <w:rPr/>
            </w:pPr>
            <w:r>
              <w:rPr>
                <w:rFonts w:eastAsia="Times New Roman" w:cs="Times New Roman"/>
                <w:sz w:val="20"/>
                <w:szCs w:val="20"/>
                <w:lang w:val="en-US" w:bidi="fa-IR"/>
              </w:rPr>
              <w:t>Via PCA</w:t>
            </w:r>
          </w:p>
        </w:tc>
        <w:tc>
          <w:tcPr>
            <w:tcW w:w="22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0.14 [−0.22, −0.06]</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0.10 [−0.17, −0.05]</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0.07 [−0.13, −0.03]</w:t>
            </w:r>
          </w:p>
        </w:tc>
      </w:tr>
      <w:tr>
        <w:trPr>
          <w:cantSplit w:val="true"/>
        </w:trPr>
        <w:tc>
          <w:tcPr>
            <w:tcW w:w="2500" w:type="dxa"/>
            <w:tcBorders/>
            <w:vAlign w:val="center"/>
          </w:tcPr>
          <w:p>
            <w:pPr>
              <w:pStyle w:val="Normal"/>
              <w:spacing w:lineRule="auto" w:line="240" w:before="30" w:after="30"/>
              <w:jc w:val="left"/>
              <w:rPr/>
            </w:pPr>
            <w:r>
              <w:rPr>
                <w:rFonts w:eastAsia="Times New Roman" w:cs="Times New Roman"/>
                <w:sz w:val="20"/>
                <w:szCs w:val="20"/>
                <w:lang w:val="en-US" w:bidi="fa-IR"/>
              </w:rPr>
              <w:t>Via CG</w:t>
            </w:r>
          </w:p>
        </w:tc>
        <w:tc>
          <w:tcPr>
            <w:tcW w:w="22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0.06 [−0.12, −0.02]</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0.04 [−0.07, −0.01]</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0.01 [−0.04, 0.01]</w:t>
            </w:r>
          </w:p>
        </w:tc>
      </w:tr>
      <w:tr>
        <w:trPr>
          <w:cantSplit w:val="true"/>
        </w:trPr>
        <w:tc>
          <w:tcPr>
            <w:tcW w:w="2500" w:type="dxa"/>
            <w:tcBorders/>
            <w:vAlign w:val="center"/>
          </w:tcPr>
          <w:p>
            <w:pPr>
              <w:pStyle w:val="Normal"/>
              <w:spacing w:lineRule="auto" w:line="240" w:before="30" w:after="30"/>
              <w:jc w:val="left"/>
              <w:rPr/>
            </w:pPr>
            <w:r>
              <w:rPr>
                <w:rFonts w:eastAsia="Times New Roman" w:cs="Times New Roman"/>
                <w:sz w:val="20"/>
                <w:szCs w:val="20"/>
                <w:lang w:val="en-US" w:bidi="fa-IR"/>
              </w:rPr>
              <w:t>Via UR</w:t>
            </w:r>
          </w:p>
        </w:tc>
        <w:tc>
          <w:tcPr>
            <w:tcW w:w="2299"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0.10 [−0.18, −0.03]</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0.07 [−0.13, −0.02]</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0.05 [−0.10, −0.01]</w:t>
            </w:r>
          </w:p>
        </w:tc>
      </w:tr>
      <w:tr>
        <w:trPr>
          <w:cantSplit w:val="true"/>
        </w:trPr>
        <w:tc>
          <w:tcPr>
            <w:tcW w:w="2500" w:type="dxa"/>
            <w:tcBorders/>
            <w:vAlign w:val="center"/>
          </w:tcPr>
          <w:p>
            <w:pPr>
              <w:pStyle w:val="Normal"/>
              <w:spacing w:lineRule="auto" w:line="240" w:before="30" w:after="30"/>
              <w:jc w:val="left"/>
              <w:rPr/>
            </w:pPr>
            <w:r>
              <w:rPr>
                <w:rFonts w:eastAsia="Times New Roman" w:cs="Times New Roman"/>
                <w:sz w:val="20"/>
                <w:szCs w:val="20"/>
                <w:lang w:val="en-US" w:bidi="fa-IR"/>
              </w:rPr>
              <w:t>Via VER</w:t>
            </w:r>
          </w:p>
        </w:tc>
        <w:tc>
          <w:tcPr>
            <w:tcW w:w="2299" w:type="dxa"/>
            <w:tcBorders/>
            <w:vAlign w:val="center"/>
          </w:tcPr>
          <w:p>
            <w:pPr>
              <w:pStyle w:val="Normal"/>
              <w:spacing w:lineRule="auto" w:line="240" w:before="30" w:after="30"/>
              <w:jc w:val="center"/>
              <w:rPr/>
            </w:pPr>
            <w:r>
              <w:rPr>
                <w:rFonts w:eastAsia="Times New Roman" w:cs="Times New Roman"/>
                <w:sz w:val="20"/>
                <w:szCs w:val="20"/>
                <w:lang w:val="en-US" w:bidi="fa-IR"/>
              </w:rPr>
              <w:t>0.00 [−0.06, 0.06]</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0.10 [0.05, 0.16]</w:t>
            </w:r>
          </w:p>
        </w:tc>
        <w:tc>
          <w:tcPr>
            <w:tcW w:w="2300" w:type="dxa"/>
            <w:tcBorders/>
            <w:vAlign w:val="center"/>
          </w:tcPr>
          <w:p>
            <w:pPr>
              <w:pStyle w:val="Normal"/>
              <w:spacing w:lineRule="auto" w:line="240" w:before="30" w:after="30"/>
              <w:jc w:val="center"/>
              <w:rPr/>
            </w:pPr>
            <w:r>
              <w:rPr>
                <w:rFonts w:eastAsia="Times New Roman" w:cs="Times New Roman"/>
                <w:sz w:val="20"/>
                <w:szCs w:val="20"/>
                <w:lang w:val="en-US" w:bidi="fa-IR"/>
              </w:rPr>
              <w:t>0.20 [0.11, 0.31]</w:t>
            </w:r>
          </w:p>
        </w:tc>
      </w:tr>
      <w:tr>
        <w:trPr>
          <w:cantSplit w:val="true"/>
        </w:trPr>
        <w:tc>
          <w:tcPr>
            <w:tcW w:w="2500" w:type="dxa"/>
            <w:tcBorders>
              <w:bottom w:val="single" w:sz="8" w:space="0" w:color="000000"/>
            </w:tcBorders>
            <w:vAlign w:val="center"/>
          </w:tcPr>
          <w:p>
            <w:pPr>
              <w:pStyle w:val="Normal"/>
              <w:spacing w:lineRule="auto" w:line="240" w:before="30" w:after="30"/>
              <w:jc w:val="left"/>
              <w:rPr/>
            </w:pPr>
            <w:r>
              <w:rPr>
                <w:rFonts w:eastAsia="Times New Roman" w:cs="Times New Roman"/>
                <w:sz w:val="20"/>
                <w:szCs w:val="20"/>
                <w:lang w:val="en-US" w:bidi="fa-IR"/>
              </w:rPr>
              <w:t>Illusion route (PCA + CG)</w:t>
            </w:r>
          </w:p>
        </w:tc>
        <w:tc>
          <w:tcPr>
            <w:tcW w:w="2299"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0.20 [−0.30, −0.12]</w:t>
            </w:r>
          </w:p>
        </w:tc>
        <w:tc>
          <w:tcPr>
            <w:tcW w:w="23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0.14 [−0.22, −0.08]</w:t>
            </w:r>
          </w:p>
        </w:tc>
        <w:tc>
          <w:tcPr>
            <w:tcW w:w="2300" w:type="dxa"/>
            <w:tcBorders>
              <w:bottom w:val="single" w:sz="8" w:space="0" w:color="000000"/>
            </w:tcBorders>
            <w:vAlign w:val="center"/>
          </w:tcPr>
          <w:p>
            <w:pPr>
              <w:pStyle w:val="Normal"/>
              <w:spacing w:lineRule="auto" w:line="240" w:before="30" w:after="30"/>
              <w:jc w:val="center"/>
              <w:rPr/>
            </w:pPr>
            <w:r>
              <w:rPr>
                <w:rFonts w:eastAsia="Times New Roman" w:cs="Times New Roman"/>
                <w:sz w:val="20"/>
                <w:szCs w:val="20"/>
                <w:lang w:val="en-US" w:bidi="fa-IR"/>
              </w:rPr>
              <w:t>−</w:t>
            </w:r>
            <w:r>
              <w:rPr>
                <w:rFonts w:eastAsia="Times New Roman" w:cs="Times New Roman"/>
                <w:sz w:val="20"/>
                <w:szCs w:val="20"/>
                <w:lang w:val="en-US" w:bidi="fa-IR"/>
              </w:rPr>
              <w:t>0.08 [−0.14, −0.03]</w:t>
            </w:r>
          </w:p>
        </w:tc>
      </w:tr>
    </w:tbl>
    <w:p>
      <w:pPr>
        <w:pStyle w:val="Normal"/>
        <w:spacing w:lineRule="auto" w:line="276" w:before="40" w:after="120"/>
        <w:jc w:val="both"/>
        <w:rPr/>
      </w:pPr>
      <w:r>
        <w:rPr>
          <w:rFonts w:eastAsia="Times New Roman" w:cs="Times New Roman"/>
          <w:sz w:val="20"/>
          <w:szCs w:val="20"/>
          <w:lang w:val="en-US" w:bidi="fa-IR"/>
        </w:rPr>
        <w:t>For the PCA and CG routes the moderator is financial knowledge; for the UR and VER routes it is AI literacy. Intervals are percentile bootstrap, B = 2000.</w:t>
      </w:r>
    </w:p>
    <w:p>
      <w:pPr>
        <w:pStyle w:val="Normal"/>
        <w:spacing w:lineRule="auto" w:line="276" w:before="0" w:after="80"/>
        <w:ind w:firstLine="425"/>
        <w:jc w:val="both"/>
        <w:rPr/>
      </w:pPr>
      <w:r>
        <w:rPr>
          <w:rFonts w:eastAsia="Times New Roman" w:cs="Times New Roman"/>
          <w:sz w:val="24"/>
          <w:szCs w:val="24"/>
          <w:lang w:val="en-US" w:bidi="fa-IR"/>
        </w:rPr>
        <w:t>At mean moderator levels the indirect effects were −0.10 [−0.17, −0.05] via perceived competence, −0.04 [−0.07, −0.01] via the calibration gap, −0.07 [−0.13, −0.02] via uncritical reliance, and 0.10 [0.05, 0.16] via verification, supporting H9. The negative illusion route was larger at low than at high knowledge (−1 SD: −0.20 [−0.30, −0.12]; +1 SD: −0.08 [−0.14, −0.03]), and the verification route was larger at high AI literacy (0.20 [0.11, 0.31]) than at low (0.00 [−0.06, 0.06]). Indices of moderated mediation were 0.03 [0.01, 0.06] (PCA), 0.03 [0.01, 0.06] (CG), 0.03 [0.00, 0.06] (UR) and 0.10 [0.04, 0.17] (VER). The total indirect effect was −0.11 [−0.22, −0.00], so the opposing routes largely offset one another; the total effect (direct + indirect) was −0.13 [−0.23, −0.03].</w:t>
      </w:r>
    </w:p>
    <w:p>
      <w:pPr>
        <w:pStyle w:val="Normal"/>
        <w:keepNext w:val="true"/>
        <w:spacing w:lineRule="auto" w:line="276" w:before="140" w:after="60"/>
        <w:jc w:val="left"/>
        <w:rPr/>
      </w:pPr>
      <w:r>
        <w:rPr>
          <w:rFonts w:eastAsia="Times New Roman" w:cs="Times New Roman"/>
          <w:b/>
          <w:bCs/>
          <w:sz w:val="24"/>
          <w:szCs w:val="24"/>
          <w:lang w:val="en-US" w:bidi="fa-IR"/>
        </w:rPr>
        <w:t>4.5 Competing models</w:t>
      </w:r>
    </w:p>
    <w:p>
      <w:pPr>
        <w:pStyle w:val="Normal"/>
        <w:keepNext w:val="true"/>
        <w:spacing w:lineRule="auto" w:line="276" w:before="140" w:after="60"/>
        <w:jc w:val="left"/>
        <w:rPr/>
      </w:pPr>
      <w:r>
        <w:rPr>
          <w:rFonts w:eastAsia="Times New Roman" w:cs="Times New Roman"/>
          <w:b/>
          <w:bCs/>
          <w:sz w:val="22"/>
          <w:szCs w:val="22"/>
          <w:lang w:val="en-US" w:bidi="fa-IR"/>
        </w:rPr>
        <w:t>Table 5. Competing structural models</w:t>
      </w:r>
    </w:p>
    <w:tbl>
      <w:tblPr>
        <w:tblW w:w="8500" w:type="dxa"/>
        <w:jc w:val="center"/>
        <w:tblInd w:w="0" w:type="dxa"/>
        <w:tblLayout w:type="fixed"/>
        <w:tblCellMar>
          <w:top w:w="0" w:type="dxa"/>
          <w:left w:w="60" w:type="dxa"/>
          <w:bottom w:w="0" w:type="dxa"/>
          <w:right w:w="60" w:type="dxa"/>
        </w:tblCellMar>
      </w:tblPr>
      <w:tblGrid>
        <w:gridCol w:w="600"/>
        <w:gridCol w:w="3500"/>
        <w:gridCol w:w="699"/>
        <w:gridCol w:w="601"/>
        <w:gridCol w:w="699"/>
        <w:gridCol w:w="801"/>
        <w:gridCol w:w="800"/>
        <w:gridCol w:w="799"/>
      </w:tblGrid>
      <w:tr>
        <w:trPr>
          <w:tblHeader w:val="true"/>
        </w:trPr>
        <w:tc>
          <w:tcPr>
            <w:tcW w:w="6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Model</w:t>
            </w:r>
          </w:p>
        </w:tc>
        <w:tc>
          <w:tcPr>
            <w:tcW w:w="35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Specification</w:t>
            </w:r>
          </w:p>
        </w:tc>
        <w:tc>
          <w:tcPr>
            <w:tcW w:w="6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χ²</w:t>
            </w:r>
          </w:p>
        </w:tc>
        <w:tc>
          <w:tcPr>
            <w:tcW w:w="6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df</w:t>
            </w:r>
          </w:p>
        </w:tc>
        <w:tc>
          <w:tcPr>
            <w:tcW w:w="6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CFI</w:t>
            </w:r>
          </w:p>
        </w:tc>
        <w:tc>
          <w:tcPr>
            <w:tcW w:w="8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RMSEA</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AIC</w:t>
            </w:r>
          </w:p>
        </w:tc>
        <w:tc>
          <w:tcPr>
            <w:tcW w:w="7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BIC</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M1</w:t>
            </w:r>
          </w:p>
        </w:tc>
        <w:tc>
          <w:tcPr>
            <w:tcW w:w="3500" w:type="dxa"/>
            <w:tcBorders/>
            <w:vAlign w:val="center"/>
          </w:tcPr>
          <w:p>
            <w:pPr>
              <w:pStyle w:val="Normal"/>
              <w:spacing w:lineRule="auto" w:line="240" w:before="30" w:after="30"/>
              <w:jc w:val="center"/>
              <w:rPr/>
            </w:pPr>
            <w:r>
              <w:rPr>
                <w:rFonts w:eastAsia="Times New Roman" w:cs="Times New Roman"/>
                <w:sz w:val="18"/>
                <w:szCs w:val="18"/>
                <w:lang w:val="en-US" w:bidi="fa-IR"/>
              </w:rPr>
              <w:t>Full model (illusion + reliance paths, two moderators)</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832</w:t>
            </w:r>
          </w:p>
        </w:tc>
        <w:tc>
          <w:tcPr>
            <w:tcW w:w="601" w:type="dxa"/>
            <w:tcBorders/>
            <w:vAlign w:val="center"/>
          </w:tcPr>
          <w:p>
            <w:pPr>
              <w:pStyle w:val="Normal"/>
              <w:spacing w:lineRule="auto" w:line="240" w:before="30" w:after="30"/>
              <w:jc w:val="center"/>
              <w:rPr/>
            </w:pPr>
            <w:r>
              <w:rPr>
                <w:rFonts w:eastAsia="Times New Roman" w:cs="Times New Roman"/>
                <w:sz w:val="18"/>
                <w:szCs w:val="18"/>
                <w:lang w:val="en-US" w:bidi="fa-IR"/>
              </w:rPr>
              <w:t>716</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0.981</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0.020</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204</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626</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M2</w:t>
            </w:r>
          </w:p>
        </w:tc>
        <w:tc>
          <w:tcPr>
            <w:tcW w:w="3500" w:type="dxa"/>
            <w:tcBorders/>
            <w:vAlign w:val="center"/>
          </w:tcPr>
          <w:p>
            <w:pPr>
              <w:pStyle w:val="Normal"/>
              <w:spacing w:lineRule="auto" w:line="240" w:before="30" w:after="30"/>
              <w:jc w:val="center"/>
              <w:rPr/>
            </w:pPr>
            <w:r>
              <w:rPr>
                <w:rFonts w:eastAsia="Times New Roman" w:cs="Times New Roman"/>
                <w:sz w:val="18"/>
                <w:szCs w:val="18"/>
                <w:lang w:val="en-US" w:bidi="fa-IR"/>
              </w:rPr>
              <w:t>No moderation (interaction paths removed)</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885</w:t>
            </w:r>
          </w:p>
        </w:tc>
        <w:tc>
          <w:tcPr>
            <w:tcW w:w="601" w:type="dxa"/>
            <w:tcBorders/>
            <w:vAlign w:val="center"/>
          </w:tcPr>
          <w:p>
            <w:pPr>
              <w:pStyle w:val="Normal"/>
              <w:spacing w:lineRule="auto" w:line="240" w:before="30" w:after="30"/>
              <w:jc w:val="center"/>
              <w:rPr/>
            </w:pPr>
            <w:r>
              <w:rPr>
                <w:rFonts w:eastAsia="Times New Roman" w:cs="Times New Roman"/>
                <w:sz w:val="18"/>
                <w:szCs w:val="18"/>
                <w:lang w:val="en-US" w:bidi="fa-IR"/>
              </w:rPr>
              <w:t>720</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0.973</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0.023</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196</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602</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M3</w:t>
            </w:r>
          </w:p>
        </w:tc>
        <w:tc>
          <w:tcPr>
            <w:tcW w:w="3500" w:type="dxa"/>
            <w:tcBorders/>
            <w:vAlign w:val="center"/>
          </w:tcPr>
          <w:p>
            <w:pPr>
              <w:pStyle w:val="Normal"/>
              <w:spacing w:lineRule="auto" w:line="240" w:before="30" w:after="30"/>
              <w:jc w:val="center"/>
              <w:rPr/>
            </w:pPr>
            <w:r>
              <w:rPr>
                <w:rFonts w:eastAsia="Times New Roman" w:cs="Times New Roman"/>
                <w:sz w:val="18"/>
                <w:szCs w:val="18"/>
                <w:lang w:val="en-US" w:bidi="fa-IR"/>
              </w:rPr>
              <w:t>Illusion paths only (UR, VER do not predict IDQ)</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893</w:t>
            </w:r>
          </w:p>
        </w:tc>
        <w:tc>
          <w:tcPr>
            <w:tcW w:w="601" w:type="dxa"/>
            <w:tcBorders/>
            <w:vAlign w:val="center"/>
          </w:tcPr>
          <w:p>
            <w:pPr>
              <w:pStyle w:val="Normal"/>
              <w:spacing w:lineRule="auto" w:line="240" w:before="30" w:after="30"/>
              <w:jc w:val="center"/>
              <w:rPr/>
            </w:pPr>
            <w:r>
              <w:rPr>
                <w:rFonts w:eastAsia="Times New Roman" w:cs="Times New Roman"/>
                <w:sz w:val="18"/>
                <w:szCs w:val="18"/>
                <w:lang w:val="en-US" w:bidi="fa-IR"/>
              </w:rPr>
              <w:t>718</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0.971</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0.024</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200</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614</w:t>
            </w:r>
          </w:p>
        </w:tc>
      </w:tr>
      <w:tr>
        <w:trPr>
          <w:cantSplit w:val="true"/>
        </w:trPr>
        <w:tc>
          <w:tcPr>
            <w:tcW w:w="600" w:type="dxa"/>
            <w:tcBorders/>
            <w:vAlign w:val="center"/>
          </w:tcPr>
          <w:p>
            <w:pPr>
              <w:pStyle w:val="Normal"/>
              <w:spacing w:lineRule="auto" w:line="240" w:before="30" w:after="30"/>
              <w:jc w:val="left"/>
              <w:rPr/>
            </w:pPr>
            <w:r>
              <w:rPr>
                <w:rFonts w:eastAsia="Times New Roman" w:cs="Times New Roman"/>
                <w:sz w:val="18"/>
                <w:szCs w:val="18"/>
                <w:lang w:val="en-US" w:bidi="fa-IR"/>
              </w:rPr>
              <w:t>M4</w:t>
            </w:r>
          </w:p>
        </w:tc>
        <w:tc>
          <w:tcPr>
            <w:tcW w:w="3500" w:type="dxa"/>
            <w:tcBorders/>
            <w:vAlign w:val="center"/>
          </w:tcPr>
          <w:p>
            <w:pPr>
              <w:pStyle w:val="Normal"/>
              <w:spacing w:lineRule="auto" w:line="240" w:before="30" w:after="30"/>
              <w:jc w:val="center"/>
              <w:rPr/>
            </w:pPr>
            <w:r>
              <w:rPr>
                <w:rFonts w:eastAsia="Times New Roman" w:cs="Times New Roman"/>
                <w:sz w:val="18"/>
                <w:szCs w:val="18"/>
                <w:lang w:val="en-US" w:bidi="fa-IR"/>
              </w:rPr>
              <w:t>Reliance/verification paths only (PCA, CG do not predict IDQ)</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855</w:t>
            </w:r>
          </w:p>
        </w:tc>
        <w:tc>
          <w:tcPr>
            <w:tcW w:w="601" w:type="dxa"/>
            <w:tcBorders/>
            <w:vAlign w:val="center"/>
          </w:tcPr>
          <w:p>
            <w:pPr>
              <w:pStyle w:val="Normal"/>
              <w:spacing w:lineRule="auto" w:line="240" w:before="30" w:after="30"/>
              <w:jc w:val="center"/>
              <w:rPr/>
            </w:pPr>
            <w:r>
              <w:rPr>
                <w:rFonts w:eastAsia="Times New Roman" w:cs="Times New Roman"/>
                <w:sz w:val="18"/>
                <w:szCs w:val="18"/>
                <w:lang w:val="en-US" w:bidi="fa-IR"/>
              </w:rPr>
              <w:t>718</w:t>
            </w:r>
          </w:p>
        </w:tc>
        <w:tc>
          <w:tcPr>
            <w:tcW w:w="699" w:type="dxa"/>
            <w:tcBorders/>
            <w:vAlign w:val="center"/>
          </w:tcPr>
          <w:p>
            <w:pPr>
              <w:pStyle w:val="Normal"/>
              <w:spacing w:lineRule="auto" w:line="240" w:before="30" w:after="30"/>
              <w:jc w:val="center"/>
              <w:rPr/>
            </w:pPr>
            <w:r>
              <w:rPr>
                <w:rFonts w:eastAsia="Times New Roman" w:cs="Times New Roman"/>
                <w:sz w:val="18"/>
                <w:szCs w:val="18"/>
                <w:lang w:val="en-US" w:bidi="fa-IR"/>
              </w:rPr>
              <w:t>0.978</w:t>
            </w:r>
          </w:p>
        </w:tc>
        <w:tc>
          <w:tcPr>
            <w:tcW w:w="801" w:type="dxa"/>
            <w:tcBorders/>
            <w:vAlign w:val="center"/>
          </w:tcPr>
          <w:p>
            <w:pPr>
              <w:pStyle w:val="Normal"/>
              <w:spacing w:lineRule="auto" w:line="240" w:before="30" w:after="30"/>
              <w:jc w:val="center"/>
              <w:rPr/>
            </w:pPr>
            <w:r>
              <w:rPr>
                <w:rFonts w:eastAsia="Times New Roman" w:cs="Times New Roman"/>
                <w:sz w:val="18"/>
                <w:szCs w:val="18"/>
                <w:lang w:val="en-US" w:bidi="fa-IR"/>
              </w:rPr>
              <w:t>0.021</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200</w:t>
            </w:r>
          </w:p>
        </w:tc>
        <w:tc>
          <w:tcPr>
            <w:tcW w:w="799" w:type="dxa"/>
            <w:tcBorders/>
            <w:vAlign w:val="center"/>
          </w:tcPr>
          <w:p>
            <w:pPr>
              <w:pStyle w:val="Normal"/>
              <w:spacing w:lineRule="auto" w:line="240" w:before="30" w:after="30"/>
              <w:jc w:val="center"/>
              <w:rPr/>
            </w:pPr>
            <w:r>
              <w:rPr>
                <w:rFonts w:eastAsia="Times New Roman" w:cs="Times New Roman"/>
                <w:sz w:val="18"/>
                <w:szCs w:val="18"/>
                <w:lang w:val="en-US" w:bidi="fa-IR"/>
              </w:rPr>
              <w:t>614</w:t>
            </w:r>
          </w:p>
        </w:tc>
      </w:tr>
      <w:tr>
        <w:trPr>
          <w:cantSplit w:val="true"/>
        </w:trPr>
        <w:tc>
          <w:tcPr>
            <w:tcW w:w="6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M5</w:t>
            </w:r>
          </w:p>
        </w:tc>
        <w:tc>
          <w:tcPr>
            <w:tcW w:w="35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Direct effect only (no mediators)</w:t>
            </w:r>
          </w:p>
        </w:tc>
        <w:tc>
          <w:tcPr>
            <w:tcW w:w="6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914</w:t>
            </w:r>
          </w:p>
        </w:tc>
        <w:tc>
          <w:tcPr>
            <w:tcW w:w="6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720</w:t>
            </w:r>
          </w:p>
        </w:tc>
        <w:tc>
          <w:tcPr>
            <w:tcW w:w="6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0.968</w:t>
            </w:r>
          </w:p>
        </w:tc>
        <w:tc>
          <w:tcPr>
            <w:tcW w:w="8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0.025</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196</w:t>
            </w:r>
          </w:p>
        </w:tc>
        <w:tc>
          <w:tcPr>
            <w:tcW w:w="7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602</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The hypothesised model M1 had the best fit on the absolute and incremental indices (CFI = 0.981, RMSEA = 0.020). Chi-square difference tests favoured M1 over M2 (no moderation; Δχ²(4) = 53.0), M3 (Δχ²(2) = 60.6), M4 (Δχ²(2) = 23.0) and M5 (Δχ²(4) = 81.9), all p &lt; .001. The BIC values reported by semopy, however, are lower for the more parsimonious structures (M5 lowest), because the information-criterion penalty is heavy with 104 parameters and the product-indicator blocks; we therefore interpret BIC as favouring parsimony rather than as evidence against M1, and rely on the nested χ² tests and fit indices for model selection. AIC/BIC values are comparable only within this table.</w:t>
      </w:r>
    </w:p>
    <w:p>
      <w:pPr>
        <w:pStyle w:val="Normal"/>
        <w:keepNext w:val="true"/>
        <w:spacing w:lineRule="auto" w:line="276" w:before="140" w:after="60"/>
        <w:jc w:val="left"/>
        <w:rPr/>
      </w:pPr>
      <w:r>
        <w:rPr>
          <w:rFonts w:eastAsia="Times New Roman" w:cs="Times New Roman"/>
          <w:b/>
          <w:bCs/>
          <w:sz w:val="24"/>
          <w:szCs w:val="24"/>
          <w:lang w:val="en-US" w:bidi="fa-IR"/>
        </w:rPr>
        <w:t>4.6 Robustness checks</w:t>
      </w:r>
    </w:p>
    <w:p>
      <w:pPr>
        <w:pStyle w:val="Normal"/>
        <w:keepNext w:val="true"/>
        <w:spacing w:lineRule="auto" w:line="276" w:before="140" w:after="60"/>
        <w:jc w:val="left"/>
        <w:rPr/>
      </w:pPr>
      <w:r>
        <w:rPr>
          <w:rFonts w:eastAsia="Times New Roman" w:cs="Times New Roman"/>
          <w:b/>
          <w:bCs/>
          <w:sz w:val="22"/>
          <w:szCs w:val="22"/>
          <w:lang w:val="en-US" w:bidi="fa-IR"/>
        </w:rPr>
        <w:t>Table 6. Robustness of key standardized paths</w:t>
      </w:r>
    </w:p>
    <w:tbl>
      <w:tblPr>
        <w:tblW w:w="9000" w:type="dxa"/>
        <w:jc w:val="center"/>
        <w:tblInd w:w="0" w:type="dxa"/>
        <w:tblLayout w:type="fixed"/>
        <w:tblCellMar>
          <w:top w:w="0" w:type="dxa"/>
          <w:left w:w="60" w:type="dxa"/>
          <w:bottom w:w="0" w:type="dxa"/>
          <w:right w:w="60" w:type="dxa"/>
        </w:tblCellMar>
      </w:tblPr>
      <w:tblGrid>
        <w:gridCol w:w="1700"/>
        <w:gridCol w:w="1000"/>
        <w:gridCol w:w="1400"/>
        <w:gridCol w:w="1300"/>
        <w:gridCol w:w="1199"/>
        <w:gridCol w:w="1101"/>
        <w:gridCol w:w="1299"/>
      </w:tblGrid>
      <w:tr>
        <w:trPr>
          <w:tblHeader w:val="true"/>
        </w:trPr>
        <w:tc>
          <w:tcPr>
            <w:tcW w:w="1700"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Path</w:t>
            </w:r>
          </w:p>
        </w:tc>
        <w:tc>
          <w:tcPr>
            <w:tcW w:w="10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Baseline</w:t>
            </w:r>
          </w:p>
        </w:tc>
        <w:tc>
          <w:tcPr>
            <w:tcW w:w="14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DWLS (no interactions)</w:t>
            </w:r>
          </w:p>
        </w:tc>
        <w:tc>
          <w:tcPr>
            <w:tcW w:w="13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Residual-centred</w:t>
            </w:r>
          </w:p>
        </w:tc>
        <w:tc>
          <w:tcPr>
            <w:tcW w:w="11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Respecified</w:t>
            </w:r>
          </w:p>
        </w:tc>
        <w:tc>
          <w:tcPr>
            <w:tcW w:w="11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Trimmed 5%</w:t>
            </w:r>
          </w:p>
        </w:tc>
        <w:tc>
          <w:tcPr>
            <w:tcW w:w="1299"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Regular users</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GUI → PCA</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0.51</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0.58</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0.54</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0.51</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0.52</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0.40</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GUI → CG</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0.26</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0.30</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0.29</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0.26</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0.26</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0.25</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GUI → UR</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0.45</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0.49</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0.48</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0.45</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0.45</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0.35</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GUI → VER</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0.27</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0.19</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0.23</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0.27</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0.24</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0.24</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PCA → IDQ</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0.24</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0.23</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0.22</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0.24</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0.20</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CG → IDQ</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0.16</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0.14</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0.16</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0.15</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0.13</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0.11</w:t>
            </w:r>
          </w:p>
        </w:tc>
      </w:tr>
      <w:tr>
        <w:trPr>
          <w:cantSplit w:val="true"/>
        </w:trPr>
        <w:tc>
          <w:tcPr>
            <w:tcW w:w="1700" w:type="dxa"/>
            <w:tcBorders/>
            <w:vAlign w:val="center"/>
          </w:tcPr>
          <w:p>
            <w:pPr>
              <w:pStyle w:val="Normal"/>
              <w:spacing w:lineRule="auto" w:line="240" w:before="30" w:after="30"/>
              <w:jc w:val="left"/>
              <w:rPr/>
            </w:pPr>
            <w:r>
              <w:rPr>
                <w:rFonts w:eastAsia="Times New Roman" w:cs="Times New Roman"/>
                <w:sz w:val="18"/>
                <w:szCs w:val="18"/>
                <w:lang w:val="en-US" w:bidi="fa-IR"/>
              </w:rPr>
              <w:t>UR → IDQ</w:t>
            </w:r>
          </w:p>
        </w:tc>
        <w:tc>
          <w:tcPr>
            <w:tcW w:w="10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0.18</w:t>
            </w:r>
          </w:p>
        </w:tc>
        <w:tc>
          <w:tcPr>
            <w:tcW w:w="14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0.21</w:t>
            </w:r>
          </w:p>
        </w:tc>
        <w:tc>
          <w:tcPr>
            <w:tcW w:w="1300"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0.18</w:t>
            </w:r>
          </w:p>
        </w:tc>
        <w:tc>
          <w:tcPr>
            <w:tcW w:w="11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0.18</w:t>
            </w:r>
          </w:p>
        </w:tc>
        <w:tc>
          <w:tcPr>
            <w:tcW w:w="1101"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0.16</w:t>
            </w:r>
          </w:p>
        </w:tc>
        <w:tc>
          <w:tcPr>
            <w:tcW w:w="1299" w:type="dxa"/>
            <w:tcBorders/>
            <w:vAlign w:val="center"/>
          </w:tcPr>
          <w:p>
            <w:pPr>
              <w:pStyle w:val="Normal"/>
              <w:spacing w:lineRule="auto" w:line="240" w:before="30" w:after="30"/>
              <w:jc w:val="center"/>
              <w:rPr/>
            </w:pPr>
            <w:r>
              <w:rPr>
                <w:rFonts w:eastAsia="Times New Roman" w:cs="Times New Roman"/>
                <w:sz w:val="18"/>
                <w:szCs w:val="18"/>
                <w:lang w:val="en-US" w:bidi="fa-IR"/>
              </w:rPr>
              <w:t>−</w:t>
            </w:r>
            <w:r>
              <w:rPr>
                <w:rFonts w:eastAsia="Times New Roman" w:cs="Times New Roman"/>
                <w:sz w:val="18"/>
                <w:szCs w:val="18"/>
                <w:lang w:val="en-US" w:bidi="fa-IR"/>
              </w:rPr>
              <w:t>0.11</w:t>
            </w:r>
          </w:p>
        </w:tc>
      </w:tr>
      <w:tr>
        <w:trPr>
          <w:cantSplit w:val="true"/>
        </w:trPr>
        <w:tc>
          <w:tcPr>
            <w:tcW w:w="1700"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VER → IDQ</w:t>
            </w:r>
          </w:p>
        </w:tc>
        <w:tc>
          <w:tcPr>
            <w:tcW w:w="10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0.41</w:t>
            </w:r>
          </w:p>
        </w:tc>
        <w:tc>
          <w:tcPr>
            <w:tcW w:w="14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0.40</w:t>
            </w:r>
          </w:p>
        </w:tc>
        <w:tc>
          <w:tcPr>
            <w:tcW w:w="13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0.41</w:t>
            </w:r>
          </w:p>
        </w:tc>
        <w:tc>
          <w:tcPr>
            <w:tcW w:w="11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0.42</w:t>
            </w:r>
          </w:p>
        </w:tc>
        <w:tc>
          <w:tcPr>
            <w:tcW w:w="11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0.43</w:t>
            </w:r>
          </w:p>
        </w:tc>
        <w:tc>
          <w:tcPr>
            <w:tcW w:w="1299"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0.34</w:t>
            </w:r>
          </w:p>
        </w:tc>
      </w:tr>
    </w:tbl>
    <w:p>
      <w:pPr>
        <w:pStyle w:val="Normal"/>
        <w:spacing w:lineRule="auto" w:line="276" w:before="0" w:after="100"/>
        <w:ind w:firstLine="425"/>
        <w:jc w:val="both"/>
        <w:rPr/>
      </w:pPr>
      <w:r>
        <w:rPr/>
      </w:r>
    </w:p>
    <w:p>
      <w:pPr>
        <w:pStyle w:val="Normal"/>
        <w:spacing w:lineRule="auto" w:line="276" w:before="0" w:after="80"/>
        <w:ind w:firstLine="425"/>
        <w:jc w:val="both"/>
        <w:rPr/>
      </w:pPr>
      <w:r>
        <w:rPr>
          <w:rFonts w:eastAsia="Times New Roman" w:cs="Times New Roman"/>
          <w:sz w:val="24"/>
          <w:szCs w:val="24"/>
          <w:lang w:val="en-US" w:bidi="fa-IR"/>
        </w:rPr>
        <w:t>Estimates were stable in sign and size across estimators (DWLS for ordinal indicators, ignoring interaction terms), a residual-centred product-indicator specification (CFI = 0.993), a specification adding the four largest within-factor residual correlations (UR3–UR4, IDQ4–IDQ5, AIL1–AIL2, VER3–VER4; CFI = 0.988), removal of the 22 most extreme multivariate cases, and restriction to the 274 regular users (GUI1 ≥ 3).</w:t>
      </w:r>
    </w:p>
    <w:p>
      <w:pPr>
        <w:pStyle w:val="Normal"/>
        <w:keepNext w:val="true"/>
        <w:spacing w:lineRule="auto" w:line="276" w:before="140" w:after="60"/>
        <w:jc w:val="left"/>
        <w:rPr/>
      </w:pPr>
      <w:r>
        <w:rPr>
          <w:rFonts w:eastAsia="Times New Roman" w:cs="Times New Roman"/>
          <w:b/>
          <w:bCs/>
          <w:sz w:val="24"/>
          <w:szCs w:val="24"/>
          <w:lang w:val="en-US" w:bidi="fa-IR"/>
        </w:rPr>
        <w:t>4.7 Behavioural criterion validity</w:t>
      </w:r>
    </w:p>
    <w:p>
      <w:pPr>
        <w:pStyle w:val="Normal"/>
        <w:spacing w:lineRule="auto" w:line="276" w:before="0" w:after="80"/>
        <w:ind w:firstLine="425"/>
        <w:jc w:val="both"/>
        <w:rPr/>
      </w:pPr>
      <w:r>
        <w:rPr>
          <w:rFonts w:eastAsia="Times New Roman" w:cs="Times New Roman"/>
          <w:sz w:val="24"/>
          <w:szCs w:val="24"/>
          <w:lang w:val="en-US" w:bidi="fa-IR"/>
        </w:rPr>
        <w:t>As an external check that does not share response format with the scales, respondents judged four AI statements about valuation and accounting, two of them wrong (Appendix A, V1–V4). The number of wrong statements accepted was predicted positively by uncritical reliance (β = 0.38, SE = 0.05, p &lt; .001) and negatively by verification (β = −0.37, SE = 0.05, p &lt; .001), controlling for use (β = 0.04, SE = 0.05, p = .527). This shows that the self-reported reliance and verification factors map onto observable acceptance of incorrect advice.</w:t>
      </w:r>
    </w:p>
    <w:p>
      <w:pPr>
        <w:pStyle w:val="Normal"/>
        <w:keepNext w:val="true"/>
        <w:spacing w:lineRule="auto" w:line="276" w:before="200" w:after="80"/>
        <w:jc w:val="left"/>
        <w:rPr/>
      </w:pPr>
      <w:r>
        <w:rPr>
          <w:rFonts w:eastAsia="Times New Roman" w:cs="Times New Roman"/>
          <w:b/>
          <w:bCs/>
          <w:sz w:val="26"/>
          <w:szCs w:val="26"/>
          <w:lang w:val="en-US" w:bidi="fa-IR"/>
        </w:rPr>
        <w:t>5. Discussion</w:t>
      </w:r>
    </w:p>
    <w:p>
      <w:pPr>
        <w:pStyle w:val="Normal"/>
        <w:spacing w:lineRule="auto" w:line="276" w:before="0" w:after="80"/>
        <w:ind w:firstLine="425"/>
        <w:jc w:val="both"/>
        <w:rPr/>
      </w:pPr>
      <w:r>
        <w:rPr>
          <w:rFonts w:eastAsia="Times New Roman" w:cs="Times New Roman"/>
          <w:sz w:val="24"/>
          <w:szCs w:val="24"/>
          <w:lang w:val="en-US" w:bidi="fa-IR"/>
        </w:rPr>
        <w:t>The synthetic results illustrate the pattern the theory predicts and the design is built to detect: GenAI use raises feelings of competence and overestimation, and raises uncritical reliance, each of which is linked to poorer decision quality; at the same time heavier users also verify more, and verification is the strongest positive correlate of quality. The net association between use and quality is therefore small, which would be mistaken for “no effect” in a simple regression but hides two opposing behavioural channels. If the pattern replicates on real data, it implies that the question “does GenAI help investors?” should be replaced by “which uses, by whom, with which checking habits?”</w:t>
      </w:r>
    </w:p>
    <w:p>
      <w:pPr>
        <w:pStyle w:val="Normal"/>
        <w:spacing w:lineRule="auto" w:line="276" w:before="0" w:after="80"/>
        <w:ind w:firstLine="425"/>
        <w:jc w:val="both"/>
        <w:rPr/>
      </w:pPr>
      <w:r>
        <w:rPr>
          <w:rFonts w:eastAsia="Times New Roman" w:cs="Times New Roman"/>
          <w:sz w:val="24"/>
          <w:szCs w:val="24"/>
          <w:lang w:val="en-US" w:bidi="fa-IR"/>
        </w:rPr>
        <w:t xml:space="preserve">Both competences operate as boundary conditions in the predicted directions. Objective knowledge buffers the inflation of confidence—consistent with the metacognitive account in which the same knowledge that produces competence also allows its limits to be recognised (Kruger &amp; Dunning, 1999; Ehrlinger et al., 2008)—while AI literacy changes the </w:t>
      </w:r>
      <w:r>
        <w:rPr>
          <w:rFonts w:eastAsia="Times New Roman" w:cs="Times New Roman"/>
          <w:i/>
          <w:iCs/>
          <w:sz w:val="24"/>
          <w:szCs w:val="24"/>
          <w:lang w:val="en-US" w:bidi="fa-IR"/>
        </w:rPr>
        <w:t>kind</w:t>
      </w:r>
      <w:r>
        <w:rPr>
          <w:rFonts w:eastAsia="Times New Roman" w:cs="Times New Roman"/>
          <w:sz w:val="24"/>
          <w:szCs w:val="24"/>
          <w:lang w:val="en-US" w:bidi="fa-IR"/>
        </w:rPr>
        <w:t xml:space="preserve"> of reliance rather than its quantity: literate users do not use AI less, they check it more. This is consistent with calibrated-trust accounts (Lee &amp; See, 2004) and suggests that training that targets verification routines may matter more than warnings alone.</w:t>
      </w:r>
    </w:p>
    <w:p>
      <w:pPr>
        <w:pStyle w:val="Normal"/>
        <w:spacing w:lineRule="auto" w:line="276" w:before="0" w:after="80"/>
        <w:ind w:firstLine="425"/>
        <w:jc w:val="both"/>
        <w:rPr/>
      </w:pPr>
      <w:r>
        <w:rPr>
          <w:rFonts w:eastAsia="Times New Roman" w:cs="Times New Roman"/>
          <w:i/>
          <w:iCs/>
          <w:sz w:val="24"/>
          <w:szCs w:val="24"/>
          <w:lang w:val="en-US" w:bidi="fa-IR"/>
        </w:rPr>
        <w:t>Practical implications.</w:t>
      </w:r>
      <w:r>
        <w:rPr>
          <w:rFonts w:eastAsia="Times New Roman" w:cs="Times New Roman"/>
          <w:sz w:val="24"/>
          <w:szCs w:val="24"/>
          <w:lang w:val="en-US" w:bidi="fa-IR"/>
        </w:rPr>
        <w:t xml:space="preserve"> For investor-education bodies, brokers and regulators, the findings (if replicated) imply (i) pairing GenAI features in investment apps with prompts to verify against official filings, (ii) offering calibration feedback (predict-then-test exercises), and (iii) targeting AI literacy content at heavy users with low objective knowledge, who show the largest conditional illusion effect. For auditors and accounting educators, items on audit opinions, cash-flow versus profit and ratio calculation can serve as a diagnostic of knowledge against which confidence is benchmarked.</w:t>
      </w:r>
    </w:p>
    <w:p>
      <w:pPr>
        <w:pStyle w:val="Normal"/>
        <w:keepNext w:val="true"/>
        <w:spacing w:lineRule="auto" w:line="276" w:before="200" w:after="80"/>
        <w:jc w:val="left"/>
        <w:rPr/>
      </w:pPr>
      <w:r>
        <w:rPr>
          <w:rFonts w:eastAsia="Times New Roman" w:cs="Times New Roman"/>
          <w:b/>
          <w:bCs/>
          <w:sz w:val="26"/>
          <w:szCs w:val="26"/>
          <w:lang w:val="en-US" w:bidi="fa-IR"/>
        </w:rPr>
        <w:t>6. Limitations and future research</w:t>
      </w:r>
    </w:p>
    <w:p>
      <w:pPr>
        <w:pStyle w:val="Normal"/>
        <w:spacing w:lineRule="auto" w:line="276" w:before="0" w:after="80"/>
        <w:ind w:firstLine="425"/>
        <w:jc w:val="both"/>
        <w:rPr/>
      </w:pPr>
      <w:r>
        <w:rPr>
          <w:rFonts w:eastAsia="Times New Roman" w:cs="Times New Roman"/>
          <w:sz w:val="24"/>
          <w:szCs w:val="24"/>
          <w:lang w:val="en-US" w:bidi="fa-IR"/>
        </w:rPr>
        <w:t>First and foremost, the data are synthetic; the coefficients demonstrate the pipeline, not a finding. Second, with real data the design remains cross-sectional and self-reported, so causal ordering (use → illusion) cannot be established; overconfident investors may also self-select into heavy use. Panel data, or an experiment that randomises exposure to correct versus incorrect AI advice and AI-label versus analyst-label (Dietvorst et al., 2015; Logg et al., 2019), would identify causal effects. Third, the calibration gap is based on an eight-item test and a single prediction; richer tests, over-placement (percentile rank) and over-precision (confidence intervals) should be added. Fourth, decision quality is self-reported; trading records (turnover, returns, disposition effect) would give behavioural outcomes. Fifth, the interaction effects are small, and latent-interaction estimates are sensitive to the product-indicator strategy; we therefore report two strategies. Sixth, scales are new or adapted and need the validation protocol (content validity, pilot, CFA, invariance across countries and languages) before inferential use. Finally, generalisability to markets with different disclosure regimes and AI access remains open.</w:t>
      </w:r>
    </w:p>
    <w:p>
      <w:pPr>
        <w:pStyle w:val="Normal"/>
        <w:keepNext w:val="true"/>
        <w:spacing w:lineRule="auto" w:line="276" w:before="200" w:after="80"/>
        <w:jc w:val="left"/>
        <w:rPr/>
      </w:pPr>
      <w:r>
        <w:rPr>
          <w:rFonts w:eastAsia="Times New Roman" w:cs="Times New Roman"/>
          <w:b/>
          <w:bCs/>
          <w:sz w:val="26"/>
          <w:szCs w:val="26"/>
          <w:lang w:val="en-US" w:bidi="fa-IR"/>
        </w:rPr>
        <w:t>7. Conclusion</w:t>
      </w:r>
    </w:p>
    <w:p>
      <w:pPr>
        <w:pStyle w:val="Normal"/>
        <w:spacing w:lineRule="auto" w:line="276" w:before="0" w:after="80"/>
        <w:ind w:firstLine="425"/>
        <w:jc w:val="both"/>
        <w:rPr/>
      </w:pPr>
      <w:r>
        <w:rPr>
          <w:rFonts w:eastAsia="Times New Roman" w:cs="Times New Roman"/>
          <w:sz w:val="24"/>
          <w:szCs w:val="24"/>
          <w:lang w:val="en-US" w:bidi="fa-IR"/>
        </w:rPr>
        <w:t>Generative AI can make investors feel more competent faster than it makes them more competent. The design proposed here separates illusion, uncritical reliance and verification, and tests the two competences—objective knowledge and AI literacy—that should make GenAI use safe. The synthetic demonstration shows the model is identified, estimable and interpretable; the decisive test is a real, pre-registered survey.</w:t>
      </w:r>
    </w:p>
    <w:p>
      <w:pPr>
        <w:pStyle w:val="Normal"/>
        <w:keepNext w:val="true"/>
        <w:spacing w:lineRule="auto" w:line="276" w:before="200" w:after="80"/>
        <w:jc w:val="left"/>
        <w:rPr/>
      </w:pPr>
      <w:r>
        <w:rPr>
          <w:rFonts w:eastAsia="Times New Roman" w:cs="Times New Roman"/>
          <w:b/>
          <w:bCs/>
          <w:sz w:val="26"/>
          <w:szCs w:val="26"/>
          <w:lang w:val="en-US" w:bidi="fa-IR"/>
        </w:rPr>
        <w:t>Declarations</w:t>
      </w:r>
    </w:p>
    <w:p>
      <w:pPr>
        <w:pStyle w:val="Normal"/>
        <w:spacing w:lineRule="auto" w:line="276" w:before="0" w:after="80"/>
        <w:jc w:val="both"/>
        <w:rPr/>
      </w:pPr>
      <w:r>
        <w:rPr>
          <w:rFonts w:eastAsia="Times New Roman" w:cs="Times New Roman"/>
          <w:b/>
          <w:bCs/>
          <w:sz w:val="24"/>
          <w:szCs w:val="24"/>
          <w:lang w:val="en-US" w:bidi="fa-IR"/>
        </w:rPr>
        <w:t>Data and code availability.</w:t>
      </w:r>
      <w:r>
        <w:rPr>
          <w:rFonts w:eastAsia="Times New Roman" w:cs="Times New Roman"/>
          <w:sz w:val="24"/>
          <w:szCs w:val="24"/>
          <w:lang w:val="en-US" w:bidi="fa-IR"/>
        </w:rPr>
        <w:t xml:space="preserve"> Synthetic dataset (CSV/XLSX), the Python script (paper3_analysis.py, with simlib.py) and the Colab notebook are provided with this manuscript. </w:t>
      </w:r>
      <w:r>
        <w:rPr>
          <w:rFonts w:eastAsia="Times New Roman" w:cs="Times New Roman"/>
          <w:b/>
          <w:bCs/>
          <w:sz w:val="24"/>
          <w:szCs w:val="24"/>
          <w:lang w:val="en-US" w:bidi="fa-IR"/>
        </w:rPr>
        <w:t>Ethics.</w:t>
      </w:r>
      <w:r>
        <w:rPr>
          <w:rFonts w:eastAsia="Times New Roman" w:cs="Times New Roman"/>
          <w:sz w:val="24"/>
          <w:szCs w:val="24"/>
          <w:lang w:val="en-US" w:bidi="fa-IR"/>
        </w:rPr>
        <w:t xml:space="preserve"> For real data collection, ethics approval and informed consent are required; the present synthetic data involve no human participants. </w:t>
      </w:r>
      <w:r>
        <w:rPr>
          <w:rFonts w:eastAsia="Times New Roman" w:cs="Times New Roman"/>
          <w:b/>
          <w:bCs/>
          <w:sz w:val="24"/>
          <w:szCs w:val="24"/>
          <w:lang w:val="en-US" w:bidi="fa-IR"/>
        </w:rPr>
        <w:t>Funding / conflicts of interest.</w:t>
      </w:r>
      <w:r>
        <w:rPr>
          <w:rFonts w:eastAsia="Times New Roman" w:cs="Times New Roman"/>
          <w:sz w:val="24"/>
          <w:szCs w:val="24"/>
          <w:lang w:val="en-US" w:bidi="fa-IR"/>
        </w:rPr>
        <w:t xml:space="preserve"> [to be completed]. </w:t>
      </w:r>
      <w:r>
        <w:rPr>
          <w:rFonts w:eastAsia="Times New Roman" w:cs="Times New Roman"/>
          <w:b/>
          <w:bCs/>
          <w:sz w:val="24"/>
          <w:szCs w:val="24"/>
          <w:lang w:val="en-US" w:bidi="fa-IR"/>
        </w:rPr>
        <w:t>AI-assistance disclosure.</w:t>
      </w:r>
      <w:r>
        <w:rPr>
          <w:rFonts w:eastAsia="Times New Roman" w:cs="Times New Roman"/>
          <w:sz w:val="24"/>
          <w:szCs w:val="24"/>
          <w:lang w:val="en-US" w:bidi="fa-IR"/>
        </w:rPr>
        <w:t xml:space="preserve"> AI tools were used to draft code and text; the authors are responsible for the content and must verify all references and DOIs against Crossref before submission.</w:t>
      </w:r>
    </w:p>
    <w:p>
      <w:pPr>
        <w:pStyle w:val="Normal"/>
        <w:keepNext w:val="true"/>
        <w:spacing w:lineRule="auto" w:line="276" w:before="200" w:after="80"/>
        <w:jc w:val="left"/>
        <w:rPr/>
      </w:pPr>
      <w:r>
        <w:rPr>
          <w:rFonts w:eastAsia="Times New Roman" w:cs="Times New Roman"/>
          <w:b/>
          <w:bCs/>
          <w:sz w:val="26"/>
          <w:szCs w:val="26"/>
          <w:lang w:val="en-US" w:bidi="fa-IR"/>
        </w:rPr>
        <w:t>References</w:t>
      </w:r>
    </w:p>
    <w:p>
      <w:pPr>
        <w:pStyle w:val="Normal"/>
        <w:spacing w:lineRule="auto" w:line="240" w:before="0" w:after="60"/>
        <w:ind w:hanging="567" w:left="567"/>
        <w:jc w:val="left"/>
        <w:rPr/>
      </w:pPr>
      <w:r>
        <w:rPr>
          <w:rFonts w:eastAsia="Times New Roman" w:cs="Times New Roman"/>
          <w:sz w:val="22"/>
          <w:szCs w:val="22"/>
          <w:lang w:val="en-US" w:bidi="fa-IR"/>
        </w:rPr>
        <w:t xml:space="preserve">Barber, B. M., &amp; Odean, T. (2000). Trading is hazardous to your wealth: The common stock investment performance of individual investors. </w:t>
      </w:r>
      <w:r>
        <w:rPr>
          <w:rFonts w:eastAsia="Times New Roman" w:cs="Times New Roman"/>
          <w:i/>
          <w:iCs/>
          <w:sz w:val="22"/>
          <w:szCs w:val="22"/>
          <w:lang w:val="en-US" w:bidi="fa-IR"/>
        </w:rPr>
        <w:t>The Journal of Finance, 55</w:t>
      </w:r>
      <w:r>
        <w:rPr>
          <w:rFonts w:eastAsia="Times New Roman" w:cs="Times New Roman"/>
          <w:sz w:val="22"/>
          <w:szCs w:val="22"/>
          <w:lang w:val="en-US" w:bidi="fa-IR"/>
        </w:rPr>
        <w:t>(2), 773–806. https://doi.org/10.1111/0022-1082.00226</w:t>
      </w:r>
    </w:p>
    <w:p>
      <w:pPr>
        <w:pStyle w:val="Normal"/>
        <w:spacing w:lineRule="auto" w:line="240" w:before="0" w:after="60"/>
        <w:ind w:hanging="567" w:left="567"/>
        <w:jc w:val="left"/>
        <w:rPr/>
      </w:pPr>
      <w:r>
        <w:rPr>
          <w:rFonts w:eastAsia="Times New Roman" w:cs="Times New Roman"/>
          <w:sz w:val="22"/>
          <w:szCs w:val="22"/>
          <w:lang w:val="en-US" w:bidi="fa-IR"/>
        </w:rPr>
        <w:t xml:space="preserve">Barber, B. M., &amp; Odean, T. (2001). Boys will be boys: Gender, overconfidence, and common stock investment. </w:t>
      </w:r>
      <w:r>
        <w:rPr>
          <w:rFonts w:eastAsia="Times New Roman" w:cs="Times New Roman"/>
          <w:i/>
          <w:iCs/>
          <w:sz w:val="22"/>
          <w:szCs w:val="22"/>
          <w:lang w:val="en-US" w:bidi="fa-IR"/>
        </w:rPr>
        <w:t>The Quarterly Journal of Economics, 116</w:t>
      </w:r>
      <w:r>
        <w:rPr>
          <w:rFonts w:eastAsia="Times New Roman" w:cs="Times New Roman"/>
          <w:sz w:val="22"/>
          <w:szCs w:val="22"/>
          <w:lang w:val="en-US" w:bidi="fa-IR"/>
        </w:rPr>
        <w:t>(1), 261–292. https://doi.org/10.1162/003355301556400</w:t>
      </w:r>
    </w:p>
    <w:p>
      <w:pPr>
        <w:pStyle w:val="Normal"/>
        <w:spacing w:lineRule="auto" w:line="240" w:before="0" w:after="60"/>
        <w:ind w:hanging="567" w:left="567"/>
        <w:jc w:val="left"/>
        <w:rPr/>
      </w:pPr>
      <w:r>
        <w:rPr>
          <w:rFonts w:eastAsia="Times New Roman" w:cs="Times New Roman"/>
          <w:sz w:val="22"/>
          <w:szCs w:val="22"/>
          <w:lang w:val="en-US" w:bidi="fa-IR"/>
        </w:rPr>
        <w:t xml:space="preserve">Bruine de Bruin, W., Parker, A. M., &amp; Fischhoff, B. (2007). Individual differences in adult decision-making competence. </w:t>
      </w:r>
      <w:r>
        <w:rPr>
          <w:rFonts w:eastAsia="Times New Roman" w:cs="Times New Roman"/>
          <w:i/>
          <w:iCs/>
          <w:sz w:val="22"/>
          <w:szCs w:val="22"/>
          <w:lang w:val="en-US" w:bidi="fa-IR"/>
        </w:rPr>
        <w:t>Journal of Personality and Social Psychology, 92</w:t>
      </w:r>
      <w:r>
        <w:rPr>
          <w:rFonts w:eastAsia="Times New Roman" w:cs="Times New Roman"/>
          <w:sz w:val="22"/>
          <w:szCs w:val="22"/>
          <w:lang w:val="en-US" w:bidi="fa-IR"/>
        </w:rPr>
        <w:t>(5), 938–956. https://doi.org/10.1037/0022-3514.92.5.938</w:t>
      </w:r>
    </w:p>
    <w:p>
      <w:pPr>
        <w:pStyle w:val="Normal"/>
        <w:spacing w:lineRule="auto" w:line="240" w:before="0" w:after="60"/>
        <w:ind w:hanging="567" w:left="567"/>
        <w:jc w:val="left"/>
        <w:rPr/>
      </w:pPr>
      <w:r>
        <w:rPr>
          <w:rFonts w:eastAsia="Times New Roman" w:cs="Times New Roman"/>
          <w:sz w:val="22"/>
          <w:szCs w:val="22"/>
          <w:lang w:val="en-US" w:bidi="fa-IR"/>
        </w:rPr>
        <w:t xml:space="preserve">D'Acunto, F., Prabhala, N., &amp; Rossi, A. G. (2019). The promises and pitfalls of robo-advising. </w:t>
      </w:r>
      <w:r>
        <w:rPr>
          <w:rFonts w:eastAsia="Times New Roman" w:cs="Times New Roman"/>
          <w:i/>
          <w:iCs/>
          <w:sz w:val="22"/>
          <w:szCs w:val="22"/>
          <w:lang w:val="en-US" w:bidi="fa-IR"/>
        </w:rPr>
        <w:t>The Review of Financial Studies, 32</w:t>
      </w:r>
      <w:r>
        <w:rPr>
          <w:rFonts w:eastAsia="Times New Roman" w:cs="Times New Roman"/>
          <w:sz w:val="22"/>
          <w:szCs w:val="22"/>
          <w:lang w:val="en-US" w:bidi="fa-IR"/>
        </w:rPr>
        <w:t>(5), 1983–2020. https://doi.org/10.1093/rfs/hhz014</w:t>
      </w:r>
    </w:p>
    <w:p>
      <w:pPr>
        <w:pStyle w:val="Normal"/>
        <w:spacing w:lineRule="auto" w:line="240" w:before="0" w:after="60"/>
        <w:ind w:hanging="567" w:left="567"/>
        <w:jc w:val="left"/>
        <w:rPr/>
      </w:pPr>
      <w:r>
        <w:rPr>
          <w:rFonts w:eastAsia="Times New Roman" w:cs="Times New Roman"/>
          <w:sz w:val="22"/>
          <w:szCs w:val="22"/>
          <w:lang w:val="en-US" w:bidi="fa-IR"/>
        </w:rPr>
        <w:t xml:space="preserve">Dietvorst, B. J., Simmons, J. P., &amp; Massey, C. (2015). Algorithm aversion: People erroneously avoid algorithms after seeing them err. </w:t>
      </w:r>
      <w:r>
        <w:rPr>
          <w:rFonts w:eastAsia="Times New Roman" w:cs="Times New Roman"/>
          <w:i/>
          <w:iCs/>
          <w:sz w:val="22"/>
          <w:szCs w:val="22"/>
          <w:lang w:val="en-US" w:bidi="fa-IR"/>
        </w:rPr>
        <w:t>Journal of Experimental Psychology: General, 144</w:t>
      </w:r>
      <w:r>
        <w:rPr>
          <w:rFonts w:eastAsia="Times New Roman" w:cs="Times New Roman"/>
          <w:sz w:val="22"/>
          <w:szCs w:val="22"/>
          <w:lang w:val="en-US" w:bidi="fa-IR"/>
        </w:rPr>
        <w:t>(1), 114–126. https://doi.org/10.1037/xge0000033</w:t>
      </w:r>
    </w:p>
    <w:p>
      <w:pPr>
        <w:pStyle w:val="Normal"/>
        <w:spacing w:lineRule="auto" w:line="240" w:before="0" w:after="60"/>
        <w:ind w:hanging="567" w:left="567"/>
        <w:jc w:val="left"/>
        <w:rPr/>
      </w:pPr>
      <w:r>
        <w:rPr>
          <w:rFonts w:eastAsia="Times New Roman" w:cs="Times New Roman"/>
          <w:sz w:val="22"/>
          <w:szCs w:val="22"/>
          <w:lang w:val="en-US" w:bidi="fa-IR"/>
        </w:rPr>
        <w:t xml:space="preserve">Ehrlinger, J., Johnson, K., Banner, M., Dunning, D., &amp; Kruger, J. (2008). Why the unskilled are unaware: Further explorations of (absent) self-insight among the incompetent. </w:t>
      </w:r>
      <w:r>
        <w:rPr>
          <w:rFonts w:eastAsia="Times New Roman" w:cs="Times New Roman"/>
          <w:i/>
          <w:iCs/>
          <w:sz w:val="22"/>
          <w:szCs w:val="22"/>
          <w:lang w:val="en-US" w:bidi="fa-IR"/>
        </w:rPr>
        <w:t>Organizational Behavior and Human Decision Processes, 105</w:t>
      </w:r>
      <w:r>
        <w:rPr>
          <w:rFonts w:eastAsia="Times New Roman" w:cs="Times New Roman"/>
          <w:sz w:val="22"/>
          <w:szCs w:val="22"/>
          <w:lang w:val="en-US" w:bidi="fa-IR"/>
        </w:rPr>
        <w:t>(1), 98–121. https://doi.org/10.1016/j.obhdp.2007.05.002</w:t>
      </w:r>
    </w:p>
    <w:p>
      <w:pPr>
        <w:pStyle w:val="Normal"/>
        <w:spacing w:lineRule="auto" w:line="240" w:before="0" w:after="60"/>
        <w:ind w:hanging="567" w:left="567"/>
        <w:jc w:val="left"/>
        <w:rPr/>
      </w:pPr>
      <w:r>
        <w:rPr>
          <w:rFonts w:eastAsia="Times New Roman" w:cs="Times New Roman"/>
          <w:sz w:val="22"/>
          <w:szCs w:val="22"/>
          <w:lang w:val="en-US" w:bidi="fa-IR"/>
        </w:rPr>
        <w:t xml:space="preserve">Fornell, C., &amp; Larcker, D. F. (1981). Evaluating structural equation models with unobservable variables and measurement error. </w:t>
      </w:r>
      <w:r>
        <w:rPr>
          <w:rFonts w:eastAsia="Times New Roman" w:cs="Times New Roman"/>
          <w:i/>
          <w:iCs/>
          <w:sz w:val="22"/>
          <w:szCs w:val="22"/>
          <w:lang w:val="en-US" w:bidi="fa-IR"/>
        </w:rPr>
        <w:t>Journal of Marketing Research, 18</w:t>
      </w:r>
      <w:r>
        <w:rPr>
          <w:rFonts w:eastAsia="Times New Roman" w:cs="Times New Roman"/>
          <w:sz w:val="22"/>
          <w:szCs w:val="22"/>
          <w:lang w:val="en-US" w:bidi="fa-IR"/>
        </w:rPr>
        <w:t>(1), 39–50. https://doi.org/10.1177/002224378101800104</w:t>
      </w:r>
    </w:p>
    <w:p>
      <w:pPr>
        <w:pStyle w:val="Normal"/>
        <w:spacing w:lineRule="auto" w:line="240" w:before="0" w:after="60"/>
        <w:ind w:hanging="567" w:left="567"/>
        <w:jc w:val="left"/>
        <w:rPr/>
      </w:pPr>
      <w:r>
        <w:rPr>
          <w:rFonts w:eastAsia="Times New Roman" w:cs="Times New Roman"/>
          <w:sz w:val="22"/>
          <w:szCs w:val="22"/>
          <w:lang w:val="en-US" w:bidi="fa-IR"/>
        </w:rPr>
        <w:t xml:space="preserve">Glaser, M., &amp; Weber, M. (2007). Overconfidence and trading volume. </w:t>
      </w:r>
      <w:r>
        <w:rPr>
          <w:rFonts w:eastAsia="Times New Roman" w:cs="Times New Roman"/>
          <w:i/>
          <w:iCs/>
          <w:sz w:val="22"/>
          <w:szCs w:val="22"/>
          <w:lang w:val="en-US" w:bidi="fa-IR"/>
        </w:rPr>
        <w:t>The Geneva Risk and Insurance Review, 32</w:t>
      </w:r>
      <w:r>
        <w:rPr>
          <w:rFonts w:eastAsia="Times New Roman" w:cs="Times New Roman"/>
          <w:sz w:val="22"/>
          <w:szCs w:val="22"/>
          <w:lang w:val="en-US" w:bidi="fa-IR"/>
        </w:rPr>
        <w:t>(1), 1–36. https://doi.org/10.1007/s10713-007-0003-3</w:t>
      </w:r>
    </w:p>
    <w:p>
      <w:pPr>
        <w:pStyle w:val="Normal"/>
        <w:spacing w:lineRule="auto" w:line="240" w:before="0" w:after="60"/>
        <w:ind w:hanging="567" w:left="567"/>
        <w:jc w:val="left"/>
        <w:rPr/>
      </w:pPr>
      <w:r>
        <w:rPr>
          <w:rFonts w:eastAsia="Times New Roman" w:cs="Times New Roman"/>
          <w:sz w:val="22"/>
          <w:szCs w:val="22"/>
          <w:lang w:val="en-US" w:bidi="fa-IR"/>
        </w:rPr>
        <w:t xml:space="preserve">Goddard, K., Roudsari, A., &amp; Wyatt, J. C. (2012). Automation bias: A systematic review of frequency, effect mediators, and mitigators. </w:t>
      </w:r>
      <w:r>
        <w:rPr>
          <w:rFonts w:eastAsia="Times New Roman" w:cs="Times New Roman"/>
          <w:i/>
          <w:iCs/>
          <w:sz w:val="22"/>
          <w:szCs w:val="22"/>
          <w:lang w:val="en-US" w:bidi="fa-IR"/>
        </w:rPr>
        <w:t>Journal of the American Medical Informatics Association, 19</w:t>
      </w:r>
      <w:r>
        <w:rPr>
          <w:rFonts w:eastAsia="Times New Roman" w:cs="Times New Roman"/>
          <w:sz w:val="22"/>
          <w:szCs w:val="22"/>
          <w:lang w:val="en-US" w:bidi="fa-IR"/>
        </w:rPr>
        <w:t>(1), 121–127. https://doi.org/10.1136/amiajnl-2011-000089</w:t>
      </w:r>
    </w:p>
    <w:p>
      <w:pPr>
        <w:pStyle w:val="Normal"/>
        <w:spacing w:lineRule="auto" w:line="240" w:before="0" w:after="60"/>
        <w:ind w:hanging="567" w:left="567"/>
        <w:jc w:val="left"/>
        <w:rPr/>
      </w:pPr>
      <w:r>
        <w:rPr>
          <w:rFonts w:eastAsia="Times New Roman" w:cs="Times New Roman"/>
          <w:sz w:val="22"/>
          <w:szCs w:val="22"/>
          <w:lang w:val="en-US" w:bidi="fa-IR"/>
        </w:rPr>
        <w:t xml:space="preserve">Grinblatt, M., &amp; Keloharju, M. (2009). Sensation seeking, overconfidence, and trading activity. </w:t>
      </w:r>
      <w:r>
        <w:rPr>
          <w:rFonts w:eastAsia="Times New Roman" w:cs="Times New Roman"/>
          <w:i/>
          <w:iCs/>
          <w:sz w:val="22"/>
          <w:szCs w:val="22"/>
          <w:lang w:val="en-US" w:bidi="fa-IR"/>
        </w:rPr>
        <w:t>The Journal of Finance, 64</w:t>
      </w:r>
      <w:r>
        <w:rPr>
          <w:rFonts w:eastAsia="Times New Roman" w:cs="Times New Roman"/>
          <w:sz w:val="22"/>
          <w:szCs w:val="22"/>
          <w:lang w:val="en-US" w:bidi="fa-IR"/>
        </w:rPr>
        <w:t>(2), 549–578. https://doi.org/10.1111/j.1540-6261.2009.01443.x</w:t>
      </w:r>
    </w:p>
    <w:p>
      <w:pPr>
        <w:pStyle w:val="Normal"/>
        <w:spacing w:lineRule="auto" w:line="240" w:before="0" w:after="60"/>
        <w:ind w:hanging="567" w:left="567"/>
        <w:jc w:val="left"/>
        <w:rPr/>
      </w:pPr>
      <w:r>
        <w:rPr>
          <w:rFonts w:eastAsia="Times New Roman" w:cs="Times New Roman"/>
          <w:sz w:val="22"/>
          <w:szCs w:val="22"/>
          <w:lang w:val="en-US" w:bidi="fa-IR"/>
        </w:rPr>
        <w:t xml:space="preserve">Hayes, A. F. (2015). An index and test of linear moderated mediation. </w:t>
      </w:r>
      <w:r>
        <w:rPr>
          <w:rFonts w:eastAsia="Times New Roman" w:cs="Times New Roman"/>
          <w:i/>
          <w:iCs/>
          <w:sz w:val="22"/>
          <w:szCs w:val="22"/>
          <w:lang w:val="en-US" w:bidi="fa-IR"/>
        </w:rPr>
        <w:t>Multivariate Behavioral Research, 50</w:t>
      </w:r>
      <w:r>
        <w:rPr>
          <w:rFonts w:eastAsia="Times New Roman" w:cs="Times New Roman"/>
          <w:sz w:val="22"/>
          <w:szCs w:val="22"/>
          <w:lang w:val="en-US" w:bidi="fa-IR"/>
        </w:rPr>
        <w:t>(1), 1–22. https://doi.org/10.1080/00273171.2014.962683</w:t>
      </w:r>
    </w:p>
    <w:p>
      <w:pPr>
        <w:pStyle w:val="Normal"/>
        <w:spacing w:lineRule="auto" w:line="240" w:before="0" w:after="60"/>
        <w:ind w:hanging="567" w:left="567"/>
        <w:jc w:val="left"/>
        <w:rPr/>
      </w:pPr>
      <w:r>
        <w:rPr>
          <w:rFonts w:eastAsia="Times New Roman" w:cs="Times New Roman"/>
          <w:sz w:val="22"/>
          <w:szCs w:val="22"/>
          <w:lang w:val="en-US" w:bidi="fa-IR"/>
        </w:rPr>
        <w:t xml:space="preserve">Henseler, J., Ringle, C. M., &amp; Sarstedt, M. (2015). A new criterion for assessing discriminant validity in variance-based structural equation modeling. </w:t>
      </w:r>
      <w:r>
        <w:rPr>
          <w:rFonts w:eastAsia="Times New Roman" w:cs="Times New Roman"/>
          <w:i/>
          <w:iCs/>
          <w:sz w:val="22"/>
          <w:szCs w:val="22"/>
          <w:lang w:val="en-US" w:bidi="fa-IR"/>
        </w:rPr>
        <w:t>Journal of the Academy of Marketing Science, 43</w:t>
      </w:r>
      <w:r>
        <w:rPr>
          <w:rFonts w:eastAsia="Times New Roman" w:cs="Times New Roman"/>
          <w:sz w:val="22"/>
          <w:szCs w:val="22"/>
          <w:lang w:val="en-US" w:bidi="fa-IR"/>
        </w:rPr>
        <w:t>(1), 115–135. https://doi.org/10.1007/s11747-014-0403-8</w:t>
      </w:r>
    </w:p>
    <w:p>
      <w:pPr>
        <w:pStyle w:val="Normal"/>
        <w:spacing w:lineRule="auto" w:line="240" w:before="0" w:after="60"/>
        <w:ind w:hanging="567" w:left="567"/>
        <w:jc w:val="left"/>
        <w:rPr/>
      </w:pPr>
      <w:r>
        <w:rPr>
          <w:rFonts w:eastAsia="Times New Roman" w:cs="Times New Roman"/>
          <w:sz w:val="22"/>
          <w:szCs w:val="22"/>
          <w:lang w:val="en-US" w:bidi="fa-IR"/>
        </w:rPr>
        <w:t xml:space="preserve">Hoff, K. A., &amp; Bashir, M. (2015). Trust in automation: Integrating empirical evidence on factors that influence trust. </w:t>
      </w:r>
      <w:r>
        <w:rPr>
          <w:rFonts w:eastAsia="Times New Roman" w:cs="Times New Roman"/>
          <w:i/>
          <w:iCs/>
          <w:sz w:val="22"/>
          <w:szCs w:val="22"/>
          <w:lang w:val="en-US" w:bidi="fa-IR"/>
        </w:rPr>
        <w:t>Human Factors, 57</w:t>
      </w:r>
      <w:r>
        <w:rPr>
          <w:rFonts w:eastAsia="Times New Roman" w:cs="Times New Roman"/>
          <w:sz w:val="22"/>
          <w:szCs w:val="22"/>
          <w:lang w:val="en-US" w:bidi="fa-IR"/>
        </w:rPr>
        <w:t>(3), 407–434. https://doi.org/10.1177/0018720814547570</w:t>
      </w:r>
    </w:p>
    <w:p>
      <w:pPr>
        <w:pStyle w:val="Normal"/>
        <w:spacing w:lineRule="auto" w:line="240" w:before="0" w:after="60"/>
        <w:ind w:hanging="567" w:left="567"/>
        <w:jc w:val="left"/>
        <w:rPr/>
      </w:pPr>
      <w:r>
        <w:rPr>
          <w:rFonts w:eastAsia="Times New Roman" w:cs="Times New Roman"/>
          <w:sz w:val="22"/>
          <w:szCs w:val="22"/>
          <w:lang w:val="en-US" w:bidi="fa-IR"/>
        </w:rPr>
        <w:t xml:space="preserve">Hu, L., &amp; Bentler, P. M. (1999). Cutoff criteria for fit indexes in covariance structure analysis: Conventional criteria versus new alternatives. </w:t>
      </w:r>
      <w:r>
        <w:rPr>
          <w:rFonts w:eastAsia="Times New Roman" w:cs="Times New Roman"/>
          <w:i/>
          <w:iCs/>
          <w:sz w:val="22"/>
          <w:szCs w:val="22"/>
          <w:lang w:val="en-US" w:bidi="fa-IR"/>
        </w:rPr>
        <w:t>Structural Equation Modeling, 6</w:t>
      </w:r>
      <w:r>
        <w:rPr>
          <w:rFonts w:eastAsia="Times New Roman" w:cs="Times New Roman"/>
          <w:sz w:val="22"/>
          <w:szCs w:val="22"/>
          <w:lang w:val="en-US" w:bidi="fa-IR"/>
        </w:rPr>
        <w:t>(1), 1–55. https://doi.org/10.1080/10705519909540118</w:t>
      </w:r>
    </w:p>
    <w:p>
      <w:pPr>
        <w:pStyle w:val="Normal"/>
        <w:spacing w:lineRule="auto" w:line="240" w:before="0" w:after="60"/>
        <w:ind w:hanging="567" w:left="567"/>
        <w:jc w:val="left"/>
        <w:rPr/>
      </w:pPr>
      <w:r>
        <w:rPr>
          <w:rFonts w:eastAsia="Times New Roman" w:cs="Times New Roman"/>
          <w:sz w:val="22"/>
          <w:szCs w:val="22"/>
          <w:lang w:val="en-US" w:bidi="fa-IR"/>
        </w:rPr>
        <w:t xml:space="preserve">Igolkina, A. A., &amp; Meshcheryakov, G. (2020). semopy: A Python package for structural equation modeling. </w:t>
      </w:r>
      <w:r>
        <w:rPr>
          <w:rFonts w:eastAsia="Times New Roman" w:cs="Times New Roman"/>
          <w:i/>
          <w:iCs/>
          <w:sz w:val="22"/>
          <w:szCs w:val="22"/>
          <w:lang w:val="en-US" w:bidi="fa-IR"/>
        </w:rPr>
        <w:t>Structural Equation Modeling, 27</w:t>
      </w:r>
      <w:r>
        <w:rPr>
          <w:rFonts w:eastAsia="Times New Roman" w:cs="Times New Roman"/>
          <w:sz w:val="22"/>
          <w:szCs w:val="22"/>
          <w:lang w:val="en-US" w:bidi="fa-IR"/>
        </w:rPr>
        <w:t>(6), 952–963. https://doi.org/10.1080/10705511.2019.1704289</w:t>
      </w:r>
    </w:p>
    <w:p>
      <w:pPr>
        <w:pStyle w:val="Normal"/>
        <w:spacing w:lineRule="auto" w:line="240" w:before="0" w:after="60"/>
        <w:ind w:hanging="567" w:left="567"/>
        <w:jc w:val="left"/>
        <w:rPr/>
      </w:pPr>
      <w:r>
        <w:rPr>
          <w:rFonts w:eastAsia="Times New Roman" w:cs="Times New Roman"/>
          <w:sz w:val="22"/>
          <w:szCs w:val="22"/>
          <w:lang w:val="en-US" w:bidi="fa-IR"/>
        </w:rPr>
        <w:t xml:space="preserve">Ji, Z., Lee, N., Frieske, R., Yu, T., Su, D., Xu, Y., Ishii, E., Bang, Y. J., Madotto, A., &amp; Fung, P. (2023). Survey of hallucination in natural language generation. </w:t>
      </w:r>
      <w:r>
        <w:rPr>
          <w:rFonts w:eastAsia="Times New Roman" w:cs="Times New Roman"/>
          <w:i/>
          <w:iCs/>
          <w:sz w:val="22"/>
          <w:szCs w:val="22"/>
          <w:lang w:val="en-US" w:bidi="fa-IR"/>
        </w:rPr>
        <w:t>ACM Computing Surveys, 55</w:t>
      </w:r>
      <w:r>
        <w:rPr>
          <w:rFonts w:eastAsia="Times New Roman" w:cs="Times New Roman"/>
          <w:sz w:val="22"/>
          <w:szCs w:val="22"/>
          <w:lang w:val="en-US" w:bidi="fa-IR"/>
        </w:rPr>
        <w:t>(12), Article 248. https://doi.org/10.1145/3571730</w:t>
      </w:r>
    </w:p>
    <w:p>
      <w:pPr>
        <w:pStyle w:val="Normal"/>
        <w:spacing w:lineRule="auto" w:line="240" w:before="0" w:after="60"/>
        <w:ind w:hanging="567" w:left="567"/>
        <w:jc w:val="left"/>
        <w:rPr/>
      </w:pPr>
      <w:r>
        <w:rPr>
          <w:rFonts w:eastAsia="Times New Roman" w:cs="Times New Roman"/>
          <w:sz w:val="22"/>
          <w:szCs w:val="22"/>
          <w:lang w:val="en-US" w:bidi="fa-IR"/>
        </w:rPr>
        <w:t xml:space="preserve">Kruger, J., &amp; Dunning, D. (1999). Unskilled and unaware of it: How difficulties in recognizing one's own incompetence lead to inflated self-assessments. </w:t>
      </w:r>
      <w:r>
        <w:rPr>
          <w:rFonts w:eastAsia="Times New Roman" w:cs="Times New Roman"/>
          <w:i/>
          <w:iCs/>
          <w:sz w:val="22"/>
          <w:szCs w:val="22"/>
          <w:lang w:val="en-US" w:bidi="fa-IR"/>
        </w:rPr>
        <w:t>Journal of Personality and Social Psychology, 77</w:t>
      </w:r>
      <w:r>
        <w:rPr>
          <w:rFonts w:eastAsia="Times New Roman" w:cs="Times New Roman"/>
          <w:sz w:val="22"/>
          <w:szCs w:val="22"/>
          <w:lang w:val="en-US" w:bidi="fa-IR"/>
        </w:rPr>
        <w:t>(6), 1121–1134. https://doi.org/10.1037/0022-3514.77.6.1121</w:t>
      </w:r>
    </w:p>
    <w:p>
      <w:pPr>
        <w:pStyle w:val="Normal"/>
        <w:spacing w:lineRule="auto" w:line="240" w:before="0" w:after="60"/>
        <w:ind w:hanging="567" w:left="567"/>
        <w:jc w:val="left"/>
        <w:rPr/>
      </w:pPr>
      <w:r>
        <w:rPr>
          <w:rFonts w:eastAsia="Times New Roman" w:cs="Times New Roman"/>
          <w:sz w:val="22"/>
          <w:szCs w:val="22"/>
          <w:lang w:val="en-US" w:bidi="fa-IR"/>
        </w:rPr>
        <w:t xml:space="preserve">Lee, J. D., &amp; See, K. A. (2004). Trust in automation: Designing for appropriate reliance. </w:t>
      </w:r>
      <w:r>
        <w:rPr>
          <w:rFonts w:eastAsia="Times New Roman" w:cs="Times New Roman"/>
          <w:i/>
          <w:iCs/>
          <w:sz w:val="22"/>
          <w:szCs w:val="22"/>
          <w:lang w:val="en-US" w:bidi="fa-IR"/>
        </w:rPr>
        <w:t>Human Factors, 46</w:t>
      </w:r>
      <w:r>
        <w:rPr>
          <w:rFonts w:eastAsia="Times New Roman" w:cs="Times New Roman"/>
          <w:sz w:val="22"/>
          <w:szCs w:val="22"/>
          <w:lang w:val="en-US" w:bidi="fa-IR"/>
        </w:rPr>
        <w:t>(1), 50–80. https://doi.org/10.1518/hfes.46.1.50_30392</w:t>
      </w:r>
    </w:p>
    <w:p>
      <w:pPr>
        <w:pStyle w:val="Normal"/>
        <w:spacing w:lineRule="auto" w:line="240" w:before="0" w:after="60"/>
        <w:ind w:hanging="567" w:left="567"/>
        <w:jc w:val="left"/>
        <w:rPr/>
      </w:pPr>
      <w:r>
        <w:rPr>
          <w:rFonts w:eastAsia="Times New Roman" w:cs="Times New Roman"/>
          <w:sz w:val="22"/>
          <w:szCs w:val="22"/>
          <w:lang w:val="en-US" w:bidi="fa-IR"/>
        </w:rPr>
        <w:t xml:space="preserve">Little, T. D., Bovaird, J. A., &amp; Widaman, K. F. (2006). On the merits of orthogonalizing powered and product terms: Implications for modeling interactions among latent variables. </w:t>
      </w:r>
      <w:r>
        <w:rPr>
          <w:rFonts w:eastAsia="Times New Roman" w:cs="Times New Roman"/>
          <w:i/>
          <w:iCs/>
          <w:sz w:val="22"/>
          <w:szCs w:val="22"/>
          <w:lang w:val="en-US" w:bidi="fa-IR"/>
        </w:rPr>
        <w:t>Structural Equation Modeling, 13</w:t>
      </w:r>
      <w:r>
        <w:rPr>
          <w:rFonts w:eastAsia="Times New Roman" w:cs="Times New Roman"/>
          <w:sz w:val="22"/>
          <w:szCs w:val="22"/>
          <w:lang w:val="en-US" w:bidi="fa-IR"/>
        </w:rPr>
        <w:t>(4), 497–519. https://doi.org/10.1207/s15328007sem1304_1</w:t>
      </w:r>
    </w:p>
    <w:p>
      <w:pPr>
        <w:pStyle w:val="Normal"/>
        <w:spacing w:lineRule="auto" w:line="240" w:before="0" w:after="60"/>
        <w:ind w:hanging="567" w:left="567"/>
        <w:jc w:val="left"/>
        <w:rPr/>
      </w:pPr>
      <w:r>
        <w:rPr>
          <w:rFonts w:eastAsia="Times New Roman" w:cs="Times New Roman"/>
          <w:sz w:val="22"/>
          <w:szCs w:val="22"/>
          <w:lang w:val="en-US" w:bidi="fa-IR"/>
        </w:rPr>
        <w:t xml:space="preserve">Logg, J. M., Minson, J. A., &amp; Moore, D. A. (2019). Algorithm appreciation: People prefer algorithmic to human judgment. </w:t>
      </w:r>
      <w:r>
        <w:rPr>
          <w:rFonts w:eastAsia="Times New Roman" w:cs="Times New Roman"/>
          <w:i/>
          <w:iCs/>
          <w:sz w:val="22"/>
          <w:szCs w:val="22"/>
          <w:lang w:val="en-US" w:bidi="fa-IR"/>
        </w:rPr>
        <w:t>Organizational Behavior and Human Decision Processes, 151</w:t>
      </w:r>
      <w:r>
        <w:rPr>
          <w:rFonts w:eastAsia="Times New Roman" w:cs="Times New Roman"/>
          <w:sz w:val="22"/>
          <w:szCs w:val="22"/>
          <w:lang w:val="en-US" w:bidi="fa-IR"/>
        </w:rPr>
        <w:t>, 90–103. https://doi.org/10.1016/j.obhdp.2018.12.005</w:t>
      </w:r>
    </w:p>
    <w:p>
      <w:pPr>
        <w:pStyle w:val="Normal"/>
        <w:spacing w:lineRule="auto" w:line="240" w:before="0" w:after="60"/>
        <w:ind w:hanging="567" w:left="567"/>
        <w:jc w:val="left"/>
        <w:rPr/>
      </w:pPr>
      <w:r>
        <w:rPr>
          <w:rFonts w:eastAsia="Times New Roman" w:cs="Times New Roman"/>
          <w:sz w:val="22"/>
          <w:szCs w:val="22"/>
          <w:lang w:val="en-US" w:bidi="fa-IR"/>
        </w:rPr>
        <w:t xml:space="preserve">Long, D., &amp; Magerko, B. (2020). What is AI literacy? Competencies and design considerations. </w:t>
      </w:r>
      <w:r>
        <w:rPr>
          <w:rFonts w:eastAsia="Times New Roman" w:cs="Times New Roman"/>
          <w:i/>
          <w:iCs/>
          <w:sz w:val="22"/>
          <w:szCs w:val="22"/>
          <w:lang w:val="en-US" w:bidi="fa-IR"/>
        </w:rPr>
        <w:t>Proceedings of the 2020 CHI Conference on Human Factors in Computing Systems</w:t>
      </w:r>
      <w:r>
        <w:rPr>
          <w:rFonts w:eastAsia="Times New Roman" w:cs="Times New Roman"/>
          <w:sz w:val="22"/>
          <w:szCs w:val="22"/>
          <w:lang w:val="en-US" w:bidi="fa-IR"/>
        </w:rPr>
        <w:t xml:space="preserve"> (pp. 1–16). ACM. https://doi.org/10.1145/3313831.3376727</w:t>
      </w:r>
    </w:p>
    <w:p>
      <w:pPr>
        <w:pStyle w:val="Normal"/>
        <w:spacing w:lineRule="auto" w:line="240" w:before="0" w:after="60"/>
        <w:ind w:hanging="567" w:left="567"/>
        <w:jc w:val="left"/>
        <w:rPr/>
      </w:pPr>
      <w:r>
        <w:rPr>
          <w:rFonts w:eastAsia="Times New Roman" w:cs="Times New Roman"/>
          <w:sz w:val="22"/>
          <w:szCs w:val="22"/>
          <w:lang w:val="en-US" w:bidi="fa-IR"/>
        </w:rPr>
        <w:t xml:space="preserve">Lopez-Lira, A., &amp; Tang, Y. (2023). Can ChatGPT forecast stock price movements? Return predictability and large language models. </w:t>
      </w:r>
      <w:r>
        <w:rPr>
          <w:rFonts w:eastAsia="Times New Roman" w:cs="Times New Roman"/>
          <w:i/>
          <w:iCs/>
          <w:sz w:val="22"/>
          <w:szCs w:val="22"/>
          <w:lang w:val="en-US" w:bidi="fa-IR"/>
        </w:rPr>
        <w:t>SSRN Working Paper</w:t>
      </w:r>
      <w:r>
        <w:rPr>
          <w:rFonts w:eastAsia="Times New Roman" w:cs="Times New Roman"/>
          <w:sz w:val="22"/>
          <w:szCs w:val="22"/>
          <w:lang w:val="en-US" w:bidi="fa-IR"/>
        </w:rPr>
        <w:t>. https://doi.org/10.2139/ssrn.4412788</w:t>
      </w:r>
    </w:p>
    <w:p>
      <w:pPr>
        <w:pStyle w:val="Normal"/>
        <w:spacing w:lineRule="auto" w:line="240" w:before="0" w:after="60"/>
        <w:ind w:hanging="567" w:left="567"/>
        <w:jc w:val="left"/>
        <w:rPr/>
      </w:pPr>
      <w:r>
        <w:rPr>
          <w:rFonts w:eastAsia="Times New Roman" w:cs="Times New Roman"/>
          <w:sz w:val="22"/>
          <w:szCs w:val="22"/>
          <w:lang w:val="en-US" w:bidi="fa-IR"/>
        </w:rPr>
        <w:t xml:space="preserve">Lusardi, A., &amp; Mitchell, O. S. (2014). The economic importance of financial literacy: Theory and evidence. </w:t>
      </w:r>
      <w:r>
        <w:rPr>
          <w:rFonts w:eastAsia="Times New Roman" w:cs="Times New Roman"/>
          <w:i/>
          <w:iCs/>
          <w:sz w:val="22"/>
          <w:szCs w:val="22"/>
          <w:lang w:val="en-US" w:bidi="fa-IR"/>
        </w:rPr>
        <w:t>Journal of Economic Literature, 52</w:t>
      </w:r>
      <w:r>
        <w:rPr>
          <w:rFonts w:eastAsia="Times New Roman" w:cs="Times New Roman"/>
          <w:sz w:val="22"/>
          <w:szCs w:val="22"/>
          <w:lang w:val="en-US" w:bidi="fa-IR"/>
        </w:rPr>
        <w:t>(1), 5–44. https://doi.org/10.1257/jel.52.1.5</w:t>
      </w:r>
    </w:p>
    <w:p>
      <w:pPr>
        <w:pStyle w:val="Normal"/>
        <w:spacing w:lineRule="auto" w:line="240" w:before="0" w:after="60"/>
        <w:ind w:hanging="567" w:left="567"/>
        <w:jc w:val="left"/>
        <w:rPr/>
      </w:pPr>
      <w:r>
        <w:rPr>
          <w:rFonts w:eastAsia="Times New Roman" w:cs="Times New Roman"/>
          <w:sz w:val="22"/>
          <w:szCs w:val="22"/>
          <w:lang w:val="en-US" w:bidi="fa-IR"/>
        </w:rPr>
        <w:t xml:space="preserve">MacCallum, R. C., Browne, M. W., &amp; Sugawara, H. M. (1996). Power analysis and determination of sample size for covariance structure modeling. </w:t>
      </w:r>
      <w:r>
        <w:rPr>
          <w:rFonts w:eastAsia="Times New Roman" w:cs="Times New Roman"/>
          <w:i/>
          <w:iCs/>
          <w:sz w:val="22"/>
          <w:szCs w:val="22"/>
          <w:lang w:val="en-US" w:bidi="fa-IR"/>
        </w:rPr>
        <w:t>Psychological Methods, 1</w:t>
      </w:r>
      <w:r>
        <w:rPr>
          <w:rFonts w:eastAsia="Times New Roman" w:cs="Times New Roman"/>
          <w:sz w:val="22"/>
          <w:szCs w:val="22"/>
          <w:lang w:val="en-US" w:bidi="fa-IR"/>
        </w:rPr>
        <w:t>(2), 130–149. https://doi.org/10.1037/1082-989X.1.2.130</w:t>
      </w:r>
    </w:p>
    <w:p>
      <w:pPr>
        <w:pStyle w:val="Normal"/>
        <w:spacing w:lineRule="auto" w:line="240" w:before="0" w:after="60"/>
        <w:ind w:hanging="567" w:left="567"/>
        <w:jc w:val="left"/>
        <w:rPr/>
      </w:pPr>
      <w:r>
        <w:rPr>
          <w:rFonts w:eastAsia="Times New Roman" w:cs="Times New Roman"/>
          <w:sz w:val="22"/>
          <w:szCs w:val="22"/>
          <w:lang w:val="en-US" w:bidi="fa-IR"/>
        </w:rPr>
        <w:t xml:space="preserve">Marsh, H. W., Wen, Z., &amp; Hau, K.-T. (2004). Structural equation models of latent interactions: Evaluation of alternative estimation strategies and indicator construction. </w:t>
      </w:r>
      <w:r>
        <w:rPr>
          <w:rFonts w:eastAsia="Times New Roman" w:cs="Times New Roman"/>
          <w:i/>
          <w:iCs/>
          <w:sz w:val="22"/>
          <w:szCs w:val="22"/>
          <w:lang w:val="en-US" w:bidi="fa-IR"/>
        </w:rPr>
        <w:t>Psychological Methods, 9</w:t>
      </w:r>
      <w:r>
        <w:rPr>
          <w:rFonts w:eastAsia="Times New Roman" w:cs="Times New Roman"/>
          <w:sz w:val="22"/>
          <w:szCs w:val="22"/>
          <w:lang w:val="en-US" w:bidi="fa-IR"/>
        </w:rPr>
        <w:t>(3), 275–300. https://doi.org/10.1037/1082-989X.9.3.275</w:t>
      </w:r>
    </w:p>
    <w:p>
      <w:pPr>
        <w:pStyle w:val="Normal"/>
        <w:spacing w:lineRule="auto" w:line="240" w:before="0" w:after="60"/>
        <w:ind w:hanging="567" w:left="567"/>
        <w:jc w:val="left"/>
        <w:rPr/>
      </w:pPr>
      <w:r>
        <w:rPr>
          <w:rFonts w:eastAsia="Times New Roman" w:cs="Times New Roman"/>
          <w:sz w:val="22"/>
          <w:szCs w:val="22"/>
          <w:lang w:val="en-US" w:bidi="fa-IR"/>
        </w:rPr>
        <w:t xml:space="preserve">Messeri, L., &amp; Crockett, M. J. (2024). Artificial intelligence and illusions of understanding in scientific research. </w:t>
      </w:r>
      <w:r>
        <w:rPr>
          <w:rFonts w:eastAsia="Times New Roman" w:cs="Times New Roman"/>
          <w:i/>
          <w:iCs/>
          <w:sz w:val="22"/>
          <w:szCs w:val="22"/>
          <w:lang w:val="en-US" w:bidi="fa-IR"/>
        </w:rPr>
        <w:t>Nature, 627</w:t>
      </w:r>
      <w:r>
        <w:rPr>
          <w:rFonts w:eastAsia="Times New Roman" w:cs="Times New Roman"/>
          <w:sz w:val="22"/>
          <w:szCs w:val="22"/>
          <w:lang w:val="en-US" w:bidi="fa-IR"/>
        </w:rPr>
        <w:t>(8002), 49–58. https://doi.org/10.1038/s41586-024-07146-0</w:t>
      </w:r>
    </w:p>
    <w:p>
      <w:pPr>
        <w:pStyle w:val="Normal"/>
        <w:spacing w:lineRule="auto" w:line="240" w:before="0" w:after="60"/>
        <w:ind w:hanging="567" w:left="567"/>
        <w:jc w:val="left"/>
        <w:rPr/>
      </w:pPr>
      <w:r>
        <w:rPr>
          <w:rFonts w:eastAsia="Times New Roman" w:cs="Times New Roman"/>
          <w:sz w:val="22"/>
          <w:szCs w:val="22"/>
          <w:lang w:val="en-US" w:bidi="fa-IR"/>
        </w:rPr>
        <w:t xml:space="preserve">Moore, D. A., &amp; Healy, P. J. (2008). The trouble with overconfidence. </w:t>
      </w:r>
      <w:r>
        <w:rPr>
          <w:rFonts w:eastAsia="Times New Roman" w:cs="Times New Roman"/>
          <w:i/>
          <w:iCs/>
          <w:sz w:val="22"/>
          <w:szCs w:val="22"/>
          <w:lang w:val="en-US" w:bidi="fa-IR"/>
        </w:rPr>
        <w:t>Psychological Review, 115</w:t>
      </w:r>
      <w:r>
        <w:rPr>
          <w:rFonts w:eastAsia="Times New Roman" w:cs="Times New Roman"/>
          <w:sz w:val="22"/>
          <w:szCs w:val="22"/>
          <w:lang w:val="en-US" w:bidi="fa-IR"/>
        </w:rPr>
        <w:t>(2), 502–517. https://doi.org/10.1037/0033-295X.115.2.502</w:t>
      </w:r>
    </w:p>
    <w:p>
      <w:pPr>
        <w:pStyle w:val="Normal"/>
        <w:spacing w:lineRule="auto" w:line="240" w:before="0" w:after="60"/>
        <w:ind w:hanging="567" w:left="567"/>
        <w:jc w:val="left"/>
        <w:rPr/>
      </w:pPr>
      <w:r>
        <w:rPr>
          <w:rFonts w:eastAsia="Times New Roman" w:cs="Times New Roman"/>
          <w:sz w:val="22"/>
          <w:szCs w:val="22"/>
          <w:lang w:val="en-US" w:bidi="fa-IR"/>
        </w:rPr>
        <w:t xml:space="preserve">Ng, D. T. K., Leung, J. K. L., Chu, S. K. W., &amp; Qiao, M. S. (2021). Conceptualizing AI literacy: An exploratory review. </w:t>
      </w:r>
      <w:r>
        <w:rPr>
          <w:rFonts w:eastAsia="Times New Roman" w:cs="Times New Roman"/>
          <w:i/>
          <w:iCs/>
          <w:sz w:val="22"/>
          <w:szCs w:val="22"/>
          <w:lang w:val="en-US" w:bidi="fa-IR"/>
        </w:rPr>
        <w:t>Computers and Education: Artificial Intelligence, 2</w:t>
      </w:r>
      <w:r>
        <w:rPr>
          <w:rFonts w:eastAsia="Times New Roman" w:cs="Times New Roman"/>
          <w:sz w:val="22"/>
          <w:szCs w:val="22"/>
          <w:lang w:val="en-US" w:bidi="fa-IR"/>
        </w:rPr>
        <w:t>, 100041. https://doi.org/10.1016/j.caeai.2021.100041</w:t>
      </w:r>
    </w:p>
    <w:p>
      <w:pPr>
        <w:pStyle w:val="Normal"/>
        <w:spacing w:lineRule="auto" w:line="240" w:before="0" w:after="60"/>
        <w:ind w:hanging="567" w:left="567"/>
        <w:jc w:val="left"/>
        <w:rPr/>
      </w:pPr>
      <w:r>
        <w:rPr>
          <w:rFonts w:eastAsia="Times New Roman" w:cs="Times New Roman"/>
          <w:sz w:val="22"/>
          <w:szCs w:val="22"/>
          <w:lang w:val="en-US" w:bidi="fa-IR"/>
        </w:rPr>
        <w:t xml:space="preserve">Parasuraman, R., &amp; Manzey, D. H. (2010). Complacency and bias in human use of automation: An attentional integration. </w:t>
      </w:r>
      <w:r>
        <w:rPr>
          <w:rFonts w:eastAsia="Times New Roman" w:cs="Times New Roman"/>
          <w:i/>
          <w:iCs/>
          <w:sz w:val="22"/>
          <w:szCs w:val="22"/>
          <w:lang w:val="en-US" w:bidi="fa-IR"/>
        </w:rPr>
        <w:t>Human Factors, 52</w:t>
      </w:r>
      <w:r>
        <w:rPr>
          <w:rFonts w:eastAsia="Times New Roman" w:cs="Times New Roman"/>
          <w:sz w:val="22"/>
          <w:szCs w:val="22"/>
          <w:lang w:val="en-US" w:bidi="fa-IR"/>
        </w:rPr>
        <w:t>(3), 381–410. https://doi.org/10.1177/0018720810376055</w:t>
      </w:r>
    </w:p>
    <w:p>
      <w:pPr>
        <w:pStyle w:val="Normal"/>
        <w:spacing w:lineRule="auto" w:line="240" w:before="0" w:after="60"/>
        <w:ind w:hanging="567" w:left="567"/>
        <w:jc w:val="left"/>
        <w:rPr/>
      </w:pPr>
      <w:r>
        <w:rPr>
          <w:rFonts w:eastAsia="Times New Roman" w:cs="Times New Roman"/>
          <w:sz w:val="22"/>
          <w:szCs w:val="22"/>
          <w:lang w:val="en-US" w:bidi="fa-IR"/>
        </w:rPr>
        <w:t xml:space="preserve">Parker, A. M., &amp; Fischhoff, B. (2005). Decision-making competence: External validation through an individual-differences approach. </w:t>
      </w:r>
      <w:r>
        <w:rPr>
          <w:rFonts w:eastAsia="Times New Roman" w:cs="Times New Roman"/>
          <w:i/>
          <w:iCs/>
          <w:sz w:val="22"/>
          <w:szCs w:val="22"/>
          <w:lang w:val="en-US" w:bidi="fa-IR"/>
        </w:rPr>
        <w:t>Journal of Behavioral Decision Making, 18</w:t>
      </w:r>
      <w:r>
        <w:rPr>
          <w:rFonts w:eastAsia="Times New Roman" w:cs="Times New Roman"/>
          <w:sz w:val="22"/>
          <w:szCs w:val="22"/>
          <w:lang w:val="en-US" w:bidi="fa-IR"/>
        </w:rPr>
        <w:t>(1), 1–27. https://doi.org/10.1002/bdm.481</w:t>
      </w:r>
    </w:p>
    <w:p>
      <w:pPr>
        <w:pStyle w:val="Normal"/>
        <w:spacing w:lineRule="auto" w:line="240" w:before="0" w:after="60"/>
        <w:ind w:hanging="567" w:left="567"/>
        <w:jc w:val="left"/>
        <w:rPr/>
      </w:pPr>
      <w:r>
        <w:rPr>
          <w:rFonts w:eastAsia="Times New Roman" w:cs="Times New Roman"/>
          <w:sz w:val="22"/>
          <w:szCs w:val="22"/>
          <w:lang w:val="en-US" w:bidi="fa-IR"/>
        </w:rPr>
        <w:t xml:space="preserve">Podsakoff, P. M., MacKenzie, S. B., Lee, J.-Y., &amp; Podsakoff, N. P. (2003). Common method biases in behavioral research: A critical review of the literature and recommended remedies. </w:t>
      </w:r>
      <w:r>
        <w:rPr>
          <w:rFonts w:eastAsia="Times New Roman" w:cs="Times New Roman"/>
          <w:i/>
          <w:iCs/>
          <w:sz w:val="22"/>
          <w:szCs w:val="22"/>
          <w:lang w:val="en-US" w:bidi="fa-IR"/>
        </w:rPr>
        <w:t>Journal of Applied Psychology, 88</w:t>
      </w:r>
      <w:r>
        <w:rPr>
          <w:rFonts w:eastAsia="Times New Roman" w:cs="Times New Roman"/>
          <w:sz w:val="22"/>
          <w:szCs w:val="22"/>
          <w:lang w:val="en-US" w:bidi="fa-IR"/>
        </w:rPr>
        <w:t>(5), 879–903. https://doi.org/10.1037/0021-9010.88.5.879</w:t>
      </w:r>
    </w:p>
    <w:p>
      <w:pPr>
        <w:pStyle w:val="Normal"/>
        <w:spacing w:lineRule="auto" w:line="240" w:before="0" w:after="60"/>
        <w:ind w:hanging="567" w:left="567"/>
        <w:jc w:val="left"/>
        <w:rPr/>
      </w:pPr>
      <w:r>
        <w:rPr>
          <w:rFonts w:eastAsia="Times New Roman" w:cs="Times New Roman"/>
          <w:sz w:val="22"/>
          <w:szCs w:val="22"/>
          <w:lang w:val="en-US" w:bidi="fa-IR"/>
        </w:rPr>
        <w:t xml:space="preserve">Preacher, K. J., &amp; Hayes, A. F. (2008). Asymptotic and resampling strategies for assessing and comparing indirect effects in multiple mediator models. </w:t>
      </w:r>
      <w:r>
        <w:rPr>
          <w:rFonts w:eastAsia="Times New Roman" w:cs="Times New Roman"/>
          <w:i/>
          <w:iCs/>
          <w:sz w:val="22"/>
          <w:szCs w:val="22"/>
          <w:lang w:val="en-US" w:bidi="fa-IR"/>
        </w:rPr>
        <w:t>Behavior Research Methods, 40</w:t>
      </w:r>
      <w:r>
        <w:rPr>
          <w:rFonts w:eastAsia="Times New Roman" w:cs="Times New Roman"/>
          <w:sz w:val="22"/>
          <w:szCs w:val="22"/>
          <w:lang w:val="en-US" w:bidi="fa-IR"/>
        </w:rPr>
        <w:t>(3), 879–891. https://doi.org/10.3758/BRM.40.3.879</w:t>
      </w:r>
    </w:p>
    <w:p>
      <w:pPr>
        <w:pStyle w:val="Normal"/>
        <w:spacing w:lineRule="auto" w:line="240" w:before="0" w:after="60"/>
        <w:ind w:hanging="567" w:left="567"/>
        <w:jc w:val="left"/>
        <w:rPr/>
      </w:pPr>
      <w:r>
        <w:rPr>
          <w:rFonts w:eastAsia="Times New Roman" w:cs="Times New Roman"/>
          <w:sz w:val="22"/>
          <w:szCs w:val="22"/>
          <w:lang w:val="en-US" w:bidi="fa-IR"/>
        </w:rPr>
        <w:t xml:space="preserve">Skitka, L. J., Mosier, K. L., &amp; Burdick, M. (1999). Does automation bias decision-making? </w:t>
      </w:r>
      <w:r>
        <w:rPr>
          <w:rFonts w:eastAsia="Times New Roman" w:cs="Times New Roman"/>
          <w:i/>
          <w:iCs/>
          <w:sz w:val="22"/>
          <w:szCs w:val="22"/>
          <w:lang w:val="en-US" w:bidi="fa-IR"/>
        </w:rPr>
        <w:t>International Journal of Human-Computer Studies, 51</w:t>
      </w:r>
      <w:r>
        <w:rPr>
          <w:rFonts w:eastAsia="Times New Roman" w:cs="Times New Roman"/>
          <w:sz w:val="22"/>
          <w:szCs w:val="22"/>
          <w:lang w:val="en-US" w:bidi="fa-IR"/>
        </w:rPr>
        <w:t>(5), 991–1006. https://doi.org/10.1006/ijhc.1999.0252</w:t>
      </w:r>
    </w:p>
    <w:p>
      <w:pPr>
        <w:pStyle w:val="Normal"/>
        <w:spacing w:lineRule="auto" w:line="240" w:before="0" w:after="60"/>
        <w:ind w:hanging="567" w:left="567"/>
        <w:jc w:val="left"/>
        <w:rPr/>
      </w:pPr>
      <w:r>
        <w:rPr>
          <w:rFonts w:eastAsia="Times New Roman" w:cs="Times New Roman"/>
          <w:sz w:val="22"/>
          <w:szCs w:val="22"/>
          <w:lang w:val="en-US" w:bidi="fa-IR"/>
        </w:rPr>
        <w:t xml:space="preserve">Van Rooij, M., Lusardi, A., &amp; Alessie, R. (2011). Financial literacy and stock market participation. </w:t>
      </w:r>
      <w:r>
        <w:rPr>
          <w:rFonts w:eastAsia="Times New Roman" w:cs="Times New Roman"/>
          <w:i/>
          <w:iCs/>
          <w:sz w:val="22"/>
          <w:szCs w:val="22"/>
          <w:lang w:val="en-US" w:bidi="fa-IR"/>
        </w:rPr>
        <w:t>Journal of Financial Economics, 101</w:t>
      </w:r>
      <w:r>
        <w:rPr>
          <w:rFonts w:eastAsia="Times New Roman" w:cs="Times New Roman"/>
          <w:sz w:val="22"/>
          <w:szCs w:val="22"/>
          <w:lang w:val="en-US" w:bidi="fa-IR"/>
        </w:rPr>
        <w:t>(2), 449–472. https://doi.org/10.1016/j.jfineco.2011.03.006</w:t>
      </w:r>
    </w:p>
    <w:p>
      <w:pPr>
        <w:pStyle w:val="Normal"/>
        <w:spacing w:lineRule="auto" w:line="240" w:before="0" w:after="60"/>
        <w:ind w:hanging="567" w:left="567"/>
        <w:jc w:val="left"/>
        <w:rPr/>
      </w:pPr>
      <w:r>
        <w:rPr>
          <w:rFonts w:eastAsia="Times New Roman" w:cs="Times New Roman"/>
          <w:sz w:val="22"/>
          <w:szCs w:val="22"/>
          <w:lang w:val="en-US" w:bidi="fa-IR"/>
        </w:rPr>
        <w:t xml:space="preserve">Wang, B., Rau, P.-L. P., &amp; Yuan, T. (2023). Measuring user competence in using artificial intelligence: Validity and reliability of artificial intelligence literacy scale. </w:t>
      </w:r>
      <w:r>
        <w:rPr>
          <w:rFonts w:eastAsia="Times New Roman" w:cs="Times New Roman"/>
          <w:i/>
          <w:iCs/>
          <w:sz w:val="22"/>
          <w:szCs w:val="22"/>
          <w:lang w:val="en-US" w:bidi="fa-IR"/>
        </w:rPr>
        <w:t>Behaviour &amp; Information Technology, 42</w:t>
      </w:r>
      <w:r>
        <w:rPr>
          <w:rFonts w:eastAsia="Times New Roman" w:cs="Times New Roman"/>
          <w:sz w:val="22"/>
          <w:szCs w:val="22"/>
          <w:lang w:val="en-US" w:bidi="fa-IR"/>
        </w:rPr>
        <w:t>(9), 1324–1337. https://doi.org/10.1080/0144929X.2022.2072768</w:t>
      </w:r>
    </w:p>
    <w:p>
      <w:pPr>
        <w:pStyle w:val="Normal"/>
        <w:rPr/>
      </w:pPr>
      <w:r>
        <w:rPr/>
      </w:r>
      <w:r>
        <w:br w:type="page"/>
      </w:r>
    </w:p>
    <w:p>
      <w:pPr>
        <w:pStyle w:val="Normal"/>
        <w:keepNext w:val="true"/>
        <w:spacing w:lineRule="auto" w:line="276" w:before="0" w:after="80"/>
        <w:jc w:val="left"/>
        <w:rPr/>
      </w:pPr>
      <w:r>
        <w:rPr>
          <w:rFonts w:eastAsia="Times New Roman" w:cs="Times New Roman"/>
          <w:b/>
          <w:bCs/>
          <w:sz w:val="26"/>
          <w:szCs w:val="26"/>
          <w:lang w:val="en-US" w:bidi="fa-IR"/>
        </w:rPr>
        <w:t>Appendix A. Instrument, origin of each scale and standardized loadings</w:t>
      </w:r>
    </w:p>
    <w:p>
      <w:pPr>
        <w:pStyle w:val="Normal"/>
        <w:spacing w:lineRule="auto" w:line="276" w:before="0" w:after="80"/>
        <w:jc w:val="both"/>
        <w:rPr/>
      </w:pPr>
      <w:r>
        <w:rPr>
          <w:rFonts w:eastAsia="Times New Roman" w:cs="Times New Roman"/>
          <w:sz w:val="24"/>
          <w:szCs w:val="24"/>
          <w:lang w:val="en-US" w:bidi="fa-IR"/>
        </w:rPr>
        <w:t xml:space="preserve">Origin: </w:t>
      </w:r>
      <w:r>
        <w:rPr>
          <w:rFonts w:eastAsia="Times New Roman" w:cs="Times New Roman"/>
          <w:b/>
          <w:bCs/>
          <w:sz w:val="24"/>
          <w:szCs w:val="24"/>
          <w:lang w:val="en-US" w:bidi="fa-IR"/>
        </w:rPr>
        <w:t>R-B</w:t>
      </w:r>
      <w:r>
        <w:rPr>
          <w:rFonts w:eastAsia="Times New Roman" w:cs="Times New Roman"/>
          <w:sz w:val="24"/>
          <w:szCs w:val="24"/>
          <w:lang w:val="en-US" w:bidi="fa-IR"/>
        </w:rPr>
        <w:t xml:space="preserve"> = research-based (adapted); </w:t>
      </w:r>
      <w:r>
        <w:rPr>
          <w:rFonts w:eastAsia="Times New Roman" w:cs="Times New Roman"/>
          <w:b/>
          <w:bCs/>
          <w:sz w:val="24"/>
          <w:szCs w:val="24"/>
          <w:lang w:val="en-US" w:bidi="fa-IR"/>
        </w:rPr>
        <w:t>R-M</w:t>
      </w:r>
      <w:r>
        <w:rPr>
          <w:rFonts w:eastAsia="Times New Roman" w:cs="Times New Roman"/>
          <w:sz w:val="24"/>
          <w:szCs w:val="24"/>
          <w:lang w:val="en-US" w:bidi="fa-IR"/>
        </w:rPr>
        <w:t xml:space="preserve"> = researcher-made, theory-derived; </w:t>
      </w:r>
      <w:r>
        <w:rPr>
          <w:rFonts w:eastAsia="Times New Roman" w:cs="Times New Roman"/>
          <w:b/>
          <w:bCs/>
          <w:sz w:val="24"/>
          <w:szCs w:val="24"/>
          <w:lang w:val="en-US" w:bidi="fa-IR"/>
        </w:rPr>
        <w:t>Mixed</w:t>
      </w:r>
      <w:r>
        <w:rPr>
          <w:rFonts w:eastAsia="Times New Roman" w:cs="Times New Roman"/>
          <w:sz w:val="24"/>
          <w:szCs w:val="24"/>
          <w:lang w:val="en-US" w:bidi="fa-IR"/>
        </w:rPr>
        <w:t xml:space="preserve"> = both. Loadings are from the measurement model (Table 2 of the replication files). The full questionnaire with all references per variable, scoring and a Persian version are provided separately.</w:t>
      </w:r>
    </w:p>
    <w:p>
      <w:pPr>
        <w:pStyle w:val="Normal"/>
        <w:keepNext w:val="true"/>
        <w:spacing w:lineRule="auto" w:line="276" w:before="140" w:after="60"/>
        <w:jc w:val="left"/>
        <w:rPr/>
      </w:pPr>
      <w:r>
        <w:rPr>
          <w:rFonts w:eastAsia="Times New Roman" w:cs="Times New Roman"/>
          <w:b/>
          <w:bCs/>
          <w:sz w:val="22"/>
          <w:szCs w:val="22"/>
          <w:lang w:val="en-US" w:bidi="fa-IR"/>
        </w:rPr>
        <w:t>Generative-AI use for investing (GUI) – origin: R-M; sources: Venkatesh</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GUI1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use generative-AI tools (e.g., ChatGPT, Gemini, Copilot, DeepSeek) to analyse stocks or other investment options.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0.84</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GUI2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Generative AI supplies a substantial share of the information I need for my investment decisions.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0.81</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GUI3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Before buying or selling a stock I usually ask a generative-AI tool for its view.</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0.75</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GUI4</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Using generative AI has become part of my routine investment analysis.</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0.70</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Objective financial/accounting knowledge test (8 items, scored 0/1) (FK) – origin: Mixed; sources: Lusardi, Van Rooij</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Your deposit earns 20% per year and inflation is 35% per year. After one year, the purchasing power of the deposit will: (a) increase (b) decrease* (c) stay the same (d) don't know</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'Buying the shares of a single company is usually less risky than buying a diversified fund.' True / False* / Don't know</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Share price 2,000 and earnings per share 200. The P/E ratio is: (a) 0.1 (b) 10* (c) 20 (d) 400,000</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FK4</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Net income 500 bn and 500 m shares outstanding. EPS is: (a) 1 (b) 100 (c) 1,000* (d) 10,000 (currency units)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FK5</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 xml:space="preserve">'Accounting profit always equals operating cash flow.' True / False* </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FK6</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'An unqualified audit opinion guarantees the firm's future profitability.' True / False*</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FK7</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'An investment with a higher expected return usually carries higher risk.' True* / False</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FK8</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100 m invested at a fixed 10% p.a. grows after two years to: (a) 110 (b) 120 (c) 121* (d) 100</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Calibration gap (overestimation): predicted minus actual test score (CG) – origin: R-B; sources: Kruger, Moore, Ehrlinger</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C1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How many of the 8 questions above do you think you answered correctly? (0–8)</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C2</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Compared with 100 other active investors, what is your rank in financial knowledge? (1 = lowest, 100 = highest)</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Perceived competence with AI (the 'illusion' facet) (PCA) – origin: R-M; sources: Moore, Barber, Grinblatt, Glaser</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PCA1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With the help of AI, my analysis of the stock market is better than that of most other investors.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0.82</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PCA2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With AI, I am confident that my price-trend forecasts will turn out correct.</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0.81</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PCA3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With AI, I feel I understand financial statements better than before.</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0.72</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PCA4</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With AI, I no longer need much help from a financial professional.</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0.64</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Uncritical reliance on AI output (automation-bias tendency) (UR) – origin: R-M; sources: Parasuraman, Goddard, Skitka, Lee, Jian, Dietvorst, Logg</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UR1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usually accept an AI answer without checking it again.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0.75</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UR2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If the AI's view differs from my own analysis, I tend to trust the AI.</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0.80</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UR3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Because AI summarises for me, I read financial statements directly less often.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0.71</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UR4</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 find fluent, confident AI answers more correct than hesitant ones.</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0.70</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Verification behaviour (calibrated reliance) (VER) – origin: R-M; sources: Lee, Hoff, Pennycook, Ji</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VER1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compare numbers and claims from AI with official filings or financial statements.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0.77</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VER2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confirm AI answers with at least one independent source.</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0.78</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VER3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ask the tool for its sources and actually check them.</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0.68</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VER4</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 redo important calculations myself.</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0.70</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AI literacy (AIL) – origin: R-B; sources: Wang, Ng, Long</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AIL1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know that generative AI can produce wrong but convincing information.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0.81</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AIL2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know these tools are trained on dated data and may be unaware of current market information.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0.79</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AIL3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can phrase a question so that I get a more accurate answer.</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0.72</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AIL4</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can evaluate the quality of an AI tool's answer.</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0.71</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AIL5</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know AI may be biased or use incomplete information.</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0.68</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AIL6</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 know when I should not rely on AI for a financial decision.</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0.68</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Investment decision quality (IDQ) – origin: Mixed; sources: Parker, Bruine de Bruin</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IDQ1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My investment decisions are usually based on documented analysis.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0.78</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IDQ2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I am satisfied with the outcome of my investment decisions over the past year.</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0.79</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IDQ3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My portfolio return over the past year matched my expectations.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0.69</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IDQ4</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My decisions are aligned with my long-term financial goals.</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0.65</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IDQ5</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I rarely regret my trading decisions.</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0.65</w:t>
            </w:r>
          </w:p>
        </w:tc>
      </w:tr>
    </w:tbl>
    <w:p>
      <w:pPr>
        <w:pStyle w:val="Normal"/>
        <w:spacing w:lineRule="auto" w:line="276" w:before="0" w:after="100"/>
        <w:ind w:firstLine="425"/>
        <w:jc w:val="both"/>
        <w:rPr/>
      </w:pPr>
      <w:r>
        <w:rPr/>
      </w:r>
    </w:p>
    <w:p>
      <w:pPr>
        <w:pStyle w:val="Normal"/>
        <w:keepNext w:val="true"/>
        <w:spacing w:lineRule="auto" w:line="276" w:before="140" w:after="60"/>
        <w:jc w:val="left"/>
        <w:rPr/>
      </w:pPr>
      <w:r>
        <w:rPr>
          <w:rFonts w:eastAsia="Times New Roman" w:cs="Times New Roman"/>
          <w:b/>
          <w:bCs/>
          <w:sz w:val="22"/>
          <w:szCs w:val="22"/>
          <w:lang w:val="en-US" w:bidi="fa-IR"/>
        </w:rPr>
        <w:t>Vignette task: acceptance of incorrect AI advice (behavioural criterion) (VIG) – origin: R-M; sources: Dietvorst, Logg, D'Acunto</w:t>
      </w:r>
    </w:p>
    <w:tbl>
      <w:tblPr>
        <w:tblW w:w="9100" w:type="dxa"/>
        <w:jc w:val="center"/>
        <w:tblInd w:w="0" w:type="dxa"/>
        <w:tblLayout w:type="fixed"/>
        <w:tblCellMar>
          <w:top w:w="0" w:type="dxa"/>
          <w:left w:w="60" w:type="dxa"/>
          <w:bottom w:w="0" w:type="dxa"/>
          <w:right w:w="60" w:type="dxa"/>
        </w:tblCellMar>
      </w:tblPr>
      <w:tblGrid>
        <w:gridCol w:w="799"/>
        <w:gridCol w:w="7501"/>
        <w:gridCol w:w="800"/>
      </w:tblGrid>
      <w:tr>
        <w:trPr>
          <w:tblHeader w:val="true"/>
        </w:trPr>
        <w:tc>
          <w:tcPr>
            <w:tcW w:w="799" w:type="dxa"/>
            <w:tcBorders>
              <w:top w:val="single" w:sz="8" w:space="0" w:color="000000"/>
              <w:bottom w:val="single" w:sz="8" w:space="0" w:color="000000"/>
            </w:tcBorders>
            <w:vAlign w:val="center"/>
          </w:tcPr>
          <w:p>
            <w:pPr>
              <w:pStyle w:val="Normal"/>
              <w:spacing w:lineRule="auto" w:line="240" w:before="30" w:after="30"/>
              <w:jc w:val="left"/>
              <w:rPr/>
            </w:pPr>
            <w:r>
              <w:rPr>
                <w:rFonts w:eastAsia="Times New Roman" w:cs="Times New Roman"/>
                <w:b/>
                <w:bCs/>
                <w:sz w:val="18"/>
                <w:szCs w:val="18"/>
                <w:lang w:val="en-US" w:bidi="fa-IR"/>
              </w:rPr>
              <w:t>Code</w:t>
            </w:r>
          </w:p>
        </w:tc>
        <w:tc>
          <w:tcPr>
            <w:tcW w:w="7501"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Item</w:t>
            </w:r>
          </w:p>
        </w:tc>
        <w:tc>
          <w:tcPr>
            <w:tcW w:w="800" w:type="dxa"/>
            <w:tcBorders>
              <w:top w:val="single" w:sz="8" w:space="0" w:color="000000"/>
              <w:bottom w:val="single" w:sz="8" w:space="0" w:color="000000"/>
            </w:tcBorders>
            <w:vAlign w:val="center"/>
          </w:tcPr>
          <w:p>
            <w:pPr>
              <w:pStyle w:val="Normal"/>
              <w:spacing w:lineRule="auto" w:line="240" w:before="30" w:after="30"/>
              <w:jc w:val="center"/>
              <w:rPr/>
            </w:pPr>
            <w:r>
              <w:rPr>
                <w:rFonts w:eastAsia="Times New Roman" w:cs="Times New Roman"/>
                <w:b/>
                <w:bCs/>
                <w:sz w:val="18"/>
                <w:szCs w:val="18"/>
                <w:lang w:val="en-US" w:bidi="fa-IR"/>
              </w:rPr>
              <w:t>λ</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V1</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AI says: 'Firm A has price 1,000 and EPS 200, so P/E = 20 — it is cheap.' (incorrect: P/E = 5)</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V2</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AI says: 'High accounting profit is not necessarily strong cash flow; check operating cash flow too.' (correct)</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vAlign w:val="center"/>
          </w:tcPr>
          <w:p>
            <w:pPr>
              <w:pStyle w:val="Normal"/>
              <w:spacing w:lineRule="auto" w:line="240" w:before="30" w:after="30"/>
              <w:jc w:val="left"/>
              <w:rPr/>
            </w:pPr>
            <w:r>
              <w:rPr>
                <w:rFonts w:eastAsia="Times New Roman" w:cs="Times New Roman"/>
                <w:sz w:val="18"/>
                <w:szCs w:val="18"/>
                <w:lang w:val="en-US" w:bidi="fa-IR"/>
              </w:rPr>
              <w:t>V3</w:t>
            </w:r>
          </w:p>
        </w:tc>
        <w:tc>
          <w:tcPr>
            <w:tcW w:w="7501" w:type="dxa"/>
            <w:tcBorders/>
            <w:vAlign w:val="center"/>
          </w:tcPr>
          <w:p>
            <w:pPr>
              <w:pStyle w:val="Normal"/>
              <w:spacing w:lineRule="auto" w:line="240" w:before="30" w:after="30"/>
              <w:jc w:val="center"/>
              <w:rPr/>
            </w:pPr>
            <w:r>
              <w:rPr>
                <w:rFonts w:eastAsia="Times New Roman" w:cs="Times New Roman"/>
                <w:sz w:val="18"/>
                <w:szCs w:val="18"/>
                <w:lang w:val="en-US" w:bidi="fa-IR"/>
              </w:rPr>
              <w:t>AI says: 'An unqualified audit opinion means the share will rise over the next six months.' (incorrect)</w:t>
            </w:r>
          </w:p>
        </w:tc>
        <w:tc>
          <w:tcPr>
            <w:tcW w:w="800" w:type="dxa"/>
            <w:tcBorders/>
            <w:vAlign w:val="center"/>
          </w:tcPr>
          <w:p>
            <w:pPr>
              <w:pStyle w:val="Normal"/>
              <w:spacing w:lineRule="auto" w:line="240" w:before="30" w:after="30"/>
              <w:jc w:val="center"/>
              <w:rPr/>
            </w:pPr>
            <w:r>
              <w:rPr>
                <w:rFonts w:eastAsia="Times New Roman" w:cs="Times New Roman"/>
                <w:sz w:val="18"/>
                <w:szCs w:val="18"/>
                <w:lang w:val="en-US" w:bidi="fa-IR"/>
              </w:rPr>
              <w:t>–</w:t>
            </w:r>
          </w:p>
        </w:tc>
      </w:tr>
      <w:tr>
        <w:trPr>
          <w:cantSplit w:val="true"/>
        </w:trPr>
        <w:tc>
          <w:tcPr>
            <w:tcW w:w="799" w:type="dxa"/>
            <w:tcBorders>
              <w:bottom w:val="single" w:sz="8" w:space="0" w:color="000000"/>
            </w:tcBorders>
            <w:vAlign w:val="center"/>
          </w:tcPr>
          <w:p>
            <w:pPr>
              <w:pStyle w:val="Normal"/>
              <w:spacing w:lineRule="auto" w:line="240" w:before="30" w:after="30"/>
              <w:jc w:val="left"/>
              <w:rPr/>
            </w:pPr>
            <w:r>
              <w:rPr>
                <w:rFonts w:eastAsia="Times New Roman" w:cs="Times New Roman"/>
                <w:sz w:val="18"/>
                <w:szCs w:val="18"/>
                <w:lang w:val="en-US" w:bidi="fa-IR"/>
              </w:rPr>
              <w:t>V4</w:t>
            </w:r>
          </w:p>
        </w:tc>
        <w:tc>
          <w:tcPr>
            <w:tcW w:w="7501"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AI says: 'Diversification reduces firm-specific risk but cannot remove systematic risk.' (correct)</w:t>
            </w:r>
          </w:p>
        </w:tc>
        <w:tc>
          <w:tcPr>
            <w:tcW w:w="800" w:type="dxa"/>
            <w:tcBorders>
              <w:bottom w:val="single" w:sz="8" w:space="0" w:color="000000"/>
            </w:tcBorders>
            <w:vAlign w:val="center"/>
          </w:tcPr>
          <w:p>
            <w:pPr>
              <w:pStyle w:val="Normal"/>
              <w:spacing w:lineRule="auto" w:line="240" w:before="30" w:after="30"/>
              <w:jc w:val="center"/>
              <w:rPr/>
            </w:pPr>
            <w:r>
              <w:rPr>
                <w:rFonts w:eastAsia="Times New Roman" w:cs="Times New Roman"/>
                <w:sz w:val="18"/>
                <w:szCs w:val="18"/>
                <w:lang w:val="en-US" w:bidi="fa-IR"/>
              </w:rPr>
              <w:t>–</w:t>
            </w:r>
          </w:p>
        </w:tc>
      </w:tr>
    </w:tbl>
    <w:p>
      <w:pPr>
        <w:pStyle w:val="Normal"/>
        <w:spacing w:lineRule="auto" w:line="276" w:before="0" w:after="100"/>
        <w:ind w:firstLine="425"/>
        <w:jc w:val="both"/>
        <w:rPr/>
      </w:pPr>
      <w:r>
        <w:rPr/>
      </w:r>
    </w:p>
    <w:sectPr>
      <w:footerReference w:type="even" r:id="rId9"/>
      <w:footerReference w:type="default" r:id="rId10"/>
      <w:footerReference w:type="first" r:id="rId11"/>
      <w:type w:val="nextPage"/>
      <w:pgSz w:w="11906" w:h="16838"/>
      <w:pgMar w:left="1417" w:right="1417" w:gutter="0" w:header="0" w:top="1417" w:footer="708"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settings.xml><?xml version="1.0" encoding="utf-8"?>
<w:settings xmlns:w="http://schemas.openxmlformats.org/wordprocessingml/2006/main">
  <w:view w:val="print"/>
  <w:zoom w:percent="100"/>
  <w:defaultTabStop w:val="720"/>
  <w:autoHyphenation w:val="true"/>
  <w:compat>
    <w:compatSetting w:name="compatibilityMode" w:uri="http://schemas.microsoft.com/office/word" w:val="15"/>
  </w:compat>
  <w:themeFontLang w:val="en-US" w:eastAsia="" w:bidi="fa-IR"/>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WenQuanYi Zen Hei" w:cs="Times New Roman"/>
        <w:sz w:val="24"/>
        <w:szCs w:val="24"/>
        <w:lang w:val="en-US" w:eastAsia="zh-CN" w:bidi="fa-IR"/>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WenQuanYi Zen Hei" w:cs="Times New Roman"/>
      <w:color w:val="auto"/>
      <w:kern w:val="0"/>
      <w:sz w:val="24"/>
      <w:szCs w:val="24"/>
      <w:lang w:val="en-US" w:eastAsia="zh-CN" w:bidi="fa-IR"/>
    </w:rPr>
  </w:style>
  <w:style w:type="character" w:styleId="FootnoteCharacters">
    <w:name w:val="Footnote Characters"/>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pacing w:lineRule="auto" w:line="240" w:before="0" w:after="0"/>
    </w:pPr>
    <w:rPr>
      <w:sz w:val="18"/>
      <w:szCs w:val="18"/>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Competence Illusion or Calibrated Reliance? Generative-AI Use, Overconfidence and Decision Quality among Individual Investors</dc:title>
</cp:coreProperties>
</file>