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240" w:before="0" w:after="200"/>
        <w:jc w:val="center"/>
        <w:rPr/>
      </w:pPr>
      <w:r>
        <w:rPr>
          <w:rFonts w:ascii="Times New Roman" w:hAnsi="Times New Roman" w:eastAsia="Times New Roman" w:cs="B Zar"/>
          <w:b/>
          <w:b/>
          <w:bCs/>
          <w:sz w:val="24"/>
          <w:sz w:val="24"/>
          <w:szCs w:val="24"/>
          <w:rtl w:val="true"/>
          <w:lang w:val="en-US" w:bidi="fa-IR"/>
        </w:rPr>
        <w:t>اثر مواجهه با محتوای سرمایه‌گذاری شبکه‌های اجتماعی بر کیفیت تصمیم سرمایه‌گذاران حقیقی بورس تهران</w:t>
      </w:r>
      <w:r>
        <w:rPr>
          <w:rFonts w:eastAsia="Times New Roman" w:cs="B Zar"/>
          <w:b/>
          <w:bCs/>
          <w:sz w:val="24"/>
          <w:szCs w:val="24"/>
          <w:rtl w:val="true"/>
          <w:lang w:val="en-US" w:bidi="fa-IR"/>
        </w:rPr>
        <w:t xml:space="preserve">: </w:t>
      </w:r>
      <w:r>
        <w:rPr>
          <w:rFonts w:ascii="Times New Roman" w:hAnsi="Times New Roman" w:eastAsia="Times New Roman" w:cs="B Zar"/>
          <w:b/>
          <w:b/>
          <w:bCs/>
          <w:sz w:val="24"/>
          <w:sz w:val="24"/>
          <w:szCs w:val="24"/>
          <w:rtl w:val="true"/>
          <w:lang w:val="en-US" w:bidi="fa-IR"/>
        </w:rPr>
        <w:t>نقش میانجی متوالی فومو و رفتار توده‌وار و نقش تعدیل‌گر استفاده از اطلاعات حسابداری</w:t>
      </w:r>
    </w:p>
    <w:p>
      <w:pPr>
        <w:pStyle w:val="Normal"/>
        <w:bidi w:val="1"/>
        <w:spacing w:lineRule="auto" w:line="240" w:before="0" w:after="0"/>
        <w:jc w:val="center"/>
        <w:rPr/>
      </w:pPr>
      <w:r>
        <w:rPr>
          <w:rFonts w:ascii="Times New Roman" w:hAnsi="Times New Roman" w:eastAsia="Times New Roman"/>
          <w:b/>
          <w:b/>
          <w:bCs/>
          <w:sz w:val="24"/>
          <w:sz w:val="24"/>
          <w:szCs w:val="24"/>
          <w:highlight w:val="yellow"/>
          <w:rtl w:val="true"/>
          <w:lang w:val="en-US" w:bidi="fa-IR"/>
        </w:rPr>
        <w:t>نام و نام‌خانوادگی نویسنده اول</w:t>
      </w:r>
      <w:r>
        <w:rPr>
          <w:rFonts w:ascii="Times New Roman" w:hAnsi="Times New Roman" w:eastAsia="Times New Roman"/>
          <w:b/>
          <w:b/>
          <w:bCs/>
          <w:sz w:val="24"/>
          <w:sz w:val="24"/>
          <w:szCs w:val="24"/>
          <w:rtl w:val="true"/>
          <w:lang w:val="en-US" w:bidi="fa-IR"/>
        </w:rPr>
        <w:t>∗</w:t>
      </w:r>
    </w:p>
    <w:p>
      <w:pPr>
        <w:pStyle w:val="Normal"/>
        <w:bidi w:val="1"/>
        <w:spacing w:lineRule="auto" w:line="240" w:before="0" w:after="60"/>
        <w:jc w:val="center"/>
        <w:rPr/>
      </w:pPr>
      <w:r>
        <w:rPr>
          <w:rFonts w:ascii="Times New Roman" w:hAnsi="Times New Roman" w:eastAsia="Times New Roman"/>
          <w:sz w:val="24"/>
          <w:sz w:val="24"/>
          <w:szCs w:val="24"/>
          <w:highlight w:val="yellow"/>
          <w:rtl w:val="true"/>
          <w:lang w:val="en-US" w:bidi="fa-IR"/>
        </w:rPr>
        <w:t>دانشجوی دکتری، رشتهٔ حسابداری، نام دانشگاه، شهر، ایران</w:t>
      </w:r>
      <w:r>
        <w:rPr>
          <w:rFonts w:ascii="Times New Roman" w:hAnsi="Times New Roman" w:eastAsia="Times New Roman"/>
          <w:sz w:val="24"/>
          <w:sz w:val="24"/>
          <w:szCs w:val="24"/>
          <w:rtl w:val="true"/>
          <w:lang w:val="en-US" w:bidi="fa-IR"/>
        </w:rPr>
        <w:t xml:space="preserve"> — پست الکترونیکی</w:t>
      </w:r>
      <w:r>
        <w:rPr>
          <w:rFonts w:eastAsia="Times New Roman" w:cs="B Nazanin"/>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ایمیل سازمانی نویسنده مسئول</w:t>
      </w:r>
    </w:p>
    <w:p>
      <w:pPr>
        <w:pStyle w:val="Normal"/>
        <w:bidi w:val="1"/>
        <w:spacing w:lineRule="auto" w:line="240" w:before="0" w:after="0"/>
        <w:jc w:val="center"/>
        <w:rPr/>
      </w:pPr>
      <w:r>
        <w:rPr>
          <w:rFonts w:ascii="Times New Roman" w:hAnsi="Times New Roman" w:eastAsia="Times New Roman"/>
          <w:b/>
          <w:b/>
          <w:bCs/>
          <w:sz w:val="24"/>
          <w:sz w:val="24"/>
          <w:szCs w:val="24"/>
          <w:highlight w:val="yellow"/>
          <w:rtl w:val="true"/>
          <w:lang w:val="en-US" w:bidi="fa-IR"/>
        </w:rPr>
        <w:t xml:space="preserve">نام و نام‌خانوادگی نویسنده دوم </w:t>
      </w:r>
      <w:r>
        <w:rPr>
          <w:rFonts w:eastAsia="Times New Roman" w:cs="B Nazanin"/>
          <w:b/>
          <w:bCs/>
          <w:sz w:val="24"/>
          <w:szCs w:val="24"/>
          <w:highlight w:val="yellow"/>
          <w:rtl w:val="true"/>
          <w:lang w:val="en-US" w:bidi="fa-IR"/>
        </w:rPr>
        <w:t>(</w:t>
      </w:r>
      <w:r>
        <w:rPr>
          <w:rFonts w:ascii="Times New Roman" w:hAnsi="Times New Roman" w:eastAsia="Times New Roman"/>
          <w:b/>
          <w:b/>
          <w:bCs/>
          <w:sz w:val="24"/>
          <w:sz w:val="24"/>
          <w:szCs w:val="24"/>
          <w:highlight w:val="yellow"/>
          <w:rtl w:val="true"/>
          <w:lang w:val="en-US" w:bidi="fa-IR"/>
        </w:rPr>
        <w:t>در صورت وجود</w:t>
      </w:r>
      <w:r>
        <w:rPr>
          <w:rFonts w:eastAsia="Times New Roman" w:cs="B Nazanin"/>
          <w:b/>
          <w:bCs/>
          <w:sz w:val="24"/>
          <w:szCs w:val="24"/>
          <w:highlight w:val="yellow"/>
          <w:rtl w:val="true"/>
          <w:lang w:val="en-US" w:bidi="fa-IR"/>
        </w:rPr>
        <w:t>)</w:t>
      </w:r>
    </w:p>
    <w:p>
      <w:pPr>
        <w:pStyle w:val="Normal"/>
        <w:bidi w:val="1"/>
        <w:spacing w:lineRule="auto" w:line="240" w:before="0" w:after="160"/>
        <w:jc w:val="center"/>
        <w:rPr/>
      </w:pPr>
      <w:r>
        <w:rPr>
          <w:rFonts w:ascii="Times New Roman" w:hAnsi="Times New Roman" w:eastAsia="Times New Roman"/>
          <w:sz w:val="24"/>
          <w:sz w:val="24"/>
          <w:szCs w:val="24"/>
          <w:highlight w:val="yellow"/>
          <w:rtl w:val="true"/>
          <w:lang w:val="en-US" w:bidi="fa-IR"/>
        </w:rPr>
        <w:t>رتبهٔ علمی، گروه، دانشگاه، شهر، ایران</w:t>
      </w:r>
    </w:p>
    <w:p>
      <w:pPr>
        <w:pStyle w:val="Normal"/>
        <w:bidi w:val="1"/>
        <w:spacing w:lineRule="auto" w:line="240" w:before="0" w:after="60"/>
        <w:jc w:val="center"/>
        <w:rPr/>
      </w:pPr>
      <w:r>
        <w:rPr>
          <w:rFonts w:ascii="Times New Roman" w:hAnsi="Times New Roman" w:eastAsia="Times New Roman"/>
          <w:b/>
          <w:b/>
          <w:bCs/>
          <w:sz w:val="24"/>
          <w:sz w:val="24"/>
          <w:szCs w:val="24"/>
          <w:rtl w:val="true"/>
          <w:lang w:val="en-US" w:bidi="fa-IR"/>
        </w:rPr>
        <w:t>چکیده</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هدف</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پژوهش حاضر اثر مواجهه با محتوای سرمایه‌گذاری در شبکه‌های اجتماعی بر کیفیت تصمیم سرمایه‌گذاران حقیقی بورس تهران را از مسیر میانجی متوالی ترس از دست دادن فرصت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فومو</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و رفتار توده‌وار، و با تعدیل‌گری استفاده از اطلاعات حسابداری بررسی می‌کند</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روش‌شناسی</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پژوهش کمّی و پیمایشی است و با مدل‌سازی معادلات ساختاری مبتنی بر کوواریانس و تمام‌متغیرهای پنهان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هر گویه مستقیماً به سازهٔ خود متصل است</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انجام شد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داده‌های </w:t>
      </w:r>
      <w:r>
        <w:rPr>
          <w:rFonts w:ascii="Times New Roman" w:hAnsi="Times New Roman" w:eastAsia="Times New Roman"/>
          <w:sz w:val="24"/>
          <w:sz w:val="24"/>
          <w:szCs w:val="24"/>
          <w:lang w:val="en-US" w:bidi="fa-IR"/>
        </w:rPr>
        <w:t>۳۸۶</w:t>
      </w:r>
      <w:r>
        <w:rPr>
          <w:rFonts w:ascii="Times New Roman" w:hAnsi="Times New Roman" w:eastAsia="Times New Roman"/>
          <w:sz w:val="24"/>
          <w:sz w:val="24"/>
          <w:szCs w:val="24"/>
          <w:rtl w:val="true"/>
          <w:lang w:val="en-US" w:bidi="fa-IR"/>
        </w:rPr>
        <w:t xml:space="preserve"> سرمایه‌گذار حقیقی با ابزار </w:t>
      </w:r>
      <w:r>
        <w:rPr>
          <w:rFonts w:ascii="Times New Roman" w:hAnsi="Times New Roman" w:eastAsia="Times New Roman"/>
          <w:sz w:val="24"/>
          <w:sz w:val="24"/>
          <w:szCs w:val="24"/>
          <w:lang w:val="en-US" w:bidi="fa-IR"/>
        </w:rPr>
        <w:t>۲۶</w:t>
      </w:r>
      <w:r>
        <w:rPr>
          <w:rFonts w:ascii="Times New Roman" w:hAnsi="Times New Roman" w:eastAsia="Times New Roman"/>
          <w:sz w:val="24"/>
          <w:sz w:val="24"/>
          <w:szCs w:val="24"/>
          <w:rtl w:val="true"/>
          <w:lang w:val="en-US" w:bidi="fa-IR"/>
        </w:rPr>
        <w:t xml:space="preserve"> گویه‌ای لیکرت و شبیه‌سازی واقع‌نما با پارامترهای از پیش تعیین‌شده تولید شد؛ از این‌رو یافته‌ها جنبهٔ نمایشی و روش‌شناختی دارند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تعامل پنهان با شاخص‌های حاصل‌ضرب جفت‌شده و اثرهای غیرمستقیم با خودگردان‌سازی </w:t>
      </w:r>
      <w:r>
        <w:rPr>
          <w:rFonts w:ascii="Times New Roman" w:hAnsi="Times New Roman" w:eastAsia="Times New Roman"/>
          <w:sz w:val="24"/>
          <w:sz w:val="24"/>
          <w:szCs w:val="24"/>
          <w:lang w:val="en-US" w:bidi="fa-IR"/>
        </w:rPr>
        <w:t>۲۰۰۰</w:t>
      </w:r>
      <w:r>
        <w:rPr>
          <w:rFonts w:ascii="Times New Roman" w:hAnsi="Times New Roman" w:eastAsia="Times New Roman"/>
          <w:sz w:val="24"/>
          <w:sz w:val="24"/>
          <w:szCs w:val="24"/>
          <w:rtl w:val="true"/>
          <w:lang w:val="en-US" w:bidi="fa-IR"/>
        </w:rPr>
        <w:t xml:space="preserve"> تکراری آزمون شد</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یافته‌ها</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مدل ساختاری برازش مطلوب داشت </w:t>
      </w:r>
      <w:r>
        <w:rPr>
          <w:rFonts w:eastAsia="Times New Roman" w:cs="B Nazanin"/>
          <w:sz w:val="24"/>
          <w:szCs w:val="24"/>
          <w:rtl w:val="true"/>
          <w:lang w:val="en-US" w:bidi="fa-IR"/>
        </w:rPr>
        <w:t>(</w:t>
      </w:r>
      <w:r>
        <w:rPr>
          <w:rFonts w:eastAsia="Times New Roman" w:cs="B Nazanin"/>
          <w:sz w:val="24"/>
          <w:szCs w:val="24"/>
          <w:lang w:val="en-US" w:bidi="fa-IR"/>
        </w:rPr>
        <w:t xml:space="preserve">‎CFI = </w:t>
      </w:r>
      <w:r>
        <w:rPr>
          <w:rFonts w:ascii="Times New Roman" w:hAnsi="Times New Roman" w:eastAsia="Times New Roman"/>
          <w:sz w:val="24"/>
          <w:sz w:val="24"/>
          <w:szCs w:val="24"/>
          <w:lang w:val="en-US" w:bidi="fa-IR"/>
        </w:rPr>
        <w:t>۰٫۹۷۷‎</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w:t>
      </w:r>
      <w:r>
        <w:rPr>
          <w:rFonts w:eastAsia="Times New Roman" w:cs="B Nazanin"/>
          <w:sz w:val="24"/>
          <w:szCs w:val="24"/>
          <w:lang w:val="en-US" w:bidi="fa-IR"/>
        </w:rPr>
        <w:t xml:space="preserve">RMSEA = </w:t>
      </w:r>
      <w:r>
        <w:rPr>
          <w:rFonts w:ascii="Times New Roman" w:hAnsi="Times New Roman" w:eastAsia="Times New Roman"/>
          <w:sz w:val="24"/>
          <w:sz w:val="24"/>
          <w:szCs w:val="24"/>
          <w:lang w:val="en-US" w:bidi="fa-IR"/>
        </w:rPr>
        <w:t>۰٫۰۲۳‎</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w:t>
      </w:r>
      <w:r>
        <w:rPr>
          <w:rFonts w:eastAsia="Times New Roman" w:cs="B Nazanin"/>
          <w:sz w:val="24"/>
          <w:szCs w:val="24"/>
          <w:lang w:val="en-US" w:bidi="fa-IR"/>
        </w:rPr>
        <w:t xml:space="preserve">SRMR = </w:t>
      </w:r>
      <w:r>
        <w:rPr>
          <w:rFonts w:ascii="Times New Roman" w:hAnsi="Times New Roman" w:eastAsia="Times New Roman"/>
          <w:sz w:val="24"/>
          <w:sz w:val="24"/>
          <w:szCs w:val="24"/>
          <w:lang w:val="en-US" w:bidi="fa-IR"/>
        </w:rPr>
        <w:t>۰٫۰۴۲‎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مواجهه با محتوا فومو را افزایش داد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۰٫۴۹‎</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فومو رفتار توده‌وار را تقویت کرد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۰٫۴۱‎</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رفتار توده‌وار کیفیت تصمیم را کاهش داد </w:t>
      </w:r>
      <w:r>
        <w:rPr>
          <w:rFonts w:eastAsia="Times New Roman" w:cs="B Nazanin"/>
          <w:sz w:val="24"/>
          <w:szCs w:val="24"/>
          <w:rtl w:val="true"/>
          <w:lang w:val="en-US" w:bidi="fa-IR"/>
        </w:rPr>
        <w:t>(</w:t>
      </w:r>
      <w:r>
        <w:rPr>
          <w:rFonts w:eastAsia="Times New Roman" w:cs="B Nazanin"/>
          <w:sz w:val="24"/>
          <w:szCs w:val="24"/>
          <w:lang w:val="en-US" w:bidi="fa-IR"/>
        </w:rPr>
        <w:t>‎β = −</w:t>
      </w:r>
      <w:r>
        <w:rPr>
          <w:rFonts w:ascii="Times New Roman" w:hAnsi="Times New Roman" w:eastAsia="Times New Roman"/>
          <w:sz w:val="24"/>
          <w:sz w:val="24"/>
          <w:szCs w:val="24"/>
          <w:lang w:val="en-US" w:bidi="fa-IR"/>
        </w:rPr>
        <w:t>۰٫۳۵‎</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اثر غیرمستقیم متوالی معنادار بود و استفاده از اطلاعات حسابداری اثر فومو بر رفتار توده‌وار را تضعیف کرد </w:t>
      </w:r>
      <w:r>
        <w:rPr>
          <w:rFonts w:eastAsia="Times New Roman" w:cs="B Nazanin"/>
          <w:sz w:val="24"/>
          <w:szCs w:val="24"/>
          <w:rtl w:val="true"/>
          <w:lang w:val="en-US" w:bidi="fa-IR"/>
        </w:rPr>
        <w:t>(</w:t>
      </w:r>
      <w:r>
        <w:rPr>
          <w:rFonts w:eastAsia="Times New Roman" w:cs="B Nazanin"/>
          <w:sz w:val="24"/>
          <w:szCs w:val="24"/>
          <w:lang w:val="en-US" w:bidi="fa-IR"/>
        </w:rPr>
        <w:t>‎β = −</w:t>
      </w:r>
      <w:r>
        <w:rPr>
          <w:rFonts w:ascii="Times New Roman" w:hAnsi="Times New Roman" w:eastAsia="Times New Roman"/>
          <w:sz w:val="24"/>
          <w:sz w:val="24"/>
          <w:szCs w:val="24"/>
          <w:lang w:val="en-US" w:bidi="fa-IR"/>
        </w:rPr>
        <w:t>۰٫۱۸‎</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نتیجه‌گیری</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بخش مهمی از زیان کیفیت تصمیم ناشی از مواجهه با محتوای شبکه‌های اجتماعی از مسیر هیجانی ـ رفتاری فومو و توده‌واری منتقل می‌شود و اطلاعات حسابداری مانند سپری شناختی عمل می‌کند</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دانش‌افزایی</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پژوهش با پیوند دادن شبکه‌های اجتماعی، فومو و توده‌واری در یک مدل متوالی پنهان و افزودن نقش تعدیل‌گر اطلاعات حسابداری، و نیز با ارائهٔ پرسشنامه و کد بازتولیدپذیر، چارچوبی قابل‌آزمون برای پژوهش‌های بعدی با داده‌های واقعی فراهم می‌کند</w:t>
      </w:r>
      <w:r>
        <w:rPr>
          <w:rFonts w:eastAsia="Times New Roman" w:cs="B Nazanin"/>
          <w:sz w:val="24"/>
          <w:szCs w:val="24"/>
          <w:rtl w:val="true"/>
          <w:lang w:val="en-US" w:bidi="fa-IR"/>
        </w:rPr>
        <w:t>.</w:t>
      </w:r>
    </w:p>
    <w:p>
      <w:pPr>
        <w:pStyle w:val="Normal"/>
        <w:bidi w:val="1"/>
        <w:spacing w:lineRule="auto" w:line="240" w:before="120" w:after="50"/>
        <w:jc w:val="both"/>
        <w:rPr/>
      </w:pPr>
      <w:r>
        <w:rPr>
          <w:rFonts w:ascii="Times New Roman" w:hAnsi="Times New Roman" w:eastAsia="Times New Roman"/>
          <w:b/>
          <w:b/>
          <w:bCs/>
          <w:sz w:val="24"/>
          <w:sz w:val="24"/>
          <w:szCs w:val="24"/>
          <w:rtl w:val="true"/>
          <w:lang w:val="en-US" w:bidi="fa-IR"/>
        </w:rPr>
        <w:t>کلیدواژه‌ها</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مواجهه با شبکه‌های اجتماعی؛ فومو؛ رفتار توده‌وار؛ اطلاعات حسابداری؛ کیفیت تصمیم سرمایه‌گذاری؛ مدل‌سازی معادلات ساختاری؛ بورس تهران</w:t>
      </w:r>
    </w:p>
    <w:p>
      <w:pPr>
        <w:pStyle w:val="Normal"/>
        <w:rPr/>
      </w:pPr>
      <w:r>
        <w:rPr>
          <w:rtl w:val="true"/>
        </w:rPr>
      </w:r>
      <w:r>
        <w:br w:type="page"/>
      </w:r>
    </w:p>
    <w:p>
      <w:pPr>
        <w:pStyle w:val="Normal"/>
        <w:keepNext w:val="true"/>
        <w:bidi w:val="1"/>
        <w:spacing w:lineRule="auto" w:line="240" w:before="0" w:after="50"/>
        <w:jc w:val="left"/>
        <w:rPr/>
      </w:pP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مقدمه</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بازار سرمایهٔ ایران در سال‌های </w:t>
      </w:r>
      <w:r>
        <w:rPr>
          <w:rFonts w:ascii="Times New Roman" w:hAnsi="Times New Roman" w:eastAsia="Times New Roman"/>
          <w:sz w:val="26"/>
          <w:sz w:val="26"/>
          <w:szCs w:val="26"/>
          <w:lang w:val="en-US" w:bidi="fa-IR"/>
        </w:rPr>
        <w:t>۱۳۹۹</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۱۴۰۰</w:t>
      </w:r>
      <w:r>
        <w:rPr>
          <w:rFonts w:ascii="Times New Roman" w:hAnsi="Times New Roman" w:eastAsia="Times New Roman"/>
          <w:sz w:val="26"/>
          <w:sz w:val="26"/>
          <w:szCs w:val="26"/>
          <w:rtl w:val="true"/>
          <w:lang w:val="en-US" w:bidi="fa-IR"/>
        </w:rPr>
        <w:t xml:space="preserve"> یکی از شدیدترین چرخه‌های رونق و رکود تاریخ خود را تجربه کرد؛ دورانی که در آن شمار زیادی از سرمایه‌گذاران حقیقی تازه‌وارد، تحت‌تأثیر روایت‌های شتاب‌گرفته در کانال‌های تلگرام، صفحه‌های اینستاگرام و گروه‌های گفت‌وگو وارد بازار شدند و بخشی از آنان پس از ریزش قیمت‌ها زیان قابل‌توجهی را تجربه کردند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چنین تجربه‌هایی پرسشی بنیادین را پیش می‌کشد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آیا مواجهه مکرر با محتوای سرمایه‌گذاری در شبکه‌های اجتماعی صرفاً اطلاعات بیشتری در اختیار سرمایه‌گذار می‌گذارد، یا از رهگذر سازوکارهای هیجانی و اجتماعی کیفیت تصمیم او را تضعیف می‌کند؟</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شواهد بین‌المللی دو رویکرد را نشان می‌دهد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یک‌سو، نظرها و احساسات منتشرشده در شبکه‌ها می‌توانند حامل اطلاعات سودمند دربارهٔ بازده آتی باشند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چن و همکاران</w:t>
      </w:r>
      <w:r>
        <w:rPr>
          <w:rStyle w:val="FootnoteReference"/>
          <w:rtl w:val="true"/>
        </w:rPr>
        <w:footnoteReference w:id="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۲۰۱۴</w:t>
      </w:r>
      <w:r>
        <w:rPr>
          <w:rFonts w:ascii="Times New Roman" w:hAnsi="Times New Roman" w:eastAsia="Times New Roman"/>
          <w:sz w:val="26"/>
          <w:sz w:val="26"/>
          <w:szCs w:val="26"/>
          <w:rtl w:val="true"/>
          <w:lang w:val="en-US" w:bidi="fa-IR"/>
        </w:rPr>
        <w:t>؛ بولن و همکاران</w:t>
      </w:r>
      <w:r>
        <w:rPr>
          <w:rStyle w:val="FootnoteReference"/>
          <w:rtl w:val="true"/>
        </w:rPr>
        <w:footnoteReference w:id="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توجه سرمایه‌گذاران خرد را جلب و جهت دهند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دا و همکاران</w:t>
      </w:r>
      <w:r>
        <w:rPr>
          <w:rStyle w:val="FootnoteReference"/>
          <w:rtl w:val="true"/>
        </w:rPr>
        <w:footnoteReference w:id="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۲۰۱۱</w:t>
      </w:r>
      <w:r>
        <w:rPr>
          <w:rFonts w:ascii="Times New Roman" w:hAnsi="Times New Roman" w:eastAsia="Times New Roman"/>
          <w:sz w:val="26"/>
          <w:sz w:val="26"/>
          <w:szCs w:val="26"/>
          <w:rtl w:val="true"/>
          <w:lang w:val="en-US" w:bidi="fa-IR"/>
        </w:rPr>
        <w:t>؛ باربر و اودین</w:t>
      </w:r>
      <w:r>
        <w:rPr>
          <w:rStyle w:val="FootnoteReference"/>
          <w:rtl w:val="true"/>
        </w:rPr>
        <w:footnoteReference w:id="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سوی دیگر، همین بسترها می‌توانند به هم‌جهتی، اتاق‌های پژواک و تشدید خطاهای قضاوت بینجامند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کوکسون و نیسنر</w:t>
      </w:r>
      <w:r>
        <w:rPr>
          <w:rStyle w:val="FootnoteReference"/>
          <w:rtl w:val="true"/>
        </w:rPr>
        <w:footnoteReference w:id="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۲۰۲۰</w:t>
      </w:r>
      <w:r>
        <w:rPr>
          <w:rFonts w:ascii="Times New Roman" w:hAnsi="Times New Roman" w:eastAsia="Times New Roman"/>
          <w:sz w:val="26"/>
          <w:sz w:val="26"/>
          <w:szCs w:val="26"/>
          <w:rtl w:val="true"/>
          <w:lang w:val="en-US" w:bidi="fa-IR"/>
        </w:rPr>
        <w:t>؛ کوکسون و همکاران</w:t>
      </w:r>
      <w:r>
        <w:rPr>
          <w:rStyle w:val="FootnoteReference"/>
          <w:rtl w:val="true"/>
        </w:rPr>
        <w:footnoteReference w:id="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۲۰۲۳</w:t>
      </w:r>
      <w:r>
        <w:rPr>
          <w:rFonts w:ascii="Times New Roman" w:hAnsi="Times New Roman" w:eastAsia="Times New Roman"/>
          <w:sz w:val="26"/>
          <w:sz w:val="26"/>
          <w:szCs w:val="26"/>
          <w:rtl w:val="true"/>
          <w:lang w:val="en-US" w:bidi="fa-IR"/>
        </w:rPr>
        <w:t>؛ هیرشلایفر</w:t>
      </w:r>
      <w:r>
        <w:rPr>
          <w:rStyle w:val="FootnoteReference"/>
          <w:rtl w:val="true"/>
        </w:rPr>
        <w:footnoteReference w:id="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آنچه هنوز روشن نیست سازوکار انتقال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مواجهه با محتوا از چه مسیر روان‌شناختی به رفتار و سرانجام به کیفیت تصمیم می‌رسد، و آیا منبعی بنیادی مانند اطلاعات حسابداری می‌تواند این مسیر را مهار کند؟</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چارچوب نظری پشتیبان این پژوهش دو ستون دارد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نخست، نظریهٔ آبشارهای اطلاعاتی</w:t>
      </w:r>
      <w:r>
        <w:rPr>
          <w:rStyle w:val="FootnoteReference"/>
          <w:rtl w:val="true"/>
        </w:rPr>
        <w:footnoteReference w:id="9"/>
      </w:r>
      <w:r>
        <w:rPr>
          <w:rFonts w:ascii="Times New Roman" w:hAnsi="Times New Roman" w:eastAsia="Times New Roman"/>
          <w:sz w:val="26"/>
          <w:sz w:val="26"/>
          <w:szCs w:val="26"/>
          <w:rtl w:val="true"/>
          <w:lang w:val="en-US" w:bidi="fa-IR"/>
        </w:rPr>
        <w:t xml:space="preserve"> که توضیح می‌دهد چرا سرمایه‌گذاران عاقل نیز ممکن است سیگنال‌های خصوصی خود را کنار بگذارند و از رفتار دیگران پیروی کنند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بیکچندانی و همکاران</w:t>
      </w:r>
      <w:r>
        <w:rPr>
          <w:rStyle w:val="FootnoteReference"/>
          <w:rtl w:val="true"/>
        </w:rPr>
        <w:footnoteReference w:id="1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۱۹۹۲</w:t>
      </w:r>
      <w:r>
        <w:rPr>
          <w:rFonts w:ascii="Times New Roman" w:hAnsi="Times New Roman" w:eastAsia="Times New Roman"/>
          <w:sz w:val="26"/>
          <w:sz w:val="26"/>
          <w:szCs w:val="26"/>
          <w:rtl w:val="true"/>
          <w:lang w:val="en-US" w:bidi="fa-IR"/>
        </w:rPr>
        <w:t>؛ بنرجی</w:t>
      </w:r>
      <w:r>
        <w:rPr>
          <w:rStyle w:val="FootnoteReference"/>
          <w:rtl w:val="true"/>
        </w:rPr>
        <w:footnoteReference w:id="1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دوم، ادبیات ترس از دست دادن فرصت</w:t>
      </w:r>
      <w:r>
        <w:rPr>
          <w:rStyle w:val="FootnoteReference"/>
          <w:rtl w:val="true"/>
        </w:rPr>
        <w:footnoteReference w:id="12"/>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فومو</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که آن را اضطرابی فراگیر دربارهٔ تجربه‌های پاداش‌آور دیگران می‌داند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پرزیبیلسکی و همکاران</w:t>
      </w:r>
      <w:r>
        <w:rPr>
          <w:rStyle w:val="FootnoteReference"/>
          <w:rtl w:val="true"/>
        </w:rPr>
        <w:footnoteReference w:id="1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بر پایهٔ نظریهٔ مقایسهٔ اجتماعی</w:t>
      </w:r>
      <w:r>
        <w:rPr>
          <w:rStyle w:val="FootnoteReference"/>
          <w:rtl w:val="true"/>
        </w:rPr>
        <w:footnoteReference w:id="14"/>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فستینگر</w:t>
      </w:r>
      <w:r>
        <w:rPr>
          <w:rStyle w:val="FootnoteReference"/>
          <w:rtl w:val="true"/>
        </w:rPr>
        <w:footnoteReference w:id="1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۱۹۵۴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محیط‌های شبکه‌ای تشدید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ترکیب این دو، مسیر زیر را پیشنهاد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مواجهه با محتوا ← فومو ← رفتار توده‌وار ← افت کیفیت تصمیم؛ مسیری که شدت آن می‌تواند با میزان تکیهٔ سرمایه‌گذار بر اطلاعات حسابداری تعدیل شود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در ایران، پژوهش‌های فراوانی دربارهٔ رفتار توده‌وار و سوگیری‌های رفتاری سرمایه‌گذاران انجام شده است؛ برای نمونه جمشیدی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فرااعتمادی، نماگری و اثر تمایلی را در میان سرمایه‌گذاران حقیقی بررسی کرده‌اند، ترازودار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مدلی دادهٔ‌بنیاد برای اثر تورش‌های رفتاری و سواد مالی بر تصمیم‌گیری سرمایه‌گذاران ارائه داده‌اند و ندیری و پناهیان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۱۴۰۳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اثر احساسات عقلانی و غیرعقلانی را بر بازده بازار سهام سنجیده‌اند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دربارهٔ نقش شبکه‌های اجتماعی نیز حیدری هراتمه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تأثیر رسانه‌ها و شبکه‌های اجتماعی و مجازی را بر خط‌مشی و تصمیمات سرمایه‌گذاران بررسی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این حال، به‌نظر می‌رسد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الف</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نقش میانجی فومو میان مواجهه با محتوا و توده‌واری، و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نقش تعدیل‌گر اطلاعات حسابداری در این زنجیره کمتر در قالب یک مدل ساختاری یکپارچه با خطای اندازه‌گیری کنترل‌شده آزموده شده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این پژوهش با نگاه حسابداری رفتاری به همین دو شکاف می‌پردازد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پرسش‌های پژوهش</w:t>
      </w:r>
      <w:r>
        <w:rPr>
          <w:rFonts w:ascii="Times New Roman" w:hAnsi="Times New Roman" w:eastAsia="Times New Roman"/>
          <w:sz w:val="26"/>
          <w:sz w:val="26"/>
          <w:szCs w:val="26"/>
          <w:rtl w:val="true"/>
          <w:lang w:val="en-US" w:bidi="fa-IR"/>
        </w:rPr>
        <w:t xml:space="preserve"> عبارت‌اند از</w:t>
      </w:r>
      <w:r>
        <w:rPr>
          <w:rFonts w:eastAsia="Times New Roman" w:cs="B Nazanin"/>
          <w:sz w:val="26"/>
          <w:szCs w:val="26"/>
          <w:rtl w:val="true"/>
          <w:lang w:val="en-US" w:bidi="fa-IR"/>
        </w:rPr>
        <w:t>: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آیا مواجهه با محتوای سرمایه‌گذاری در شبکه‌های اجتماعی از طریق فومو و رفتار توده‌وار بر کیفیت تصمیم سرمایه‌گذاران حقیقی اثر می‌گذارد؟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آیا استفاده از اطلاعات حسابداری شدت این مسیر را تعدیل می‌کند؟ برای پاسخ، مدل ساختاری مکنون کامل برآورد می‌شود که در آن هر گویه مستقیماً به متغیر پنهان خود متصل است و هیچ نمرهٔ ترکیبی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میانگین گویه‌ها</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تحلیل به‌کار نمی‌رود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به‌طور خلاصه، نتایج نشان داد اثر غیرمستقیم متوالی مواجهه بر کیفیت تصمیم از طریق فومو و رفتار توده‌وار منفی و معنادار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ضریب استاندارد </w:t>
      </w:r>
      <w:r>
        <w:rPr>
          <w:rFonts w:ascii="Times New Roman" w:hAnsi="Times New Roman" w:eastAsia="Times New Roman"/>
          <w:sz w:val="26"/>
          <w:sz w:val="26"/>
          <w:szCs w:val="26"/>
          <w:lang w:val="en-US" w:bidi="fa-IR"/>
        </w:rPr>
        <w:t>‎−۰٫۰۷۱‎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استفاده از اطلاعات حسابداری شیب فومو ← توده‌واری را کاهش می‌دهد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اهمیت و ضرورت موضوع از دو جنبه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از نظر نظری، پیوند شبکه‌های اجتماعی، هیجان و حسابداری رفتاری در یک مدل قابل‌آزمون؛ از نظر عملی، ارائهٔ سرنخ برای سیاست‌گذاران، کارگزاری‌ها و ناشران دربارهٔ نحوهٔ افشا و آموزش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داده‌های این نسخه شبیه‌سازی‌شده‌اند و پیام آن بیش از هر چیز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بازتولیدپذیری روش و ساختار مدل</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است؛ بنابراین نباید به‌منزلهٔ شواهد تجربی دربارهٔ بازار واقعی تعبیر 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ساختار مقاله چنین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ابتدا مبانی نظری و فرضیه‌ها، سپس روش‌شناسی، یافته‌ها، و در پایان بحث و نتیجه‌گیری ارائه می‌شود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مبانی نظری و توسعهٔ فرضیه‌ها</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کیفیت تصمیم سرمایه‌گذاری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کیفیت تصمیم را می‌توان مجموعه‌ای از ویژگی‌های فرایندی و پیامدی دانست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اتکا به اطلاعات مرتبط و مستند، سازگاری با اهداف بلندمدت، و رضایت و پشیمانی کمتر از نتایج</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پارکر و فیشهاف</w:t>
      </w:r>
      <w:r>
        <w:rPr>
          <w:rStyle w:val="FootnoteReference"/>
          <w:rtl w:val="true"/>
        </w:rPr>
        <w:footnoteReference w:id="16"/>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شایستگی تصمیم‌گیری را ویژگی قابل‌سنجش و متفاوت میان افراد می‌دانند و برویِن دو برویِن و همکاران</w:t>
      </w:r>
      <w:r>
        <w:rPr>
          <w:rStyle w:val="FootnoteReference"/>
          <w:rtl w:val="true"/>
        </w:rPr>
        <w:footnoteReference w:id="17"/>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نشان دادند این شایستگی با پیامدهای واقعی زندگی مرتبط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بازار سهام، تفاوت میان تصمیم خوب و بد را نمی‌توان تنها با بازده سنجید، زیرا بازده بخشی از شانس است؛ ازاین‌رو فرایند تصمیم نیز مهم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سرمایه‌گذارانی که بیش‌ازحد و تحت‌تأثیر عوامل غیربنیادی معامله می‌کنند بازده خالص کمتری کسب می‌کنند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باربر و اودین، </w:t>
      </w:r>
      <w:r>
        <w:rPr>
          <w:rFonts w:ascii="Times New Roman" w:hAnsi="Times New Roman" w:eastAsia="Times New Roman"/>
          <w:sz w:val="26"/>
          <w:sz w:val="26"/>
          <w:szCs w:val="26"/>
          <w:lang w:val="en-US" w:bidi="fa-IR"/>
        </w:rPr>
        <w:t>۲۰۰۰</w:t>
      </w:r>
      <w:r>
        <w:rPr>
          <w:rFonts w:ascii="Times New Roman" w:hAnsi="Times New Roman" w:eastAsia="Times New Roman"/>
          <w:sz w:val="26"/>
          <w:sz w:val="26"/>
          <w:szCs w:val="26"/>
          <w:rtl w:val="true"/>
          <w:lang w:val="en-US" w:bidi="fa-IR"/>
        </w:rPr>
        <w:t xml:space="preserve">؛ باربر و اودین، </w:t>
      </w:r>
      <w:r>
        <w:rPr>
          <w:rFonts w:ascii="Times New Roman" w:hAnsi="Times New Roman" w:eastAsia="Times New Roman"/>
          <w:sz w:val="26"/>
          <w:sz w:val="26"/>
          <w:szCs w:val="26"/>
          <w:lang w:val="en-US" w:bidi="fa-IR"/>
        </w:rPr>
        <w:t>۲۰۰۱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تمایل به نگه‌داشتن زیان‌ها و فروش زودهنگام سودها از الگوهای شناخته‌شدهٔ کاهندهٔ کیفیت تصمیم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اودین</w:t>
      </w:r>
      <w:r>
        <w:rPr>
          <w:rStyle w:val="FootnoteReference"/>
          <w:rtl w:val="true"/>
        </w:rPr>
        <w:footnoteReference w:id="1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مرور کومار و گویال</w:t>
      </w:r>
      <w:r>
        <w:rPr>
          <w:rStyle w:val="FootnoteReference"/>
          <w:rtl w:val="true"/>
        </w:rPr>
        <w:footnoteReference w:id="19"/>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نیز نشان می‌دهد سوگیری‌های رفتاری از مهم‌ترین عوامل انحراف تصمیم از فرایند عقلانی‌اند و جمشیدی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با بررسی سرمایه‌گذاران حقیقی بورس تهران، ارتباط سوگیری‌های رفتاری با عملکرد را مطالعه کرده‌اند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شبکه‌های اجتماعی و اطلاعات مالی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شبکه‌های اجتماعی هزینهٔ دسترسی به نظرها و تحلیل‌ها را کاهش داده‌اند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چن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دادند نظرهای منتشرشده در یک پلتفرم سرمایه‌گذاری با بازده آتی و شگفتی‌های سود مرتبط است و بولن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رابطهٔ خلق‌وخوی عمومی در توییتر با حرکت بازار را گزارش کردند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با این حال، هم‌زمان که اطلاعات ارزان‌تر می‌شود، توجه کمیاب‌تر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دا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استفاده از حجم جست‌وجوی گوگل، معیار مستقیمی از توجه سرمایه‌گذاران خرد ساختند و نشان دادند افزایش توجه با فشار خرید و افزایش کوتاه‌مدت قیمت همراه است؛ باربر و اودین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نیز نشان دادند خرید سرمایه‌گذاران حقیقی بر سهامِ مورد توجه متمرکز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چنین محیطی، محتوایی که توجه را جلب می‌کند لزوماً محتوای آگاهی‌بخش‌تر نیست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کوکسون و نیسنر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۲۰۲۰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تحلیل یک شبکهٔ اجتماعی سرمایه‌گذاران نشان دادند کاربران نظرهای هم‌جهت با خود را بیشتر دنبال می‌کنند و کوکسون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۲۰۲۳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با شواهدی دربارهٔ اتاق‌های پژواک، تمایل به تعامل با همفکران را مستند کردند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هیرشلایفر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۲۰۲۰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سوگیری انتقال اجتماعی را عاملی ساختاری در شکل‌گیری رفتارهای مالی می‌داند و شیلر</w:t>
      </w:r>
      <w:r>
        <w:rPr>
          <w:rStyle w:val="FootnoteReference"/>
          <w:rtl w:val="true"/>
        </w:rPr>
        <w:footnoteReference w:id="20"/>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نقش روایت‌های همه‌گیر را در نوسان‌های اقتصادی برجسته کرده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هونگ و همکاران</w:t>
      </w:r>
      <w:r>
        <w:rPr>
          <w:rStyle w:val="FootnoteReference"/>
          <w:rtl w:val="true"/>
        </w:rPr>
        <w:footnoteReference w:id="21"/>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نیز نشان دادند تعاملات اجتماعی بر مشارکت در بازار سهام اثر می‌گذارد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ایران، حیدری هراتمه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رسانه‌ها و شبکه‌های اجتماعی را بر تصمیمات سرمایه‌گذاران بازارهای مالی بررسی کرده‌اند و ندیری و پناهیان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۱۴۰۳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نقش احساسات سرمایه‌گذاران را در بازده بازار سهام تهران نشان داده‌اند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این مطالعات زمینه‌ای فراهم می‌کنند که در آن مواجهه با محتوا می‌تواند هیجان سرمایه‌گذاران را برانگیزد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فومو</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فومو در ادبیات روان‌شناسی، نگرانی فراگیر از آن است که دیگران تجربه‌های پاداش‌آوری دارند که فرد از آن‌ها محروم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پرزیبیلسکی و همکاران، </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سازه با استفادهٔ بیشتر از شبکه‌های اجتماعی ارتباط دارد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آبل و همکاران</w:t>
      </w:r>
      <w:r>
        <w:rPr>
          <w:rStyle w:val="FootnoteReference"/>
          <w:rtl w:val="true"/>
        </w:rPr>
        <w:footnoteReference w:id="2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میلیاوسکایا و همکاران</w:t>
      </w:r>
      <w:r>
        <w:rPr>
          <w:rStyle w:val="FootnoteReference"/>
          <w:rtl w:val="true"/>
        </w:rPr>
        <w:footnoteReference w:id="23"/>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پیامدها و پویایی تجربهٔ آن را بررسی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بستر سرمایه‌گذاری، فومو به شکل نگرانی از فرصت‌های سودآور از دست‌رفته بروز می‌یابد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 اساس نظریهٔ مقایسهٔ اجتماعی، افراد ارزیابی خود را از طریق مقایسه با دیگران شکل می‌دهند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فستینگر، </w:t>
      </w:r>
      <w:r>
        <w:rPr>
          <w:rFonts w:ascii="Times New Roman" w:hAnsi="Times New Roman" w:eastAsia="Times New Roman"/>
          <w:sz w:val="26"/>
          <w:sz w:val="26"/>
          <w:szCs w:val="26"/>
          <w:lang w:val="en-US" w:bidi="fa-IR"/>
        </w:rPr>
        <w:t>۱۹۵۴</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مواجهه مکرر با گزارش سود دیگران بستر این مقایسه را فراهم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نظریهٔ پشیمانی</w:t>
      </w:r>
      <w:r>
        <w:rPr>
          <w:rStyle w:val="FootnoteReference"/>
          <w:rtl w:val="true"/>
        </w:rPr>
        <w:footnoteReference w:id="24"/>
      </w:r>
      <w:r>
        <w:rPr>
          <w:rFonts w:ascii="Times New Roman" w:hAnsi="Times New Roman" w:eastAsia="Times New Roman"/>
          <w:sz w:val="26"/>
          <w:sz w:val="26"/>
          <w:szCs w:val="26"/>
          <w:rtl w:val="true"/>
          <w:lang w:val="en-US" w:bidi="fa-IR"/>
        </w:rPr>
        <w:t xml:space="preserve"> نیز نشان می‌دهد پیش‌بینی پشیمانی از دست‌دادن فرصت می‌تواند انتخاب را تحریف کند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لومز و ساگدن</w:t>
      </w:r>
      <w:r>
        <w:rPr>
          <w:rStyle w:val="FootnoteReference"/>
          <w:rtl w:val="true"/>
        </w:rPr>
        <w:footnoteReference w:id="2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به‌طور کلی، پژوهش‌ها نشان داده‌اند هیجان‌ها تصمیم را به شیوه‌ای نظام‌مند شکل می‌دهند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لرنر و همکاران</w:t>
      </w:r>
      <w:r>
        <w:rPr>
          <w:rStyle w:val="FootnoteReference"/>
          <w:rtl w:val="true"/>
        </w:rPr>
        <w:footnoteReference w:id="2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از این‌رو</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مواجهه با محتوای سرمایه‌گذاری در شبکه‌های اجتماعی بر فومو اثر مثبت دارد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فومو و رفتار توده‌وار</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رفتار توده‌وار</w:t>
      </w:r>
      <w:r>
        <w:rPr>
          <w:rStyle w:val="FootnoteReference"/>
          <w:rtl w:val="true"/>
        </w:rPr>
        <w:footnoteReference w:id="27"/>
      </w:r>
      <w:r>
        <w:rPr>
          <w:rFonts w:ascii="Times New Roman" w:hAnsi="Times New Roman" w:eastAsia="Times New Roman"/>
          <w:sz w:val="26"/>
          <w:sz w:val="26"/>
          <w:szCs w:val="26"/>
          <w:rtl w:val="true"/>
          <w:lang w:val="en-US" w:bidi="fa-IR"/>
        </w:rPr>
        <w:t xml:space="preserve"> به معنای همسو کردن تصمیم‌ها با رفتار جمع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الگوهای نظری نشان می‌دهند این رفتار می‌تواند ناشی از اطلاعات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آبشار اطلاعاتی</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اعتبار حرفه‌ای یا فشار اجتماعی باشد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بیکچندانی و همکاران، </w:t>
      </w:r>
      <w:r>
        <w:rPr>
          <w:rFonts w:ascii="Times New Roman" w:hAnsi="Times New Roman" w:eastAsia="Times New Roman"/>
          <w:sz w:val="26"/>
          <w:sz w:val="26"/>
          <w:szCs w:val="26"/>
          <w:lang w:val="en-US" w:bidi="fa-IR"/>
        </w:rPr>
        <w:t>۱۹۹۲</w:t>
      </w:r>
      <w:r>
        <w:rPr>
          <w:rFonts w:ascii="Times New Roman" w:hAnsi="Times New Roman" w:eastAsia="Times New Roman"/>
          <w:sz w:val="26"/>
          <w:sz w:val="26"/>
          <w:szCs w:val="26"/>
          <w:rtl w:val="true"/>
          <w:lang w:val="en-US" w:bidi="fa-IR"/>
        </w:rPr>
        <w:t>؛ شارفشتاین و استاین</w:t>
      </w:r>
      <w:r>
        <w:rPr>
          <w:rStyle w:val="FootnoteReference"/>
          <w:rtl w:val="true"/>
        </w:rPr>
        <w:footnoteReference w:id="2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هیرشلایفر و تئو</w:t>
      </w:r>
      <w:r>
        <w:rPr>
          <w:rStyle w:val="FootnoteReference"/>
          <w:rtl w:val="true"/>
        </w:rPr>
        <w:footnoteReference w:id="29"/>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۲۰۰۳</w:t>
      </w:r>
      <w:r>
        <w:rPr>
          <w:rFonts w:ascii="Times New Roman" w:hAnsi="Times New Roman" w:eastAsia="Times New Roman"/>
          <w:sz w:val="26"/>
          <w:sz w:val="26"/>
          <w:szCs w:val="26"/>
          <w:rtl w:val="true"/>
          <w:lang w:val="en-US" w:bidi="fa-IR"/>
        </w:rPr>
        <w:t>الف</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بیکچندانی و شارما</w:t>
      </w:r>
      <w:r>
        <w:rPr>
          <w:rStyle w:val="FootnoteReference"/>
          <w:rtl w:val="true"/>
        </w:rPr>
        <w:footnoteReference w:id="30"/>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مرور جامعی از شواهد ارائه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سطح بازار، چانگ و همکاران</w:t>
      </w:r>
      <w:r>
        <w:rPr>
          <w:rStyle w:val="FootnoteReference"/>
          <w:rtl w:val="true"/>
        </w:rPr>
        <w:footnoteReference w:id="31"/>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روشی برای شناسایی توده‌واری از پراکندگی بازده‌ها ارائه کردند و چیانگ و ژنگ</w:t>
      </w:r>
      <w:r>
        <w:rPr>
          <w:rStyle w:val="FootnoteReference"/>
          <w:rtl w:val="true"/>
        </w:rPr>
        <w:footnoteReference w:id="32"/>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شواهدی از توده‌واری را در بازارهای مختلف گزارش دادند؛ در ایران نیز پژوهش‌های بسیاری از همین منطق برای بورس تهران بهره برده‌اند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وقتی سرمایه‌گذار هراس از جاماندن را تجربه می‌کند، بهای روانی پیروی نکردن از جمع افزایش می‌یابد و او برای کاهش اضطراب، ورود هم‌جهت با دیگران را ترجیح می‌دهد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بنابراین</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۲</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فومو بر رفتار توده‌وار اثر مثبت دارد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از سوی دیگر، مواجهه با محتوا می‌تواند مستقل از هیجان، با ارائهٔ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سیگنال اجتماعی</w:t>
      </w:r>
      <w:r>
        <w:rPr>
          <w:rFonts w:eastAsia="Times New Roman" w:cs="B Nazanin"/>
          <w:sz w:val="26"/>
          <w:szCs w:val="26"/>
          <w:rtl w:val="true"/>
          <w:lang w:val="en-US" w:bidi="fa-IR"/>
        </w:rPr>
        <w:t>» (</w:t>
      </w:r>
      <w:r>
        <w:rPr>
          <w:rFonts w:ascii="Times New Roman" w:hAnsi="Times New Roman" w:eastAsia="Times New Roman"/>
          <w:sz w:val="26"/>
          <w:sz w:val="26"/>
          <w:szCs w:val="26"/>
          <w:rtl w:val="true"/>
          <w:lang w:val="en-US" w:bidi="fa-IR"/>
        </w:rPr>
        <w:t>مانند اجماع ظاهری کانال‌ها یا نمایش صف‌های خرید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رفتار هم‌جهت منجر 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کوکسون و نیسنر، </w:t>
      </w:r>
      <w:r>
        <w:rPr>
          <w:rFonts w:ascii="Times New Roman" w:hAnsi="Times New Roman" w:eastAsia="Times New Roman"/>
          <w:sz w:val="26"/>
          <w:sz w:val="26"/>
          <w:szCs w:val="26"/>
          <w:lang w:val="en-US" w:bidi="fa-IR"/>
        </w:rPr>
        <w:t>۲۰۲۰</w:t>
      </w:r>
      <w:r>
        <w:rPr>
          <w:rFonts w:ascii="Times New Roman" w:hAnsi="Times New Roman" w:eastAsia="Times New Roman"/>
          <w:sz w:val="26"/>
          <w:sz w:val="26"/>
          <w:szCs w:val="26"/>
          <w:rtl w:val="true"/>
          <w:lang w:val="en-US" w:bidi="fa-IR"/>
        </w:rPr>
        <w:t xml:space="preserve">؛ کوکسون و همکاران، </w:t>
      </w:r>
      <w:r>
        <w:rPr>
          <w:rFonts w:ascii="Times New Roman" w:hAnsi="Times New Roman" w:eastAsia="Times New Roman"/>
          <w:sz w:val="26"/>
          <w:sz w:val="26"/>
          <w:szCs w:val="26"/>
          <w:lang w:val="en-US" w:bidi="fa-IR"/>
        </w:rPr>
        <w:t>۲۰۲۳</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۴</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مواجهه با محتوای سرمایه‌گذاری در شبکه‌های اجتماعی بر رفتار توده‌وار اثر مستقیم مثبت دارد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۵</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رفتار توده‌وار و کیفیت تصمیم؛ میانجی‌گری متوالی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توده‌واری می‌تواند به بروز حباب و بازگشت‌های شدید قیمت بینجامد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هیرشلایفر، </w:t>
      </w:r>
      <w:r>
        <w:rPr>
          <w:rFonts w:ascii="Times New Roman" w:hAnsi="Times New Roman" w:eastAsia="Times New Roman"/>
          <w:sz w:val="26"/>
          <w:sz w:val="26"/>
          <w:szCs w:val="26"/>
          <w:lang w:val="en-US" w:bidi="fa-IR"/>
        </w:rPr>
        <w:t>۲۰۰۱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سطح فردی، پیروی از جمع به‌جای اتکا بر تحلیل مستند، فرایند تصمیم را ضعیف می‌کند، هزینهٔ معامله را بالا می‌برد و زمان‌بندی ورود و خروج را نامناسب می‌سازد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باربر و اودین، </w:t>
      </w:r>
      <w:r>
        <w:rPr>
          <w:rFonts w:ascii="Times New Roman" w:hAnsi="Times New Roman" w:eastAsia="Times New Roman"/>
          <w:sz w:val="26"/>
          <w:sz w:val="26"/>
          <w:szCs w:val="26"/>
          <w:lang w:val="en-US" w:bidi="fa-IR"/>
        </w:rPr>
        <w:t>۲۰۰۰</w:t>
      </w:r>
      <w:r>
        <w:rPr>
          <w:rFonts w:ascii="Times New Roman" w:hAnsi="Times New Roman" w:eastAsia="Times New Roman"/>
          <w:sz w:val="26"/>
          <w:sz w:val="26"/>
          <w:szCs w:val="26"/>
          <w:rtl w:val="true"/>
          <w:lang w:val="en-US" w:bidi="fa-IR"/>
        </w:rPr>
        <w:t xml:space="preserve">؛ هیرشلایفر و تئو، </w:t>
      </w:r>
      <w:r>
        <w:rPr>
          <w:rFonts w:ascii="Times New Roman" w:hAnsi="Times New Roman" w:eastAsia="Times New Roman"/>
          <w:sz w:val="26"/>
          <w:sz w:val="26"/>
          <w:szCs w:val="26"/>
          <w:lang w:val="en-US" w:bidi="fa-IR"/>
        </w:rPr>
        <w:t>۲۰۰۳</w:t>
      </w:r>
      <w:r>
        <w:rPr>
          <w:rFonts w:ascii="Times New Roman" w:hAnsi="Times New Roman" w:eastAsia="Times New Roman"/>
          <w:sz w:val="26"/>
          <w:sz w:val="26"/>
          <w:szCs w:val="26"/>
          <w:rtl w:val="true"/>
          <w:lang w:val="en-US" w:bidi="fa-IR"/>
        </w:rPr>
        <w:t>الف</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بنابراین</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۳</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رفتار توده‌وار بر کیفیت تصمیم سرمایه‌گذاری اثر منفی دارد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با ترکیب فرضیه‌های بالا، مسیر میانجی‌گری</w:t>
      </w:r>
      <w:r>
        <w:rPr>
          <w:rStyle w:val="FootnoteReference"/>
          <w:rtl w:val="true"/>
        </w:rPr>
        <w:footnoteReference w:id="33"/>
      </w:r>
      <w:r>
        <w:rPr>
          <w:rFonts w:ascii="Times New Roman" w:hAnsi="Times New Roman" w:eastAsia="Times New Roman"/>
          <w:sz w:val="26"/>
          <w:sz w:val="26"/>
          <w:szCs w:val="26"/>
          <w:rtl w:val="true"/>
          <w:lang w:val="en-US" w:bidi="fa-IR"/>
        </w:rPr>
        <w:t xml:space="preserve"> متوالی پیش‌بینی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مواجهه با محتوا ابتدا فومو را برمی‌انگیزد، فومو رفتار توده‌وار را تقویت می‌کند و سرانجام کیفیت تصمیم کاهش می‌یابد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روش متعارف آزمون چنین زنجیره‌ای، خودگردان‌سازی</w:t>
      </w:r>
      <w:r>
        <w:rPr>
          <w:rStyle w:val="FootnoteReference"/>
          <w:rtl w:val="true"/>
        </w:rPr>
        <w:footnoteReference w:id="34"/>
      </w:r>
      <w:r>
        <w:rPr>
          <w:rFonts w:ascii="Times New Roman" w:hAnsi="Times New Roman" w:eastAsia="Times New Roman"/>
          <w:sz w:val="26"/>
          <w:sz w:val="26"/>
          <w:szCs w:val="26"/>
          <w:rtl w:val="true"/>
          <w:lang w:val="en-US" w:bidi="fa-IR"/>
        </w:rPr>
        <w:t xml:space="preserve"> اثرهای حاصل‌ضرب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پریچر و هیز</w:t>
      </w:r>
      <w:r>
        <w:rPr>
          <w:rStyle w:val="FootnoteReference"/>
          <w:rtl w:val="true"/>
        </w:rPr>
        <w:footnoteReference w:id="3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ascii="Times New Roman" w:hAnsi="Times New Roman" w:eastAsia="Times New Roman"/>
          <w:sz w:val="26"/>
          <w:sz w:val="26"/>
          <w:szCs w:val="26"/>
          <w:rtl w:val="true"/>
          <w:lang w:val="en-US" w:bidi="fa-IR"/>
        </w:rPr>
        <w:t>؛ تیلور و همکاران</w:t>
      </w:r>
      <w:r>
        <w:rPr>
          <w:rStyle w:val="FootnoteReference"/>
          <w:rtl w:val="true"/>
        </w:rPr>
        <w:footnoteReference w:id="3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۵</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فومو و رفتار توده‌وار اثر مواجهه با محتوا بر کیفیت تصمیم را به‌صورت متوالی میانجی‌گری می‌کنند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اثر غیرمستقیم منفی</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۶</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اطلاعات حسابداری و نقش تعدیل‌گر</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اطلاعات حسابداری پشتوانهٔ بنیادی ارزش‌گذاری است؛ ارتباط سود حسابداری با واکنش قیمت از پژوهش‌های بنیادین حسابداری سرمایه‌بازار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بال و براون</w:t>
      </w:r>
      <w:r>
        <w:rPr>
          <w:rStyle w:val="FootnoteReference"/>
          <w:rtl w:val="true"/>
        </w:rPr>
        <w:footnoteReference w:id="3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۱۹۶۸</w:t>
      </w:r>
      <w:r>
        <w:rPr>
          <w:rFonts w:ascii="Times New Roman" w:hAnsi="Times New Roman" w:eastAsia="Times New Roman"/>
          <w:sz w:val="26"/>
          <w:sz w:val="26"/>
          <w:szCs w:val="26"/>
          <w:rtl w:val="true"/>
          <w:lang w:val="en-US" w:bidi="fa-IR"/>
        </w:rPr>
        <w:t>؛ بیور</w:t>
      </w:r>
      <w:r>
        <w:rPr>
          <w:rStyle w:val="FootnoteReference"/>
          <w:rtl w:val="true"/>
        </w:rPr>
        <w:footnoteReference w:id="3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۱۹۶۸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لارنس</w:t>
      </w:r>
      <w:r>
        <w:rPr>
          <w:rStyle w:val="FootnoteReference"/>
          <w:rtl w:val="true"/>
        </w:rPr>
        <w:footnoteReference w:id="39"/>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داد سرمایه‌گذاران حقیقی با افشای شفاف‌تر و ساده‌تر عملکرد بهتری دارند و هیرشلایفر و تئو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۲۰۰۳</w:t>
      </w:r>
      <w:r>
        <w:rPr>
          <w:rFonts w:ascii="Times New Roman" w:hAnsi="Times New Roman" w:eastAsia="Times New Roman"/>
          <w:sz w:val="26"/>
          <w:sz w:val="26"/>
          <w:szCs w:val="26"/>
          <w:rtl w:val="true"/>
          <w:lang w:val="en-US" w:bidi="fa-IR"/>
        </w:rPr>
        <w:t>ب</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استدلال کردند توجه محدود سرمایه‌گذاران، شیوهٔ ارائهٔ اطلاعات را مهم می‌سازد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میلر و اسکینر</w:t>
      </w:r>
      <w:r>
        <w:rPr>
          <w:rStyle w:val="FootnoteReference"/>
          <w:rtl w:val="true"/>
        </w:rPr>
        <w:footnoteReference w:id="40"/>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چشم‌انداز تحول افشا را در عصر رسانه‌های دیجیتال بررسی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بلنکسپور و همکاران</w:t>
      </w:r>
      <w:r>
        <w:rPr>
          <w:rStyle w:val="FootnoteReference"/>
          <w:rtl w:val="true"/>
        </w:rPr>
        <w:footnoteReference w:id="41"/>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بارتوف و همکاران</w:t>
      </w:r>
      <w:r>
        <w:rPr>
          <w:rStyle w:val="FootnoteReference"/>
          <w:rtl w:val="true"/>
        </w:rPr>
        <w:footnoteReference w:id="42"/>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الیوت و همکاران</w:t>
      </w:r>
      <w:r>
        <w:rPr>
          <w:rStyle w:val="FootnoteReference"/>
          <w:rtl w:val="true"/>
        </w:rPr>
        <w:footnoteReference w:id="43"/>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نشان می‌دهند شبکه‌های اجتماعی و اطلاعات حسابداری در بازار به‌هم‌پیوسته‌اند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اولی سرعت و دسترسی را افزایش می‌دهد و دومی محتوای قابل‌راستی‌آزمایی فراهم می‌کند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در ایران نیز بهارمقدم و جوکار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داده‌اند افزایش کیفیت اطلاعات حسابداری و کاهش عدم‌اطمینان اطلاعاتی، شدت رفتارهای احساسی سرمایه‌گذاران در قیمت‌گذاری سهام را کاهش می‌دهد؛ نمازی و زراعتگری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داده‌اند تیپ شخصیتی سرمایه‌گذاران بر علایق اطلاعاتی حسابداری آنان اثر می‌گذارد و سرمایه‌گذاران ریسک‌گریزتر به اطلاعات قابل‌اتکاتر علاقهٔ بیشتری دارند؛ و بدری و گودرزی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پیوند مالی رفتاری و متغیرهای بینادی حسابداری را در بورس تهران بررسی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این یافته‌ها هرچند مستقیماً دربارهٔ فومو نیستند، اما نشان می‌دهند اطلاعات حسابداری می‌تواند وزن واکنش‌های احساسی را در تصمیم کاهش دهد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از نگاه آبشارهای اطلاعاتی، هر چه سیگنال خصوصی سرمایه‌گذار دقیق‌تر باشد، آبشار شکننده‌تر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بیکچندانی و همکاران، </w:t>
      </w:r>
      <w:r>
        <w:rPr>
          <w:rFonts w:ascii="Times New Roman" w:hAnsi="Times New Roman" w:eastAsia="Times New Roman"/>
          <w:sz w:val="26"/>
          <w:sz w:val="26"/>
          <w:szCs w:val="26"/>
          <w:lang w:val="en-US" w:bidi="fa-IR"/>
        </w:rPr>
        <w:t>۱۹۹۲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اطلاعات حسابداری می‌تواند چنین سیگنال خصوصی دقیقی باشد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سرمایه‌گذاری که صورت‌های مالی و گزارش‌های کدال را به‌کار می‌بندد، مبنایی مستقل از جمع برای سنجش ارزش دارد و اضطراب ناشی از جاماندن کمتر به رفتار هم‌جهت تبدیل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بیان دیگر، اطلاعات حسابداری شیب فومو ← توده‌واری را تضعیف می‌کند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تعدیل‌گری</w:t>
      </w:r>
      <w:r>
        <w:rPr>
          <w:rStyle w:val="FootnoteReference"/>
          <w:rtl w:val="true"/>
        </w:rPr>
        <w:footnoteReference w:id="44"/>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در نتیجه اثر غیرمستقیم متوالی را نیز مشروط می‌سازد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میانجی‌گری تعدیل‌شده</w:t>
      </w:r>
      <w:r>
        <w:rPr>
          <w:rStyle w:val="FootnoteReference"/>
          <w:rtl w:val="true"/>
        </w:rPr>
        <w:footnoteReference w:id="45"/>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پریچر و همکاران</w:t>
      </w:r>
      <w:r>
        <w:rPr>
          <w:rStyle w:val="FootnoteReference"/>
          <w:rtl w:val="true"/>
        </w:rPr>
        <w:footnoteReference w:id="4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۲۰۰۷</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۶</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استفاده از اطلاعات حسابداری اثر مثبت فومو بر رفتار توده‌وار را تضعیف می‌کند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تعامل منفی</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۷</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غیرمستقیم متوالی مواجهه بر کیفیت تصمیم در سطوح بالاتر استفادهٔ سرمایه‌گذار از اطلاعات حسابداری ضعیف‌تر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شاخص میانجی‌گری تعدیل‌شدهٔ مثبت</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۸</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استفاده از اطلاعات حسابداری بر کیفیت تصمیم اثر مثبت دارد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مدل مفهومی پژوهش را با نمایش همهٔ سازه‌های پنهان و گویه‌های سنجنده‌ی آن‌ها نشان می‌دهد و جدول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فرضیه‌ها را خلاصه می‌کند</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5579745" cy="3866515"/>
            <wp:effectExtent l="0" t="0" r="0" b="0"/>
            <wp:docPr id="1" name="Fig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
                    <pic:cNvPicPr>
                      <a:picLocks noChangeAspect="1" noChangeArrowheads="1"/>
                    </pic:cNvPicPr>
                  </pic:nvPicPr>
                  <pic:blipFill>
                    <a:blip r:embed="rId2"/>
                    <a:stretch>
                      <a:fillRect/>
                    </a:stretch>
                  </pic:blipFill>
                  <pic:spPr bwMode="auto">
                    <a:xfrm>
                      <a:off x="0" y="0"/>
                      <a:ext cx="5579745" cy="386651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مدل مفهومی پژوهش با سازه‌های پنهان و گویه‌های سنجنده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یافتهٔ پژوهشگر</w:t>
      </w:r>
      <w:r>
        <w:rPr>
          <w:rFonts w:eastAsia="Times New Roman" w:cs="B Zar"/>
          <w:b/>
          <w:bCs/>
          <w:sz w:val="20"/>
          <w:szCs w:val="20"/>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خلاصهٔ فرضیه‌های پژوهش</w:t>
      </w:r>
    </w:p>
    <w:tbl>
      <w:tblPr>
        <w:bidiVisual w:val="true"/>
        <w:tblW w:w="9000" w:type="dxa"/>
        <w:jc w:val="center"/>
        <w:tblInd w:w="0" w:type="dxa"/>
        <w:tblLayout w:type="fixed"/>
        <w:tblCellMar>
          <w:top w:w="0" w:type="dxa"/>
          <w:left w:w="60" w:type="dxa"/>
          <w:bottom w:w="0" w:type="dxa"/>
          <w:right w:w="60" w:type="dxa"/>
        </w:tblCellMar>
      </w:tblPr>
      <w:tblGrid>
        <w:gridCol w:w="999"/>
        <w:gridCol w:w="5600"/>
        <w:gridCol w:w="2401"/>
      </w:tblGrid>
      <w:tr>
        <w:trPr>
          <w:tblHeader w:val="true"/>
        </w:trPr>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فرضیه</w:t>
            </w:r>
          </w:p>
        </w:tc>
        <w:tc>
          <w:tcPr>
            <w:tcW w:w="56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مسیر</w:t>
            </w:r>
          </w:p>
        </w:tc>
        <w:tc>
          <w:tcPr>
            <w:tcW w:w="24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جهت</w:t>
            </w:r>
          </w:p>
        </w:tc>
      </w:tr>
      <w:tr>
        <w:trPr>
          <w:cantSplit w:val="true"/>
        </w:trPr>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۱</w:t>
            </w:r>
          </w:p>
        </w:tc>
        <w:tc>
          <w:tcPr>
            <w:tcW w:w="5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با محتوا ← فومو</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مثبت</w:t>
            </w:r>
          </w:p>
        </w:tc>
      </w:tr>
      <w:tr>
        <w:trPr>
          <w:cantSplit w:val="true"/>
        </w:trPr>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۲</w:t>
            </w:r>
          </w:p>
        </w:tc>
        <w:tc>
          <w:tcPr>
            <w:tcW w:w="5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فومو ← رفتار توده‌وار</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مثبت</w:t>
            </w:r>
          </w:p>
        </w:tc>
      </w:tr>
      <w:tr>
        <w:trPr>
          <w:cantSplit w:val="true"/>
        </w:trPr>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w:t>
            </w:r>
          </w:p>
        </w:tc>
        <w:tc>
          <w:tcPr>
            <w:tcW w:w="5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رفتار توده‌وار ← کیفیت تصمیم</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منفی</w:t>
            </w:r>
          </w:p>
        </w:tc>
      </w:tr>
      <w:tr>
        <w:trPr>
          <w:cantSplit w:val="true"/>
        </w:trPr>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w:t>
            </w:r>
          </w:p>
        </w:tc>
        <w:tc>
          <w:tcPr>
            <w:tcW w:w="5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مواجهه با محتوا ← رفتار توده‌وار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مستقیم</w:t>
            </w:r>
            <w:r>
              <w:rPr>
                <w:rFonts w:eastAsia="Times New Roman" w:cs="B Nazanin"/>
                <w:sz w:val="24"/>
                <w:szCs w:val="24"/>
                <w:rtl w:val="true"/>
                <w:lang w:val="en-US" w:bidi="fa-IR"/>
              </w:rPr>
              <w:t>)</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مثبت</w:t>
            </w:r>
          </w:p>
        </w:tc>
      </w:tr>
      <w:tr>
        <w:trPr>
          <w:cantSplit w:val="true"/>
        </w:trPr>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5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مواجهه ← فومو ← رفتار توده‌وار ← کیفیت تصمیم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میانجی متوالی</w:t>
            </w:r>
            <w:r>
              <w:rPr>
                <w:rFonts w:eastAsia="Times New Roman" w:cs="B Nazanin"/>
                <w:sz w:val="24"/>
                <w:szCs w:val="24"/>
                <w:rtl w:val="true"/>
                <w:lang w:val="en-US" w:bidi="fa-IR"/>
              </w:rPr>
              <w:t>)</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اثر غیرمستقیم منفی</w:t>
            </w:r>
          </w:p>
        </w:tc>
      </w:tr>
      <w:tr>
        <w:trPr>
          <w:cantSplit w:val="true"/>
        </w:trPr>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۶</w:t>
            </w:r>
          </w:p>
        </w:tc>
        <w:tc>
          <w:tcPr>
            <w:tcW w:w="5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تعامل فومو </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اطلاعات حسابداری ← رفتار توده‌وار</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منفی</w:t>
            </w:r>
          </w:p>
        </w:tc>
      </w:tr>
      <w:tr>
        <w:trPr>
          <w:cantSplit w:val="true"/>
        </w:trPr>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۷</w:t>
            </w:r>
          </w:p>
        </w:tc>
        <w:tc>
          <w:tcPr>
            <w:tcW w:w="5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میانجی‌گری تعدیل‌شده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شاخص</w:t>
            </w:r>
            <w:r>
              <w:rPr>
                <w:rFonts w:eastAsia="Times New Roman" w:cs="B Nazanin"/>
                <w:sz w:val="24"/>
                <w:szCs w:val="24"/>
                <w:rtl w:val="true"/>
                <w:lang w:val="en-US" w:bidi="fa-IR"/>
              </w:rPr>
              <w:t>)</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مثبت</w:t>
            </w:r>
          </w:p>
        </w:tc>
      </w:tr>
      <w:tr>
        <w:trPr>
          <w:cantSplit w:val="true"/>
        </w:trPr>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۸</w:t>
            </w:r>
          </w:p>
        </w:tc>
        <w:tc>
          <w:tcPr>
            <w:tcW w:w="5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اطلاعات حسابداری ← کیفیت تصمیم</w:t>
            </w:r>
          </w:p>
        </w:tc>
        <w:tc>
          <w:tcPr>
            <w:tcW w:w="24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مثبت</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روش‌شناسی</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طرح پژوهش، جامعه و کفایت نمونه</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این پژوهش از نظر هدف کاربردی و از نظر شیوهٔ گردآوری داده، پیمایشی ـ مقطعی است و با مدل‌سازی معادلات ساختاری</w:t>
      </w:r>
      <w:r>
        <w:rPr>
          <w:rStyle w:val="FootnoteReference"/>
          <w:rtl w:val="true"/>
        </w:rPr>
        <w:footnoteReference w:id="47"/>
      </w:r>
      <w:r>
        <w:rPr>
          <w:rFonts w:ascii="Times New Roman" w:hAnsi="Times New Roman" w:eastAsia="Times New Roman"/>
          <w:sz w:val="26"/>
          <w:sz w:val="26"/>
          <w:szCs w:val="26"/>
          <w:rtl w:val="true"/>
          <w:lang w:val="en-US" w:bidi="fa-IR"/>
        </w:rPr>
        <w:t xml:space="preserve"> مبتنی بر کوواریانس تحلیل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جامعهٔ هدف، سرمایه‌گذاران حقیقی فعال در بورس و فرابورس تهران با حداقل یک سال سابقهٔ معاملهٔ مستقل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اندازهٔ نمونه </w:t>
      </w:r>
      <w:r>
        <w:rPr>
          <w:rFonts w:ascii="Times New Roman" w:hAnsi="Times New Roman" w:eastAsia="Times New Roman"/>
          <w:sz w:val="26"/>
          <w:sz w:val="26"/>
          <w:szCs w:val="26"/>
          <w:lang w:val="en-US" w:bidi="fa-IR"/>
        </w:rPr>
        <w:t>۳۸۶</w:t>
      </w:r>
      <w:r>
        <w:rPr>
          <w:rFonts w:ascii="Times New Roman" w:hAnsi="Times New Roman" w:eastAsia="Times New Roman"/>
          <w:sz w:val="26"/>
          <w:sz w:val="26"/>
          <w:szCs w:val="26"/>
          <w:rtl w:val="true"/>
          <w:lang w:val="en-US" w:bidi="fa-IR"/>
        </w:rPr>
        <w:t xml:space="preserve"> نفر 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شمار پارامترهای آزاد مدل اندازه‌گیری </w:t>
      </w:r>
      <w:r>
        <w:rPr>
          <w:rFonts w:ascii="Times New Roman" w:hAnsi="Times New Roman" w:eastAsia="Times New Roman"/>
          <w:sz w:val="26"/>
          <w:sz w:val="26"/>
          <w:szCs w:val="26"/>
          <w:lang w:val="en-US" w:bidi="fa-IR"/>
        </w:rPr>
        <w:t>۶۲</w:t>
      </w:r>
      <w:r>
        <w:rPr>
          <w:rFonts w:ascii="Times New Roman" w:hAnsi="Times New Roman" w:eastAsia="Times New Roman"/>
          <w:sz w:val="26"/>
          <w:sz w:val="26"/>
          <w:szCs w:val="26"/>
          <w:rtl w:val="true"/>
          <w:lang w:val="en-US" w:bidi="fa-IR"/>
        </w:rPr>
        <w:t xml:space="preserve"> و مدل ساختاری </w:t>
      </w:r>
      <w:r>
        <w:rPr>
          <w:rFonts w:ascii="Times New Roman" w:hAnsi="Times New Roman" w:eastAsia="Times New Roman"/>
          <w:sz w:val="26"/>
          <w:sz w:val="26"/>
          <w:szCs w:val="26"/>
          <w:lang w:val="en-US" w:bidi="fa-IR"/>
        </w:rPr>
        <w:t>۸۰</w:t>
      </w:r>
      <w:r>
        <w:rPr>
          <w:rFonts w:ascii="Times New Roman" w:hAnsi="Times New Roman" w:eastAsia="Times New Roman"/>
          <w:sz w:val="26"/>
          <w:sz w:val="26"/>
          <w:szCs w:val="26"/>
          <w:rtl w:val="true"/>
          <w:lang w:val="en-US" w:bidi="fa-IR"/>
        </w:rPr>
        <w:t xml:space="preserve"> است؛ بنابراین نسبت مشاهده به پارامتر به‌ترتیب </w:t>
      </w:r>
      <w:r>
        <w:rPr>
          <w:rFonts w:ascii="Times New Roman" w:hAnsi="Times New Roman" w:eastAsia="Times New Roman"/>
          <w:sz w:val="26"/>
          <w:sz w:val="26"/>
          <w:szCs w:val="26"/>
          <w:lang w:val="en-US" w:bidi="fa-IR"/>
        </w:rPr>
        <w:t>۶٫۲۳</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۴٫۸۳</w:t>
      </w:r>
      <w:r>
        <w:rPr>
          <w:rFonts w:ascii="Times New Roman" w:hAnsi="Times New Roman" w:eastAsia="Times New Roman"/>
          <w:sz w:val="26"/>
          <w:sz w:val="26"/>
          <w:szCs w:val="26"/>
          <w:rtl w:val="true"/>
          <w:lang w:val="en-US" w:bidi="fa-IR"/>
        </w:rPr>
        <w:t xml:space="preserve"> می‌شود که از قاعدهٔ سرانگشتی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به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کمتر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این حال، قواعد سرانگشتی مبنای مطمئنی نیستند و اندازهٔ نمونهٔ لازم به ساختار مدل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تعداد گویه‌ها در هر سازه و اندازهٔ بارها</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بستگی دارد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ولف و همکاران</w:t>
      </w:r>
      <w:r>
        <w:rPr>
          <w:rStyle w:val="FootnoteReference"/>
          <w:rtl w:val="true"/>
        </w:rPr>
        <w:footnoteReference w:id="4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۲۰۱۳</w:t>
      </w:r>
      <w:r>
        <w:rPr>
          <w:rFonts w:ascii="Times New Roman" w:hAnsi="Times New Roman" w:eastAsia="Times New Roman"/>
          <w:sz w:val="26"/>
          <w:sz w:val="26"/>
          <w:szCs w:val="26"/>
          <w:rtl w:val="true"/>
          <w:lang w:val="en-US" w:bidi="fa-IR"/>
        </w:rPr>
        <w:t>؛ کلاین</w:t>
      </w:r>
      <w:r>
        <w:rPr>
          <w:rStyle w:val="FootnoteReference"/>
          <w:rtl w:val="true"/>
        </w:rPr>
        <w:footnoteReference w:id="49"/>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 پایهٔ تحلیل توان مبتنی بر ریشهٔ میانگین مربعات خطای تقریب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مک‌کالوم و همکاران</w:t>
      </w:r>
      <w:r>
        <w:rPr>
          <w:rStyle w:val="FootnoteReference"/>
          <w:rtl w:val="true"/>
        </w:rPr>
        <w:footnoteReference w:id="5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۱۹۹۶</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برای آزمون برازش نزدیک </w:t>
      </w:r>
      <w:r>
        <w:rPr>
          <w:rFonts w:eastAsia="Times New Roman" w:cs="B Nazanin"/>
          <w:sz w:val="26"/>
          <w:szCs w:val="26"/>
          <w:rtl w:val="true"/>
          <w:lang w:val="en-US" w:bidi="fa-IR"/>
        </w:rPr>
        <w:t>(</w:t>
      </w:r>
      <w:r>
        <w:rPr>
          <w:rFonts w:eastAsia="Times New Roman" w:cs="B Nazanin"/>
          <w:sz w:val="26"/>
          <w:szCs w:val="26"/>
          <w:lang w:val="en-US" w:bidi="fa-IR"/>
        </w:rPr>
        <w:t xml:space="preserve">‎RMSEA = </w:t>
      </w:r>
      <w:r>
        <w:rPr>
          <w:rFonts w:ascii="Times New Roman" w:hAnsi="Times New Roman" w:eastAsia="Times New Roman"/>
          <w:sz w:val="26"/>
          <w:sz w:val="26"/>
          <w:szCs w:val="26"/>
          <w:lang w:val="en-US" w:bidi="fa-IR"/>
        </w:rPr>
        <w:t>۰٫۰۵‎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برابر برازش ضعیف </w:t>
      </w:r>
      <w:r>
        <w:rPr>
          <w:rFonts w:eastAsia="Times New Roman" w:cs="B Nazanin"/>
          <w:sz w:val="26"/>
          <w:szCs w:val="26"/>
          <w:rtl w:val="true"/>
          <w:lang w:val="en-US" w:bidi="fa-IR"/>
        </w:rPr>
        <w:t>(</w:t>
      </w:r>
      <w:r>
        <w:rPr>
          <w:rFonts w:eastAsia="Times New Roman" w:cs="B Nazanin"/>
          <w:sz w:val="26"/>
          <w:szCs w:val="26"/>
          <w:lang w:val="en-US" w:bidi="fa-IR"/>
        </w:rPr>
        <w:t xml:space="preserve">‎RMSEA = </w:t>
      </w:r>
      <w:r>
        <w:rPr>
          <w:rFonts w:ascii="Times New Roman" w:hAnsi="Times New Roman" w:eastAsia="Times New Roman"/>
          <w:sz w:val="26"/>
          <w:sz w:val="26"/>
          <w:szCs w:val="26"/>
          <w:lang w:val="en-US" w:bidi="fa-IR"/>
        </w:rPr>
        <w:t>۰٫۰۸‎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توان آزمون برای مدل اندازه‌گیری بیش از </w:t>
      </w:r>
      <w:r>
        <w:rPr>
          <w:rFonts w:ascii="Times New Roman" w:hAnsi="Times New Roman" w:eastAsia="Times New Roman"/>
          <w:sz w:val="26"/>
          <w:sz w:val="26"/>
          <w:szCs w:val="26"/>
          <w:lang w:val="en-US" w:bidi="fa-IR"/>
        </w:rPr>
        <w:t>۰٫۹۹</w:t>
      </w:r>
      <w:r>
        <w:rPr>
          <w:rFonts w:ascii="Times New Roman" w:hAnsi="Times New Roman" w:eastAsia="Times New Roman"/>
          <w:sz w:val="26"/>
          <w:sz w:val="26"/>
          <w:szCs w:val="26"/>
          <w:rtl w:val="true"/>
          <w:lang w:val="en-US" w:bidi="fa-IR"/>
        </w:rPr>
        <w:t xml:space="preserve"> و برای مدل ساختاری بیش از </w:t>
      </w:r>
      <w:r>
        <w:rPr>
          <w:rFonts w:ascii="Times New Roman" w:hAnsi="Times New Roman" w:eastAsia="Times New Roman"/>
          <w:sz w:val="26"/>
          <w:sz w:val="26"/>
          <w:szCs w:val="26"/>
          <w:lang w:val="en-US" w:bidi="fa-IR"/>
        </w:rPr>
        <w:t>۰٫۹۹</w:t>
      </w:r>
      <w:r>
        <w:rPr>
          <w:rFonts w:ascii="Times New Roman" w:hAnsi="Times New Roman" w:eastAsia="Times New Roman"/>
          <w:sz w:val="26"/>
          <w:sz w:val="26"/>
          <w:szCs w:val="26"/>
          <w:rtl w:val="true"/>
          <w:lang w:val="en-US" w:bidi="fa-IR"/>
        </w:rPr>
        <w:t xml:space="preserve"> است که از </w:t>
      </w:r>
      <w:r>
        <w:rPr>
          <w:rFonts w:ascii="Times New Roman" w:hAnsi="Times New Roman" w:eastAsia="Times New Roman"/>
          <w:sz w:val="26"/>
          <w:sz w:val="26"/>
          <w:szCs w:val="26"/>
          <w:lang w:val="en-US" w:bidi="fa-IR"/>
        </w:rPr>
        <w:t>۰٫۸۰</w:t>
      </w:r>
      <w:r>
        <w:rPr>
          <w:rFonts w:ascii="Times New Roman" w:hAnsi="Times New Roman" w:eastAsia="Times New Roman"/>
          <w:sz w:val="26"/>
          <w:sz w:val="26"/>
          <w:szCs w:val="26"/>
          <w:rtl w:val="true"/>
          <w:lang w:val="en-US" w:bidi="fa-IR"/>
        </w:rPr>
        <w:t xml:space="preserve"> بسیار بالاتر است</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منشأ داده و محدودیت آن</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داده‌های این پژوهش با فرایند شبیه‌سازی واقع‌نما تولید شده‌اند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ابتدا متغیرهای پنهان از توزیع نرمال چندمتغیره با ضرایب ساختاری مفروض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تولید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سپس هر گویه با بار عاملی </w:t>
      </w:r>
      <w:r>
        <w:rPr>
          <w:rFonts w:ascii="Times New Roman" w:hAnsi="Times New Roman" w:eastAsia="Times New Roman"/>
          <w:sz w:val="26"/>
          <w:sz w:val="26"/>
          <w:szCs w:val="26"/>
          <w:lang w:val="en-US" w:bidi="fa-IR"/>
        </w:rPr>
        <w:t>۰٫۶۰</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۰٫۸۰</w:t>
      </w:r>
      <w:r>
        <w:rPr>
          <w:rFonts w:ascii="Times New Roman" w:hAnsi="Times New Roman" w:eastAsia="Times New Roman"/>
          <w:sz w:val="26"/>
          <w:sz w:val="26"/>
          <w:szCs w:val="26"/>
          <w:rtl w:val="true"/>
          <w:lang w:val="en-US" w:bidi="fa-IR"/>
        </w:rPr>
        <w:t xml:space="preserve">، چند بارگذاری متقاطع کوچک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۰٫۱۰</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۰٫۲۰</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همبستگی خطا میان گویه‌های هم‌محتوا، یک عامل روش مشترک ضعیف و آستانه‌های نامتقارن لیکرت به مقیاس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تبدیل شد تا ویژگی‌های ناکامل و غیرنرمال داده‌های پیمایشی بازتولید 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بنابراین یافته‌ها بازتاب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توان روش در بازیابی ساختار مفروض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هستند و نه شواهد دربارهٔ بازار واقعی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جایگزینی داده‌های واقعی بدون تغییر در کد ممکن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ضرایب ساختاری استاندارد مفروض در شبیه‌سازی</w:t>
      </w:r>
    </w:p>
    <w:tbl>
      <w:tblPr>
        <w:bidiVisual w:val="true"/>
        <w:tblW w:w="8900" w:type="dxa"/>
        <w:jc w:val="center"/>
        <w:tblInd w:w="0" w:type="dxa"/>
        <w:tblLayout w:type="fixed"/>
        <w:tblCellMar>
          <w:top w:w="0" w:type="dxa"/>
          <w:left w:w="60" w:type="dxa"/>
          <w:bottom w:w="0" w:type="dxa"/>
          <w:right w:w="60" w:type="dxa"/>
        </w:tblCellMar>
      </w:tblPr>
      <w:tblGrid>
        <w:gridCol w:w="2899"/>
        <w:gridCol w:w="1501"/>
        <w:gridCol w:w="3000"/>
        <w:gridCol w:w="1499"/>
      </w:tblGrid>
      <w:tr>
        <w:trPr>
          <w:tblHeader w:val="true"/>
        </w:trPr>
        <w:tc>
          <w:tcPr>
            <w:tcW w:w="28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مسیر</w:t>
            </w:r>
          </w:p>
        </w:tc>
        <w:tc>
          <w:tcPr>
            <w:tcW w:w="15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ضریب مفروض</w:t>
            </w:r>
          </w:p>
        </w:tc>
        <w:tc>
          <w:tcPr>
            <w:tcW w:w="30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مسیر</w:t>
            </w:r>
          </w:p>
        </w:tc>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ضریب مفروض</w:t>
            </w:r>
          </w:p>
        </w:tc>
      </w:tr>
      <w:tr>
        <w:trPr>
          <w:cantSplit w:val="true"/>
        </w:trPr>
        <w:tc>
          <w:tcPr>
            <w:tcW w:w="28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 فومو</w:t>
            </w:r>
          </w:p>
        </w:tc>
        <w:tc>
          <w:tcPr>
            <w:tcW w:w="15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۰٫۴۷</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فومو ← رفتار توده‌وار</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۰٫۴۶</w:t>
            </w:r>
          </w:p>
        </w:tc>
      </w:tr>
      <w:tr>
        <w:trPr>
          <w:cantSplit w:val="true"/>
        </w:trPr>
        <w:tc>
          <w:tcPr>
            <w:tcW w:w="28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 رفتار توده‌وار</w:t>
            </w:r>
          </w:p>
        </w:tc>
        <w:tc>
          <w:tcPr>
            <w:tcW w:w="15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۰٫۱۰</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رفتار توده‌وار ← کیفیت تصمیم</w:t>
            </w:r>
          </w:p>
        </w:tc>
        <w:tc>
          <w:tcPr>
            <w:tcW w:w="14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۰٫۳۴</w:t>
            </w:r>
          </w:p>
        </w:tc>
      </w:tr>
      <w:tr>
        <w:trPr>
          <w:cantSplit w:val="true"/>
        </w:trPr>
        <w:tc>
          <w:tcPr>
            <w:tcW w:w="28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فومو ← کیفیت تصمیم</w:t>
            </w:r>
          </w:p>
        </w:tc>
        <w:tc>
          <w:tcPr>
            <w:tcW w:w="1501"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۰٫۱۹</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اطلاعات حسابداری ← کیفیت تصمیم</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۰٫۳۰</w:t>
            </w:r>
          </w:p>
        </w:tc>
      </w:tr>
      <w:tr>
        <w:trPr>
          <w:cantSplit w:val="true"/>
        </w:trPr>
        <w:tc>
          <w:tcPr>
            <w:tcW w:w="28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فومو </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اطلاعات حسابداری ← رفتار توده‌وار</w:t>
            </w:r>
          </w:p>
        </w:tc>
        <w:tc>
          <w:tcPr>
            <w:tcW w:w="15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۰٫۲۲</w:t>
            </w:r>
          </w:p>
        </w:tc>
        <w:tc>
          <w:tcPr>
            <w:tcW w:w="3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اطلاعات حسابداری ← رفتار توده‌وار</w:t>
            </w:r>
          </w:p>
        </w:tc>
        <w:tc>
          <w:tcPr>
            <w:tcW w:w="14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۰٫۲۰</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ضرایب پیش از اعمال خطای اندازه‌گیری و گسسته‌سازی لیکرت تعریف شده‌اند؛ مقادیر برآوردشده در جدول </w:t>
      </w:r>
      <w:r>
        <w:rPr>
          <w:rFonts w:ascii="Times New Roman" w:hAnsi="Times New Roman" w:eastAsia="Times New Roman"/>
          <w:sz w:val="20"/>
          <w:sz w:val="20"/>
          <w:szCs w:val="20"/>
          <w:lang w:val="en-US" w:bidi="fa-IR"/>
        </w:rPr>
        <w:t>۹</w:t>
      </w:r>
      <w:r>
        <w:rPr>
          <w:rFonts w:ascii="Times New Roman" w:hAnsi="Times New Roman" w:eastAsia="Times New Roman"/>
          <w:sz w:val="20"/>
          <w:sz w:val="20"/>
          <w:szCs w:val="20"/>
          <w:rtl w:val="true"/>
          <w:lang w:val="en-US" w:bidi="fa-IR"/>
        </w:rPr>
        <w:t xml:space="preserve"> به‌دلیل این عوامل متفاوت‌اند</w:t>
      </w:r>
      <w:r>
        <w:rPr>
          <w:rFonts w:eastAsia="Times New Roman" w:cs="B Nazanin"/>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ابزار اندازه‌گیری و تعریف عملیاتی متغیرها</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ابزار گردآوری، پرسشنامه‌ای شامل پنج سازه و </w:t>
      </w:r>
      <w:r>
        <w:rPr>
          <w:rFonts w:ascii="Times New Roman" w:hAnsi="Times New Roman" w:eastAsia="Times New Roman"/>
          <w:sz w:val="26"/>
          <w:sz w:val="26"/>
          <w:szCs w:val="26"/>
          <w:lang w:val="en-US" w:bidi="fa-IR"/>
        </w:rPr>
        <w:t>۲۶</w:t>
      </w:r>
      <w:r>
        <w:rPr>
          <w:rFonts w:ascii="Times New Roman" w:hAnsi="Times New Roman" w:eastAsia="Times New Roman"/>
          <w:sz w:val="26"/>
          <w:sz w:val="26"/>
          <w:szCs w:val="26"/>
          <w:rtl w:val="true"/>
          <w:lang w:val="en-US" w:bidi="fa-IR"/>
        </w:rPr>
        <w:t xml:space="preserve"> گویه در مقیاس لیکرت پنج‌درجه‌ای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کاملاً مخالفم تا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کاملاً موافقم</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سؤال‌های جمعیت‌شناختی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هر گویه فقط یک سازه را می‌سنجد و مستقیماً به متغیر پنهان همان سازه متصل می‌شود؛ هیچ نمرهٔ ترکیبی یا میانگین گویه‌ها ساخته نشده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گویه‌ها از مقیاس‌های معتبر بین‌المللی بازنویسی و برای بستر سرمایه‌گذاری بومی‌سازی شده‌اند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متن کامل پرسشنامه به‌همراه راهنمای اعتبارسنجی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نسبت و شاخص روایی محتوا، ترجمه و ترجمهٔ معکوس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فایل پیوست آمده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سازه‌های پنهان، تعداد گویه‌ها و مبنای نظری گویه‌ها</w:t>
      </w:r>
    </w:p>
    <w:tbl>
      <w:tblPr>
        <w:bidiVisual w:val="true"/>
        <w:tblW w:w="9000" w:type="dxa"/>
        <w:jc w:val="center"/>
        <w:tblInd w:w="0" w:type="dxa"/>
        <w:tblLayout w:type="fixed"/>
        <w:tblCellMar>
          <w:top w:w="0" w:type="dxa"/>
          <w:left w:w="60" w:type="dxa"/>
          <w:bottom w:w="0" w:type="dxa"/>
          <w:right w:w="60" w:type="dxa"/>
        </w:tblCellMar>
      </w:tblPr>
      <w:tblGrid>
        <w:gridCol w:w="2500"/>
        <w:gridCol w:w="700"/>
        <w:gridCol w:w="3000"/>
        <w:gridCol w:w="2799"/>
      </w:tblGrid>
      <w:tr>
        <w:trPr>
          <w:tblHeader w:val="true"/>
        </w:trPr>
        <w:tc>
          <w:tcPr>
            <w:tcW w:w="25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 xml:space="preserve">سازه </w:t>
            </w:r>
            <w:r>
              <w:rPr>
                <w:rFonts w:eastAsia="Times New Roman" w:cs="B Nazanin"/>
                <w:b/>
                <w:bCs/>
                <w:sz w:val="22"/>
                <w:szCs w:val="22"/>
                <w:rtl w:val="true"/>
                <w:lang w:val="en-US" w:bidi="fa-IR"/>
              </w:rPr>
              <w:t>(</w:t>
            </w:r>
            <w:r>
              <w:rPr>
                <w:rFonts w:ascii="Times New Roman" w:hAnsi="Times New Roman" w:eastAsia="Times New Roman"/>
                <w:b/>
                <w:b/>
                <w:bCs/>
                <w:sz w:val="22"/>
                <w:sz w:val="22"/>
                <w:szCs w:val="22"/>
                <w:rtl w:val="true"/>
                <w:lang w:val="en-US" w:bidi="fa-IR"/>
              </w:rPr>
              <w:t>نماد لاتین</w:t>
            </w:r>
            <w:r>
              <w:rPr>
                <w:rFonts w:eastAsia="Times New Roman" w:cs="B Nazanin"/>
                <w:b/>
                <w:bCs/>
                <w:sz w:val="22"/>
                <w:szCs w:val="22"/>
                <w:rtl w:val="true"/>
                <w:lang w:val="en-US" w:bidi="fa-IR"/>
              </w:rPr>
              <w:t>)</w:t>
            </w:r>
          </w:p>
        </w:tc>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گویه</w:t>
            </w:r>
          </w:p>
        </w:tc>
        <w:tc>
          <w:tcPr>
            <w:tcW w:w="30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تعریف عملیاتی</w:t>
            </w:r>
          </w:p>
        </w:tc>
        <w:tc>
          <w:tcPr>
            <w:tcW w:w="2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مبنای ابزار</w:t>
            </w:r>
          </w:p>
        </w:tc>
      </w:tr>
      <w:tr>
        <w:trPr>
          <w:cantSplit w:val="true"/>
        </w:trPr>
        <w:tc>
          <w:tcPr>
            <w:tcW w:w="2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مواجهه با محتوای سرمایه‌گذاری در شبکه‌های اجتماعی </w:t>
            </w:r>
            <w:r>
              <w:rPr>
                <w:rFonts w:eastAsia="Times New Roman" w:cs="B Nazanin"/>
                <w:sz w:val="22"/>
                <w:szCs w:val="22"/>
                <w:rtl w:val="true"/>
                <w:lang w:val="en-US" w:bidi="fa-IR"/>
              </w:rPr>
              <w:t>(</w:t>
            </w:r>
            <w:r>
              <w:rPr>
                <w:rFonts w:eastAsia="Times New Roman" w:cs="B Nazanin"/>
                <w:sz w:val="22"/>
                <w:szCs w:val="22"/>
                <w:lang w:val="en-US" w:bidi="fa-IR"/>
              </w:rPr>
              <w:t>SME</w:t>
            </w:r>
            <w:r>
              <w:rPr>
                <w:rFonts w:eastAsia="Times New Roman" w:cs="B Nazanin"/>
                <w:sz w:val="22"/>
                <w:szCs w:val="22"/>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دفعات و شدت دنبال‌کردن و اتکا به محتوای بورس در شبکه‌ها</w:t>
            </w:r>
          </w:p>
        </w:tc>
        <w:tc>
          <w:tcPr>
            <w:tcW w:w="2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الیسون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۲۰۰۷</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بازنویسی پژوهشگر</w:t>
            </w:r>
          </w:p>
        </w:tc>
      </w:tr>
      <w:tr>
        <w:trPr>
          <w:cantSplit w:val="true"/>
        </w:trPr>
        <w:tc>
          <w:tcPr>
            <w:tcW w:w="2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فومو </w:t>
            </w:r>
            <w:r>
              <w:rPr>
                <w:rFonts w:eastAsia="Times New Roman" w:cs="B Nazanin"/>
                <w:sz w:val="22"/>
                <w:szCs w:val="22"/>
                <w:rtl w:val="true"/>
                <w:lang w:val="en-US" w:bidi="fa-IR"/>
              </w:rPr>
              <w:t>(</w:t>
            </w:r>
            <w:r>
              <w:rPr>
                <w:rFonts w:eastAsia="Times New Roman" w:cs="B Nazanin"/>
                <w:sz w:val="22"/>
                <w:szCs w:val="22"/>
                <w:lang w:val="en-US" w:bidi="fa-IR"/>
              </w:rPr>
              <w:t>FOMO</w:t>
            </w:r>
            <w:r>
              <w:rPr>
                <w:rFonts w:eastAsia="Times New Roman" w:cs="B Nazanin"/>
                <w:sz w:val="22"/>
                <w:szCs w:val="22"/>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۶</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نگرانی از دست‌دادن فرصت سودآوری که دیگران دارند</w:t>
            </w:r>
          </w:p>
        </w:tc>
        <w:tc>
          <w:tcPr>
            <w:tcW w:w="2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پرزیبیلسکی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۲۰۱۳</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xml:space="preserve">؛ آبل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۲۰۱۶</w:t>
            </w:r>
            <w:r>
              <w:rPr>
                <w:rFonts w:eastAsia="Times New Roman" w:cs="B Nazanin"/>
                <w:sz w:val="22"/>
                <w:szCs w:val="22"/>
                <w:rtl w:val="true"/>
                <w:lang w:val="en-US" w:bidi="fa-IR"/>
              </w:rPr>
              <w:t>)</w:t>
            </w:r>
          </w:p>
        </w:tc>
      </w:tr>
      <w:tr>
        <w:trPr>
          <w:cantSplit w:val="true"/>
        </w:trPr>
        <w:tc>
          <w:tcPr>
            <w:tcW w:w="2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رفتار توده‌وار </w:t>
            </w:r>
            <w:r>
              <w:rPr>
                <w:rFonts w:eastAsia="Times New Roman" w:cs="B Nazanin"/>
                <w:sz w:val="22"/>
                <w:szCs w:val="22"/>
                <w:rtl w:val="true"/>
                <w:lang w:val="en-US" w:bidi="fa-IR"/>
              </w:rPr>
              <w:t>(</w:t>
            </w:r>
            <w:r>
              <w:rPr>
                <w:rFonts w:eastAsia="Times New Roman" w:cs="B Nazanin"/>
                <w:sz w:val="22"/>
                <w:szCs w:val="22"/>
                <w:lang w:val="en-US" w:bidi="fa-IR"/>
              </w:rPr>
              <w:t>HRD</w:t>
            </w:r>
            <w:r>
              <w:rPr>
                <w:rFonts w:eastAsia="Times New Roman" w:cs="B Nazanin"/>
                <w:sz w:val="22"/>
                <w:szCs w:val="22"/>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پیروی تصمیم از رفتار جمع به‌جای تحلیل شخصی</w:t>
            </w:r>
          </w:p>
        </w:tc>
        <w:tc>
          <w:tcPr>
            <w:tcW w:w="2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باکار و یی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۲۰۱۶</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xml:space="preserve">؛ کومار و گویال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۲۰۱۵</w:t>
            </w:r>
            <w:r>
              <w:rPr>
                <w:rFonts w:eastAsia="Times New Roman" w:cs="B Nazanin"/>
                <w:sz w:val="22"/>
                <w:szCs w:val="22"/>
                <w:rtl w:val="true"/>
                <w:lang w:val="en-US" w:bidi="fa-IR"/>
              </w:rPr>
              <w:t>)</w:t>
            </w:r>
          </w:p>
        </w:tc>
      </w:tr>
      <w:tr>
        <w:trPr>
          <w:cantSplit w:val="true"/>
        </w:trPr>
        <w:tc>
          <w:tcPr>
            <w:tcW w:w="2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استفاده از اطلاعات حسابداری </w:t>
            </w:r>
            <w:r>
              <w:rPr>
                <w:rFonts w:eastAsia="Times New Roman" w:cs="B Nazanin"/>
                <w:sz w:val="22"/>
                <w:szCs w:val="22"/>
                <w:rtl w:val="true"/>
                <w:lang w:val="en-US" w:bidi="fa-IR"/>
              </w:rPr>
              <w:t>(</w:t>
            </w:r>
            <w:r>
              <w:rPr>
                <w:rFonts w:eastAsia="Times New Roman" w:cs="B Nazanin"/>
                <w:sz w:val="22"/>
                <w:szCs w:val="22"/>
                <w:lang w:val="en-US" w:bidi="fa-IR"/>
              </w:rPr>
              <w:t>AIU</w:t>
            </w:r>
            <w:r>
              <w:rPr>
                <w:rFonts w:eastAsia="Times New Roman" w:cs="B Nazanin"/>
                <w:sz w:val="22"/>
                <w:szCs w:val="22"/>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به‌کارگیری صورت‌های مالی، کدال و نسبت‌ها در تصمیم</w:t>
            </w:r>
          </w:p>
        </w:tc>
        <w:tc>
          <w:tcPr>
            <w:tcW w:w="2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توسعه‌یافته بر پایهٔ لارنس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۲۰۱۳</w:t>
            </w:r>
            <w:r>
              <w:rPr>
                <w:rFonts w:eastAsia="Times New Roman" w:cs="B Nazanin"/>
                <w:sz w:val="22"/>
                <w:szCs w:val="22"/>
                <w:rtl w:val="true"/>
                <w:lang w:val="en-US" w:bidi="fa-IR"/>
              </w:rPr>
              <w:t>)</w:t>
            </w:r>
          </w:p>
        </w:tc>
      </w:tr>
      <w:tr>
        <w:trPr>
          <w:cantSplit w:val="true"/>
        </w:trPr>
        <w:tc>
          <w:tcPr>
            <w:tcW w:w="25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کیفیت تصمیم سرمایه‌گذاری </w:t>
            </w:r>
            <w:r>
              <w:rPr>
                <w:rFonts w:eastAsia="Times New Roman" w:cs="B Nazanin"/>
                <w:sz w:val="22"/>
                <w:szCs w:val="22"/>
                <w:rtl w:val="true"/>
                <w:lang w:val="en-US" w:bidi="fa-IR"/>
              </w:rPr>
              <w:t>(</w:t>
            </w:r>
            <w:r>
              <w:rPr>
                <w:rFonts w:eastAsia="Times New Roman" w:cs="B Nazanin"/>
                <w:sz w:val="22"/>
                <w:szCs w:val="22"/>
                <w:lang w:val="en-US" w:bidi="fa-IR"/>
              </w:rPr>
              <w:t>IDQ</w:t>
            </w:r>
            <w:r>
              <w:rPr>
                <w:rFonts w:eastAsia="Times New Roman" w:cs="B Nazanin"/>
                <w:sz w:val="22"/>
                <w:szCs w:val="22"/>
                <w:rtl w:val="true"/>
                <w:lang w:val="en-US" w:bidi="fa-IR"/>
              </w:rPr>
              <w:t>)</w:t>
            </w:r>
          </w:p>
        </w:tc>
        <w:tc>
          <w:tcPr>
            <w:tcW w:w="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3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تحلیل‌محوری، رضایت، همسویی با اهداف و پشیمانی کم</w:t>
            </w:r>
          </w:p>
        </w:tc>
        <w:tc>
          <w:tcPr>
            <w:tcW w:w="2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پارکر و فیشهاف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۲۰۰۵</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xml:space="preserve">؛ برویِن دو برویِن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۲۰۰۷</w:t>
            </w:r>
            <w:r>
              <w:rPr>
                <w:rFonts w:eastAsia="Times New Roman" w:cs="B Nazanin"/>
                <w:sz w:val="22"/>
                <w:szCs w:val="22"/>
                <w:rtl w:val="true"/>
                <w:lang w:val="en-US" w:bidi="fa-IR"/>
              </w:rPr>
              <w:t>)</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هیچ‌یک از گویه‌ها نسخهٔ استانداردشدهٔ فارسی نیست و پیش از جمع‌آوری داده‌ٔ واقعی باید اعتبارسنجی شود</w:t>
      </w:r>
      <w:r>
        <w:rPr>
          <w:rFonts w:eastAsia="Times New Roman" w:cs="B Nazanin"/>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راهبرد تحلیل</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تحلیل در محیط پایتون و با بستهٔ </w:t>
      </w:r>
      <w:r>
        <w:rPr>
          <w:rFonts w:eastAsia="Times New Roman" w:cs="B Nazanin"/>
          <w:sz w:val="26"/>
          <w:szCs w:val="26"/>
          <w:lang w:val="en-US" w:bidi="fa-IR"/>
        </w:rPr>
        <w:t>semopy</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ایگولکینا و میشچریاکوف</w:t>
      </w:r>
      <w:r>
        <w:rPr>
          <w:rStyle w:val="FootnoteReference"/>
          <w:rtl w:val="true"/>
        </w:rPr>
        <w:footnoteReference w:id="5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انجام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نخست توصیف گویه‌ها و آزمون نرمال‌بودن چندمتغیره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ماردیا</w:t>
      </w:r>
      <w:r>
        <w:rPr>
          <w:rStyle w:val="FootnoteReference"/>
          <w:rtl w:val="true"/>
        </w:rPr>
        <w:footnoteReference w:id="5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۱۹۷۰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بررسی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از آنجا که گویه‌ها پنج‌طبقه‌ای و بدون چولگی شدیدند، برآورد بیشینهٔ درست‌نمایی</w:t>
      </w:r>
      <w:r>
        <w:rPr>
          <w:rStyle w:val="FootnoteReference"/>
          <w:rtl w:val="true"/>
        </w:rPr>
        <w:footnoteReference w:id="53"/>
      </w:r>
      <w:r>
        <w:rPr>
          <w:rFonts w:ascii="Times New Roman" w:hAnsi="Times New Roman" w:eastAsia="Times New Roman"/>
          <w:sz w:val="26"/>
          <w:sz w:val="26"/>
          <w:szCs w:val="26"/>
          <w:rtl w:val="true"/>
          <w:lang w:val="en-US" w:bidi="fa-IR"/>
        </w:rPr>
        <w:t xml:space="preserve"> با تقریب پیوسته پذیرفتنی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رمتولا و همکاران</w:t>
      </w:r>
      <w:r>
        <w:rPr>
          <w:rStyle w:val="FootnoteReference"/>
          <w:rtl w:val="true"/>
        </w:rPr>
        <w:footnoteReference w:id="5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۲۰۱۲</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برای اطمینان از استحکام، برآوردگر حداقل مربعات وزنی قطری</w:t>
      </w:r>
      <w:r>
        <w:rPr>
          <w:rStyle w:val="FootnoteReference"/>
          <w:rtl w:val="true"/>
        </w:rPr>
        <w:footnoteReference w:id="55"/>
      </w:r>
      <w:r>
        <w:rPr>
          <w:rFonts w:ascii="Times New Roman" w:hAnsi="Times New Roman" w:eastAsia="Times New Roman"/>
          <w:sz w:val="26"/>
          <w:sz w:val="26"/>
          <w:szCs w:val="26"/>
          <w:rtl w:val="true"/>
          <w:lang w:val="en-US" w:bidi="fa-IR"/>
        </w:rPr>
        <w:t xml:space="preserve"> نیز اجرا 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لی</w:t>
      </w:r>
      <w:r>
        <w:rPr>
          <w:rStyle w:val="FootnoteReference"/>
          <w:rtl w:val="true"/>
        </w:rPr>
        <w:footnoteReference w:id="5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۲۰۱۶</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مدل اندازه‌گیری پنج‌عاملی با تحلیل عاملی تأییدی</w:t>
      </w:r>
      <w:r>
        <w:rPr>
          <w:rStyle w:val="FootnoteReference"/>
          <w:rtl w:val="true"/>
        </w:rPr>
        <w:footnoteReference w:id="57"/>
      </w:r>
      <w:r>
        <w:rPr>
          <w:rFonts w:ascii="Times New Roman" w:hAnsi="Times New Roman" w:eastAsia="Times New Roman"/>
          <w:sz w:val="26"/>
          <w:sz w:val="26"/>
          <w:szCs w:val="26"/>
          <w:rtl w:val="true"/>
          <w:lang w:val="en-US" w:bidi="fa-IR"/>
        </w:rPr>
        <w:t xml:space="preserve"> آزموده و پایایی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آلفای کرونباخ و پایایی ترکیبی</w:t>
      </w:r>
      <w:r>
        <w:rPr>
          <w:rStyle w:val="FootnoteReference"/>
          <w:rtl w:val="true"/>
        </w:rPr>
        <w:footnoteReference w:id="58"/>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روایی همگرا</w:t>
      </w:r>
      <w:r>
        <w:rPr>
          <w:rStyle w:val="FootnoteReference"/>
          <w:rtl w:val="true"/>
        </w:rPr>
        <w:footnoteReference w:id="59"/>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میانگین واریانس استخراج‌شده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روایی واگرا</w:t>
      </w:r>
      <w:r>
        <w:rPr>
          <w:rStyle w:val="FootnoteReference"/>
          <w:rtl w:val="true"/>
        </w:rPr>
        <w:footnoteReference w:id="60"/>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معیار فورنل ـ لارکر و نسبت </w:t>
      </w:r>
      <w:r>
        <w:rPr>
          <w:rFonts w:eastAsia="Times New Roman" w:cs="B Nazanin"/>
          <w:sz w:val="26"/>
          <w:szCs w:val="26"/>
          <w:lang w:val="en-US" w:bidi="fa-IR"/>
        </w:rPr>
        <w:t>HTMT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سنجیده 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فورنل و لارکر</w:t>
      </w:r>
      <w:r>
        <w:rPr>
          <w:rStyle w:val="FootnoteReference"/>
          <w:rtl w:val="true"/>
        </w:rPr>
        <w:footnoteReference w:id="6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۱۹۸۱</w:t>
      </w:r>
      <w:r>
        <w:rPr>
          <w:rFonts w:ascii="Times New Roman" w:hAnsi="Times New Roman" w:eastAsia="Times New Roman"/>
          <w:sz w:val="26"/>
          <w:sz w:val="26"/>
          <w:szCs w:val="26"/>
          <w:rtl w:val="true"/>
          <w:lang w:val="en-US" w:bidi="fa-IR"/>
        </w:rPr>
        <w:t>؛ هنسلر و همکاران</w:t>
      </w:r>
      <w:r>
        <w:rPr>
          <w:rStyle w:val="FootnoteReference"/>
          <w:rtl w:val="true"/>
        </w:rPr>
        <w:footnoteReference w:id="6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سوگیری روش مشترک با آزمون تک‌عاملی هارمن، مدل تک‌عاملی و مدل عامل روش مشترک بررسی 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پوداساف و همکاران</w:t>
      </w:r>
      <w:r>
        <w:rPr>
          <w:rStyle w:val="FootnoteReference"/>
          <w:rtl w:val="true"/>
        </w:rPr>
        <w:footnoteReference w:id="6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معیارهای برازش شامل </w:t>
      </w:r>
      <w:r>
        <w:rPr>
          <w:rFonts w:eastAsia="Times New Roman" w:cs="B Nazanin"/>
          <w:sz w:val="26"/>
          <w:szCs w:val="26"/>
          <w:lang w:val="en-US" w:bidi="fa-IR"/>
        </w:rPr>
        <w:t>χ²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نسبت درجهٔ آزادی، </w:t>
      </w:r>
      <w:r>
        <w:rPr>
          <w:rFonts w:eastAsia="Times New Roman" w:cs="B Nazanin"/>
          <w:sz w:val="26"/>
          <w:szCs w:val="26"/>
          <w:lang w:val="en-US" w:bidi="fa-IR"/>
        </w:rPr>
        <w:t>CFI</w:t>
      </w:r>
      <w:r>
        <w:rPr>
          <w:rFonts w:ascii="Times New Roman" w:hAnsi="Times New Roman" w:eastAsia="Times New Roman"/>
          <w:sz w:val="26"/>
          <w:sz w:val="26"/>
          <w:szCs w:val="26"/>
          <w:lang w:val="en-US" w:bidi="fa-IR"/>
        </w:rPr>
        <w:t xml:space="preserve">، </w:t>
      </w:r>
      <w:r>
        <w:rPr>
          <w:rFonts w:eastAsia="Times New Roman" w:cs="B Nazanin"/>
          <w:sz w:val="26"/>
          <w:szCs w:val="26"/>
          <w:lang w:val="en-US" w:bidi="fa-IR"/>
        </w:rPr>
        <w:t>TLI</w:t>
      </w:r>
      <w:r>
        <w:rPr>
          <w:rFonts w:ascii="Times New Roman" w:hAnsi="Times New Roman" w:eastAsia="Times New Roman"/>
          <w:sz w:val="26"/>
          <w:sz w:val="26"/>
          <w:szCs w:val="26"/>
          <w:lang w:val="en-US" w:bidi="fa-IR"/>
        </w:rPr>
        <w:t xml:space="preserve">، </w:t>
      </w:r>
      <w:r>
        <w:rPr>
          <w:rFonts w:eastAsia="Times New Roman" w:cs="B Nazanin"/>
          <w:sz w:val="26"/>
          <w:szCs w:val="26"/>
          <w:lang w:val="en-US" w:bidi="fa-IR"/>
        </w:rPr>
        <w:t>RMSEA</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w:t>
      </w:r>
      <w:r>
        <w:rPr>
          <w:rFonts w:eastAsia="Times New Roman" w:cs="B Nazanin"/>
          <w:sz w:val="26"/>
          <w:szCs w:val="26"/>
          <w:lang w:val="en-US" w:bidi="fa-IR"/>
        </w:rPr>
        <w:t>SRMR</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بود که با آستانه‌های هو و بنتلر</w:t>
      </w:r>
      <w:r>
        <w:rPr>
          <w:rStyle w:val="FootnoteReference"/>
          <w:rtl w:val="true"/>
        </w:rPr>
        <w:footnoteReference w:id="64"/>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مقایسه شدند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در مدل ساختاری، هر گویه بدون تجمیع به متغیر پنهان خود متصل است و مسیرهای پیشنهادی میان متغیرهای پنهان و متغیرهای کنترل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سن، جنسیت و سابقه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برآورد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تعامل پنهان فومو و استفاده از اطلاعات حسابداری با شاخص‌های حاصل‌ضرب جفت‌شدهٔ میانگین‌مرکزشده مدل 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مارش و همکاران</w:t>
      </w:r>
      <w:r>
        <w:rPr>
          <w:rStyle w:val="FootnoteReference"/>
          <w:rtl w:val="true"/>
        </w:rPr>
        <w:footnoteReference w:id="6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در تحلیل استحکام با روش مرکزسازی باقی‌مانده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لیتل و همکاران</w:t>
      </w:r>
      <w:r>
        <w:rPr>
          <w:rStyle w:val="FootnoteReference"/>
          <w:rtl w:val="true"/>
        </w:rPr>
        <w:footnoteReference w:id="6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بازبرآورد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اندازهٔ اثر تعامل از تفاضل </w:t>
      </w:r>
      <w:r>
        <w:rPr>
          <w:rFonts w:eastAsia="Times New Roman" w:cs="B Nazanin"/>
          <w:sz w:val="26"/>
          <w:szCs w:val="26"/>
          <w:lang w:val="en-US" w:bidi="fa-IR"/>
        </w:rPr>
        <w:t>R²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با و بدون جملهٔ تعاملی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کوهن</w:t>
      </w:r>
      <w:r>
        <w:rPr>
          <w:rStyle w:val="FootnoteReference"/>
          <w:rtl w:val="true"/>
        </w:rPr>
        <w:footnoteReference w:id="6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محاسبه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اثرهای غیرمستقیم و مشروط با </w:t>
      </w:r>
      <w:r>
        <w:rPr>
          <w:rFonts w:ascii="Times New Roman" w:hAnsi="Times New Roman" w:eastAsia="Times New Roman"/>
          <w:sz w:val="26"/>
          <w:sz w:val="26"/>
          <w:szCs w:val="26"/>
          <w:lang w:val="en-US" w:bidi="fa-IR"/>
        </w:rPr>
        <w:t>۲۰۰۰</w:t>
      </w:r>
      <w:r>
        <w:rPr>
          <w:rFonts w:ascii="Times New Roman" w:hAnsi="Times New Roman" w:eastAsia="Times New Roman"/>
          <w:sz w:val="26"/>
          <w:sz w:val="26"/>
          <w:szCs w:val="26"/>
          <w:rtl w:val="true"/>
          <w:lang w:val="en-US" w:bidi="fa-IR"/>
        </w:rPr>
        <w:t xml:space="preserve"> نمونهٔ خودگردان و فاصلهٔ اطمینان صدکی </w:t>
      </w:r>
      <w:r>
        <w:rPr>
          <w:rFonts w:ascii="Times New Roman" w:hAnsi="Times New Roman" w:eastAsia="Times New Roman"/>
          <w:sz w:val="26"/>
          <w:sz w:val="26"/>
          <w:szCs w:val="26"/>
          <w:lang w:val="en-US" w:bidi="fa-IR"/>
        </w:rPr>
        <w:t>۹۵</w:t>
      </w:r>
      <w:r>
        <w:rPr>
          <w:rFonts w:ascii="Times New Roman" w:hAnsi="Times New Roman" w:eastAsia="Times New Roman"/>
          <w:sz w:val="26"/>
          <w:sz w:val="26"/>
          <w:szCs w:val="26"/>
          <w:rtl w:val="true"/>
          <w:lang w:val="en-US" w:bidi="fa-IR"/>
        </w:rPr>
        <w:t>٪ آزموده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شیب‌های ساده از ضرایب پنهان و در سه سطح استفاده از اطلاعات حسابداری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میانگین و یک انحراف معیار بالاتر</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پایین‌تر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محاسبه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هیچ‌یک از مراحل بر میانگین گویه‌ها استوار نیست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کد و داده در پوشهٔ پیوست قرار دارد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یافته‌های پژوهش</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مشخصات جمعیت‌شناختی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از </w:t>
      </w:r>
      <w:r>
        <w:rPr>
          <w:rFonts w:ascii="Times New Roman" w:hAnsi="Times New Roman" w:eastAsia="Times New Roman"/>
          <w:sz w:val="26"/>
          <w:sz w:val="26"/>
          <w:szCs w:val="26"/>
          <w:lang w:val="en-US" w:bidi="fa-IR"/>
        </w:rPr>
        <w:t>۳۸۶</w:t>
      </w:r>
      <w:r>
        <w:rPr>
          <w:rFonts w:ascii="Times New Roman" w:hAnsi="Times New Roman" w:eastAsia="Times New Roman"/>
          <w:sz w:val="26"/>
          <w:sz w:val="26"/>
          <w:szCs w:val="26"/>
          <w:rtl w:val="true"/>
          <w:lang w:val="en-US" w:bidi="fa-IR"/>
        </w:rPr>
        <w:t xml:space="preserve"> سرمایه‌گذار، </w:t>
      </w:r>
      <w:r>
        <w:rPr>
          <w:rFonts w:ascii="Times New Roman" w:hAnsi="Times New Roman" w:eastAsia="Times New Roman"/>
          <w:sz w:val="26"/>
          <w:sz w:val="26"/>
          <w:szCs w:val="26"/>
          <w:lang w:val="en-US" w:bidi="fa-IR"/>
        </w:rPr>
        <w:t>۷۱٫۵</w:t>
      </w:r>
      <w:r>
        <w:rPr>
          <w:rFonts w:ascii="Times New Roman" w:hAnsi="Times New Roman" w:eastAsia="Times New Roman"/>
          <w:sz w:val="26"/>
          <w:sz w:val="26"/>
          <w:szCs w:val="26"/>
          <w:rtl w:val="true"/>
          <w:lang w:val="en-US" w:bidi="fa-IR"/>
        </w:rPr>
        <w:t xml:space="preserve">٪ مرد و </w:t>
      </w:r>
      <w:r>
        <w:rPr>
          <w:rFonts w:ascii="Times New Roman" w:hAnsi="Times New Roman" w:eastAsia="Times New Roman"/>
          <w:sz w:val="26"/>
          <w:sz w:val="26"/>
          <w:szCs w:val="26"/>
          <w:lang w:val="en-US" w:bidi="fa-IR"/>
        </w:rPr>
        <w:t>۲۸٫۵</w:t>
      </w:r>
      <w:r>
        <w:rPr>
          <w:rFonts w:ascii="Times New Roman" w:hAnsi="Times New Roman" w:eastAsia="Times New Roman"/>
          <w:sz w:val="26"/>
          <w:sz w:val="26"/>
          <w:szCs w:val="26"/>
          <w:rtl w:val="true"/>
          <w:lang w:val="en-US" w:bidi="fa-IR"/>
        </w:rPr>
        <w:t>٪ زن بودند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میانگین سن </w:t>
      </w:r>
      <w:r>
        <w:rPr>
          <w:rFonts w:ascii="Times New Roman" w:hAnsi="Times New Roman" w:eastAsia="Times New Roman"/>
          <w:sz w:val="26"/>
          <w:sz w:val="26"/>
          <w:szCs w:val="26"/>
          <w:lang w:val="en-US" w:bidi="fa-IR"/>
        </w:rPr>
        <w:t>۳۶٫۹</w:t>
      </w:r>
      <w:r>
        <w:rPr>
          <w:rFonts w:ascii="Times New Roman" w:hAnsi="Times New Roman" w:eastAsia="Times New Roman"/>
          <w:sz w:val="26"/>
          <w:sz w:val="26"/>
          <w:szCs w:val="26"/>
          <w:rtl w:val="true"/>
          <w:lang w:val="en-US" w:bidi="fa-IR"/>
        </w:rPr>
        <w:t xml:space="preserve"> سال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انحراف معیار </w:t>
      </w:r>
      <w:r>
        <w:rPr>
          <w:rFonts w:ascii="Times New Roman" w:hAnsi="Times New Roman" w:eastAsia="Times New Roman"/>
          <w:sz w:val="26"/>
          <w:sz w:val="26"/>
          <w:szCs w:val="26"/>
          <w:lang w:val="en-US" w:bidi="fa-IR"/>
        </w:rPr>
        <w:t>۸٫۹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میانگین سابقهٔ معامله </w:t>
      </w:r>
      <w:r>
        <w:rPr>
          <w:rFonts w:ascii="Times New Roman" w:hAnsi="Times New Roman" w:eastAsia="Times New Roman"/>
          <w:sz w:val="26"/>
          <w:sz w:val="26"/>
          <w:szCs w:val="26"/>
          <w:lang w:val="en-US" w:bidi="fa-IR"/>
        </w:rPr>
        <w:t>۷٫۰</w:t>
      </w:r>
      <w:r>
        <w:rPr>
          <w:rFonts w:ascii="Times New Roman" w:hAnsi="Times New Roman" w:eastAsia="Times New Roman"/>
          <w:sz w:val="26"/>
          <w:sz w:val="26"/>
          <w:szCs w:val="26"/>
          <w:rtl w:val="true"/>
          <w:lang w:val="en-US" w:bidi="fa-IR"/>
        </w:rPr>
        <w:t xml:space="preserve"> سال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انحراف معیار </w:t>
      </w:r>
      <w:r>
        <w:rPr>
          <w:rFonts w:ascii="Times New Roman" w:hAnsi="Times New Roman" w:eastAsia="Times New Roman"/>
          <w:sz w:val="26"/>
          <w:sz w:val="26"/>
          <w:szCs w:val="26"/>
          <w:lang w:val="en-US" w:bidi="fa-IR"/>
        </w:rPr>
        <w:t>۴٫۴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نظر تحصیلات، </w:t>
      </w:r>
      <w:r>
        <w:rPr>
          <w:rFonts w:ascii="Times New Roman" w:hAnsi="Times New Roman" w:eastAsia="Times New Roman"/>
          <w:sz w:val="26"/>
          <w:sz w:val="26"/>
          <w:szCs w:val="26"/>
          <w:lang w:val="en-US" w:bidi="fa-IR"/>
        </w:rPr>
        <w:t>۱۰٫۴</w:t>
      </w:r>
      <w:r>
        <w:rPr>
          <w:rFonts w:ascii="Times New Roman" w:hAnsi="Times New Roman" w:eastAsia="Times New Roman"/>
          <w:sz w:val="26"/>
          <w:sz w:val="26"/>
          <w:szCs w:val="26"/>
          <w:rtl w:val="true"/>
          <w:lang w:val="en-US" w:bidi="fa-IR"/>
        </w:rPr>
        <w:t xml:space="preserve">٪ دیپلم و کمتر، </w:t>
      </w:r>
      <w:r>
        <w:rPr>
          <w:rFonts w:ascii="Times New Roman" w:hAnsi="Times New Roman" w:eastAsia="Times New Roman"/>
          <w:sz w:val="26"/>
          <w:sz w:val="26"/>
          <w:szCs w:val="26"/>
          <w:lang w:val="en-US" w:bidi="fa-IR"/>
        </w:rPr>
        <w:t>۴۳٫۰</w:t>
      </w:r>
      <w:r>
        <w:rPr>
          <w:rFonts w:ascii="Times New Roman" w:hAnsi="Times New Roman" w:eastAsia="Times New Roman"/>
          <w:sz w:val="26"/>
          <w:sz w:val="26"/>
          <w:szCs w:val="26"/>
          <w:rtl w:val="true"/>
          <w:lang w:val="en-US" w:bidi="fa-IR"/>
        </w:rPr>
        <w:t xml:space="preserve">٪ کارشناسی، </w:t>
      </w:r>
      <w:r>
        <w:rPr>
          <w:rFonts w:ascii="Times New Roman" w:hAnsi="Times New Roman" w:eastAsia="Times New Roman"/>
          <w:sz w:val="26"/>
          <w:sz w:val="26"/>
          <w:szCs w:val="26"/>
          <w:lang w:val="en-US" w:bidi="fa-IR"/>
        </w:rPr>
        <w:t>۳۹٫۱</w:t>
      </w:r>
      <w:r>
        <w:rPr>
          <w:rFonts w:ascii="Times New Roman" w:hAnsi="Times New Roman" w:eastAsia="Times New Roman"/>
          <w:sz w:val="26"/>
          <w:sz w:val="26"/>
          <w:szCs w:val="26"/>
          <w:rtl w:val="true"/>
          <w:lang w:val="en-US" w:bidi="fa-IR"/>
        </w:rPr>
        <w:t xml:space="preserve">٪ کارشناسی ارشد و </w:t>
      </w:r>
      <w:r>
        <w:rPr>
          <w:rFonts w:ascii="Times New Roman" w:hAnsi="Times New Roman" w:eastAsia="Times New Roman"/>
          <w:sz w:val="26"/>
          <w:sz w:val="26"/>
          <w:szCs w:val="26"/>
          <w:lang w:val="en-US" w:bidi="fa-IR"/>
        </w:rPr>
        <w:t>۷٫۵</w:t>
      </w:r>
      <w:r>
        <w:rPr>
          <w:rFonts w:ascii="Times New Roman" w:hAnsi="Times New Roman" w:eastAsia="Times New Roman"/>
          <w:sz w:val="26"/>
          <w:sz w:val="26"/>
          <w:szCs w:val="26"/>
          <w:rtl w:val="true"/>
          <w:lang w:val="en-US" w:bidi="fa-IR"/>
        </w:rPr>
        <w:t xml:space="preserve">٪ دکتری داشتند و میانهٔ ارزش سبد </w:t>
      </w:r>
      <w:r>
        <w:rPr>
          <w:rFonts w:ascii="Times New Roman" w:hAnsi="Times New Roman" w:eastAsia="Times New Roman"/>
          <w:sz w:val="26"/>
          <w:sz w:val="26"/>
          <w:szCs w:val="26"/>
          <w:lang w:val="en-US" w:bidi="fa-IR"/>
        </w:rPr>
        <w:t>۱۸۴</w:t>
      </w:r>
      <w:r>
        <w:rPr>
          <w:rFonts w:ascii="Times New Roman" w:hAnsi="Times New Roman" w:eastAsia="Times New Roman"/>
          <w:sz w:val="26"/>
          <w:sz w:val="26"/>
          <w:szCs w:val="26"/>
          <w:rtl w:val="true"/>
          <w:lang w:val="en-US" w:bidi="fa-IR"/>
        </w:rPr>
        <w:t xml:space="preserve"> میلیون تومان بود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۴</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مشخصات جمعیت‌شناختی نمونه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شبیه‌سازی‌شده</w:t>
      </w:r>
      <w:r>
        <w:rPr>
          <w:rFonts w:eastAsia="Times New Roman" w:cs="B Zar"/>
          <w:b/>
          <w:bCs/>
          <w:sz w:val="20"/>
          <w:szCs w:val="20"/>
          <w:rtl w:val="true"/>
          <w:lang w:val="en-US" w:bidi="fa-IR"/>
        </w:rPr>
        <w:t>)</w:t>
      </w:r>
    </w:p>
    <w:tbl>
      <w:tblPr>
        <w:bidiVisual w:val="true"/>
        <w:tblW w:w="8000" w:type="dxa"/>
        <w:jc w:val="center"/>
        <w:tblInd w:w="0" w:type="dxa"/>
        <w:tblLayout w:type="fixed"/>
        <w:tblCellMar>
          <w:top w:w="0" w:type="dxa"/>
          <w:left w:w="60" w:type="dxa"/>
          <w:bottom w:w="0" w:type="dxa"/>
          <w:right w:w="60" w:type="dxa"/>
        </w:tblCellMar>
      </w:tblPr>
      <w:tblGrid>
        <w:gridCol w:w="2600"/>
        <w:gridCol w:w="3200"/>
        <w:gridCol w:w="2200"/>
      </w:tblGrid>
      <w:tr>
        <w:trPr>
          <w:tblHeader w:val="true"/>
        </w:trPr>
        <w:tc>
          <w:tcPr>
            <w:tcW w:w="26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متغیر</w:t>
            </w:r>
          </w:p>
        </w:tc>
        <w:tc>
          <w:tcPr>
            <w:tcW w:w="32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 xml:space="preserve">طبقه </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شاخص</w:t>
            </w:r>
          </w:p>
        </w:tc>
        <w:tc>
          <w:tcPr>
            <w:tcW w:w="22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مقدار</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جنسیت</w:t>
            </w:r>
          </w:p>
        </w:tc>
        <w:tc>
          <w:tcPr>
            <w:tcW w:w="3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مرد</w:t>
            </w:r>
          </w:p>
        </w:tc>
        <w:tc>
          <w:tcPr>
            <w:tcW w:w="2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۷۱٫۵٪</w:t>
            </w:r>
          </w:p>
        </w:tc>
      </w:tr>
      <w:tr>
        <w:trPr>
          <w:cantSplit w:val="true"/>
        </w:trPr>
        <w:tc>
          <w:tcPr>
            <w:tcW w:w="2600" w:type="dxa"/>
            <w:tcBorders/>
            <w:vAlign w:val="center"/>
          </w:tcPr>
          <w:p>
            <w:pPr>
              <w:pStyle w:val="Normal"/>
              <w:bidi w:val="1"/>
              <w:spacing w:lineRule="auto" w:line="240" w:before="40" w:after="40"/>
              <w:jc w:val="center"/>
              <w:rPr/>
            </w:pPr>
            <w:r>
              <w:rPr>
                <w:rtl w:val="true"/>
              </w:rPr>
            </w:r>
          </w:p>
        </w:tc>
        <w:tc>
          <w:tcPr>
            <w:tcW w:w="3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زن</w:t>
            </w:r>
          </w:p>
        </w:tc>
        <w:tc>
          <w:tcPr>
            <w:tcW w:w="2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۲۸٫۵٪</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سن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سال</w:t>
            </w:r>
            <w:r>
              <w:rPr>
                <w:rFonts w:eastAsia="Times New Roman" w:cs="B Nazanin"/>
                <w:sz w:val="24"/>
                <w:szCs w:val="24"/>
                <w:rtl w:val="true"/>
                <w:lang w:val="en-US" w:bidi="fa-IR"/>
              </w:rPr>
              <w:t>)</w:t>
            </w:r>
          </w:p>
        </w:tc>
        <w:tc>
          <w:tcPr>
            <w:tcW w:w="3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میانگین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انحراف معیار</w:t>
            </w:r>
            <w:r>
              <w:rPr>
                <w:rFonts w:eastAsia="Times New Roman" w:cs="B Nazanin"/>
                <w:sz w:val="24"/>
                <w:szCs w:val="24"/>
                <w:rtl w:val="true"/>
                <w:lang w:val="en-US" w:bidi="fa-IR"/>
              </w:rPr>
              <w:t>)</w:t>
            </w:r>
          </w:p>
        </w:tc>
        <w:tc>
          <w:tcPr>
            <w:tcW w:w="2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۳۶٫۹</w:t>
            </w:r>
            <w:r>
              <w:rPr>
                <w:rFonts w:ascii="Times New Roman" w:hAnsi="Times New Roman" w:eastAsia="Times New Roman"/>
                <w:sz w:val="24"/>
                <w:sz w:val="24"/>
                <w:szCs w:val="24"/>
                <w:rtl w:val="true"/>
                <w:lang w:val="en-US" w:bidi="fa-IR"/>
              </w:rPr>
              <w:t xml:space="preserve">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۸٫۹</w:t>
            </w:r>
            <w:r>
              <w:rPr>
                <w:rFonts w:eastAsia="Times New Roman" w:cs="B Nazanin"/>
                <w:sz w:val="24"/>
                <w:szCs w:val="24"/>
                <w:rtl w:val="true"/>
                <w:lang w:val="en-US" w:bidi="fa-IR"/>
              </w:rPr>
              <w:t>)</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سابقهٔ معامله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سال</w:t>
            </w:r>
            <w:r>
              <w:rPr>
                <w:rFonts w:eastAsia="Times New Roman" w:cs="B Nazanin"/>
                <w:sz w:val="24"/>
                <w:szCs w:val="24"/>
                <w:rtl w:val="true"/>
                <w:lang w:val="en-US" w:bidi="fa-IR"/>
              </w:rPr>
              <w:t>)</w:t>
            </w:r>
          </w:p>
        </w:tc>
        <w:tc>
          <w:tcPr>
            <w:tcW w:w="3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میانگین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انحراف معیار</w:t>
            </w:r>
            <w:r>
              <w:rPr>
                <w:rFonts w:eastAsia="Times New Roman" w:cs="B Nazanin"/>
                <w:sz w:val="24"/>
                <w:szCs w:val="24"/>
                <w:rtl w:val="true"/>
                <w:lang w:val="en-US" w:bidi="fa-IR"/>
              </w:rPr>
              <w:t>)</w:t>
            </w:r>
          </w:p>
        </w:tc>
        <w:tc>
          <w:tcPr>
            <w:tcW w:w="2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۷٫۰</w:t>
            </w:r>
            <w:r>
              <w:rPr>
                <w:rFonts w:ascii="Times New Roman" w:hAnsi="Times New Roman" w:eastAsia="Times New Roman"/>
                <w:sz w:val="24"/>
                <w:sz w:val="24"/>
                <w:szCs w:val="24"/>
                <w:rtl w:val="true"/>
                <w:lang w:val="en-US" w:bidi="fa-IR"/>
              </w:rPr>
              <w:t xml:space="preserve">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۴٫۴</w:t>
            </w:r>
            <w:r>
              <w:rPr>
                <w:rFonts w:eastAsia="Times New Roman" w:cs="B Nazanin"/>
                <w:sz w:val="24"/>
                <w:szCs w:val="24"/>
                <w:rtl w:val="true"/>
                <w:lang w:val="en-US" w:bidi="fa-IR"/>
              </w:rPr>
              <w:t>)</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تحصیلات</w:t>
            </w:r>
          </w:p>
        </w:tc>
        <w:tc>
          <w:tcPr>
            <w:tcW w:w="3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دیپلم و کمتر</w:t>
            </w:r>
          </w:p>
        </w:tc>
        <w:tc>
          <w:tcPr>
            <w:tcW w:w="2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۱۰٫۴٪</w:t>
            </w:r>
          </w:p>
        </w:tc>
      </w:tr>
      <w:tr>
        <w:trPr>
          <w:cantSplit w:val="true"/>
        </w:trPr>
        <w:tc>
          <w:tcPr>
            <w:tcW w:w="2600" w:type="dxa"/>
            <w:tcBorders/>
            <w:vAlign w:val="center"/>
          </w:tcPr>
          <w:p>
            <w:pPr>
              <w:pStyle w:val="Normal"/>
              <w:bidi w:val="1"/>
              <w:spacing w:lineRule="auto" w:line="240" w:before="40" w:after="40"/>
              <w:jc w:val="center"/>
              <w:rPr/>
            </w:pPr>
            <w:r>
              <w:rPr>
                <w:rtl w:val="true"/>
              </w:rPr>
            </w:r>
          </w:p>
        </w:tc>
        <w:tc>
          <w:tcPr>
            <w:tcW w:w="3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کارشناسی</w:t>
            </w:r>
          </w:p>
        </w:tc>
        <w:tc>
          <w:tcPr>
            <w:tcW w:w="2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۴۳٫۰٪</w:t>
            </w:r>
          </w:p>
        </w:tc>
      </w:tr>
      <w:tr>
        <w:trPr>
          <w:cantSplit w:val="true"/>
        </w:trPr>
        <w:tc>
          <w:tcPr>
            <w:tcW w:w="2600" w:type="dxa"/>
            <w:tcBorders/>
            <w:vAlign w:val="center"/>
          </w:tcPr>
          <w:p>
            <w:pPr>
              <w:pStyle w:val="Normal"/>
              <w:bidi w:val="1"/>
              <w:spacing w:lineRule="auto" w:line="240" w:before="40" w:after="40"/>
              <w:jc w:val="center"/>
              <w:rPr/>
            </w:pPr>
            <w:r>
              <w:rPr>
                <w:rtl w:val="true"/>
              </w:rPr>
            </w:r>
          </w:p>
        </w:tc>
        <w:tc>
          <w:tcPr>
            <w:tcW w:w="3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کارشناسی ارشد</w:t>
            </w:r>
          </w:p>
        </w:tc>
        <w:tc>
          <w:tcPr>
            <w:tcW w:w="2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۳۹٫۱٪</w:t>
            </w:r>
          </w:p>
        </w:tc>
      </w:tr>
      <w:tr>
        <w:trPr>
          <w:cantSplit w:val="true"/>
        </w:trPr>
        <w:tc>
          <w:tcPr>
            <w:tcW w:w="2600" w:type="dxa"/>
            <w:tcBorders/>
            <w:vAlign w:val="center"/>
          </w:tcPr>
          <w:p>
            <w:pPr>
              <w:pStyle w:val="Normal"/>
              <w:bidi w:val="1"/>
              <w:spacing w:lineRule="auto" w:line="240" w:before="40" w:after="40"/>
              <w:jc w:val="center"/>
              <w:rPr/>
            </w:pPr>
            <w:r>
              <w:rPr>
                <w:rtl w:val="true"/>
              </w:rPr>
            </w:r>
          </w:p>
        </w:tc>
        <w:tc>
          <w:tcPr>
            <w:tcW w:w="3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دکتری</w:t>
            </w:r>
          </w:p>
        </w:tc>
        <w:tc>
          <w:tcPr>
            <w:tcW w:w="2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۷٫۵٪</w:t>
            </w:r>
          </w:p>
        </w:tc>
      </w:tr>
      <w:tr>
        <w:trPr>
          <w:cantSplit w:val="true"/>
        </w:trPr>
        <w:tc>
          <w:tcPr>
            <w:tcW w:w="2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ارزش سبد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میلیون تومان</w:t>
            </w:r>
            <w:r>
              <w:rPr>
                <w:rFonts w:eastAsia="Times New Roman" w:cs="B Nazanin"/>
                <w:sz w:val="24"/>
                <w:szCs w:val="24"/>
                <w:rtl w:val="true"/>
                <w:lang w:val="en-US" w:bidi="fa-IR"/>
              </w:rPr>
              <w:t>)</w:t>
            </w:r>
          </w:p>
        </w:tc>
        <w:tc>
          <w:tcPr>
            <w:tcW w:w="32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میانه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دامنهٔ میان‌چارکی</w:t>
            </w:r>
            <w:r>
              <w:rPr>
                <w:rFonts w:eastAsia="Times New Roman" w:cs="B Nazanin"/>
                <w:sz w:val="24"/>
                <w:szCs w:val="24"/>
                <w:rtl w:val="true"/>
                <w:lang w:val="en-US" w:bidi="fa-IR"/>
              </w:rPr>
              <w:t>)</w:t>
            </w:r>
          </w:p>
        </w:tc>
        <w:tc>
          <w:tcPr>
            <w:tcW w:w="22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۱۸۴</w:t>
            </w:r>
            <w:r>
              <w:rPr>
                <w:rFonts w:ascii="Times New Roman" w:hAnsi="Times New Roman" w:eastAsia="Times New Roman"/>
                <w:sz w:val="24"/>
                <w:sz w:val="24"/>
                <w:szCs w:val="24"/>
                <w:rtl w:val="true"/>
                <w:lang w:val="en-US" w:bidi="fa-IR"/>
              </w:rPr>
              <w:t xml:space="preserve">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۱۰۰</w:t>
            </w:r>
            <w:r>
              <w:rPr>
                <w:rFonts w:ascii="Times New Roman" w:hAnsi="Times New Roman" w:eastAsia="Times New Roman"/>
                <w:sz w:val="24"/>
                <w:sz w:val="24"/>
                <w:szCs w:val="24"/>
                <w:rtl w:val="true"/>
                <w:lang w:val="en-US" w:bidi="fa-IR"/>
              </w:rPr>
              <w:t>–</w:t>
            </w:r>
            <w:r>
              <w:rPr>
                <w:rFonts w:ascii="Times New Roman" w:hAnsi="Times New Roman" w:eastAsia="Times New Roman"/>
                <w:sz w:val="24"/>
                <w:sz w:val="24"/>
                <w:szCs w:val="24"/>
                <w:lang w:val="en-US" w:bidi="fa-IR"/>
              </w:rPr>
              <w:t>۳۵۸</w:t>
            </w:r>
            <w:r>
              <w:rPr>
                <w:rFonts w:eastAsia="Times New Roman" w:cs="B Nazanin"/>
                <w:sz w:val="24"/>
                <w:szCs w:val="24"/>
                <w:rtl w:val="true"/>
                <w:lang w:val="en-US" w:bidi="fa-IR"/>
              </w:rPr>
              <w:t>)</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آمار توصیفی گویه‌ها و بارهای عاملی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آمار توصیفی هر گویه و بار عاملی استاندارد آن را بر متغیر پنهان مربوط نشان می‌دهد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میانگین گویه‌ها بین </w:t>
      </w:r>
      <w:r>
        <w:rPr>
          <w:rFonts w:ascii="Times New Roman" w:hAnsi="Times New Roman" w:eastAsia="Times New Roman"/>
          <w:sz w:val="26"/>
          <w:sz w:val="26"/>
          <w:szCs w:val="26"/>
          <w:lang w:val="en-US" w:bidi="fa-IR"/>
        </w:rPr>
        <w:t>۲٫۳۵</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۳٫۴۴</w:t>
      </w:r>
      <w:r>
        <w:rPr>
          <w:rFonts w:ascii="Times New Roman" w:hAnsi="Times New Roman" w:eastAsia="Times New Roman"/>
          <w:sz w:val="26"/>
          <w:sz w:val="26"/>
          <w:szCs w:val="26"/>
          <w:rtl w:val="true"/>
          <w:lang w:val="en-US" w:bidi="fa-IR"/>
        </w:rPr>
        <w:t xml:space="preserve"> از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چولگی در بازهٔ </w:t>
      </w:r>
      <w:r>
        <w:rPr>
          <w:rFonts w:ascii="Times New Roman" w:hAnsi="Times New Roman" w:eastAsia="Times New Roman"/>
          <w:sz w:val="26"/>
          <w:sz w:val="26"/>
          <w:szCs w:val="26"/>
          <w:lang w:val="en-US" w:bidi="fa-IR"/>
        </w:rPr>
        <w:t>‎−۰٫۲۳‎</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۰٫۵۵</w:t>
      </w:r>
      <w:r>
        <w:rPr>
          <w:rFonts w:ascii="Times New Roman" w:hAnsi="Times New Roman" w:eastAsia="Times New Roman"/>
          <w:sz w:val="26"/>
          <w:sz w:val="26"/>
          <w:szCs w:val="26"/>
          <w:rtl w:val="true"/>
          <w:lang w:val="en-US" w:bidi="fa-IR"/>
        </w:rPr>
        <w:t xml:space="preserve"> و کشیدگی بین </w:t>
      </w:r>
      <w:r>
        <w:rPr>
          <w:rFonts w:ascii="Times New Roman" w:hAnsi="Times New Roman" w:eastAsia="Times New Roman"/>
          <w:sz w:val="26"/>
          <w:sz w:val="26"/>
          <w:szCs w:val="26"/>
          <w:lang w:val="en-US" w:bidi="fa-IR"/>
        </w:rPr>
        <w:t>‎−۰٫۷۶‎</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‎−۰٫۳۴‎</w:t>
      </w:r>
      <w:r>
        <w:rPr>
          <w:rFonts w:ascii="Times New Roman" w:hAnsi="Times New Roman" w:eastAsia="Times New Roman"/>
          <w:sz w:val="26"/>
          <w:sz w:val="26"/>
          <w:szCs w:val="26"/>
          <w:rtl w:val="true"/>
          <w:lang w:val="en-US" w:bidi="fa-IR"/>
        </w:rPr>
        <w:t xml:space="preserve"> قرار داشت که از آستانه‌های رایج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قدر مطلق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برای چولگی و </w:t>
      </w:r>
      <w:r>
        <w:rPr>
          <w:rFonts w:ascii="Times New Roman" w:hAnsi="Times New Roman" w:eastAsia="Times New Roman"/>
          <w:sz w:val="26"/>
          <w:sz w:val="26"/>
          <w:szCs w:val="26"/>
          <w:lang w:val="en-US" w:bidi="fa-IR"/>
        </w:rPr>
        <w:t>۷</w:t>
      </w:r>
      <w:r>
        <w:rPr>
          <w:rFonts w:ascii="Times New Roman" w:hAnsi="Times New Roman" w:eastAsia="Times New Roman"/>
          <w:sz w:val="26"/>
          <w:sz w:val="26"/>
          <w:szCs w:val="26"/>
          <w:rtl w:val="true"/>
          <w:lang w:val="en-US" w:bidi="fa-IR"/>
        </w:rPr>
        <w:t xml:space="preserve"> برای کشیدگی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فاصله دارد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شاخص کشیدگی چندمتغیرهٔ ماردیا برابر </w:t>
      </w:r>
      <w:r>
        <w:rPr>
          <w:rFonts w:ascii="Times New Roman" w:hAnsi="Times New Roman" w:eastAsia="Times New Roman"/>
          <w:sz w:val="26"/>
          <w:sz w:val="26"/>
          <w:szCs w:val="26"/>
          <w:lang w:val="en-US" w:bidi="fa-IR"/>
        </w:rPr>
        <w:t>۷۱۷٫۱</w:t>
      </w:r>
      <w:r>
        <w:rPr>
          <w:rFonts w:ascii="Times New Roman" w:hAnsi="Times New Roman" w:eastAsia="Times New Roman"/>
          <w:sz w:val="26"/>
          <w:sz w:val="26"/>
          <w:szCs w:val="26"/>
          <w:rtl w:val="true"/>
          <w:lang w:val="en-US" w:bidi="fa-IR"/>
        </w:rPr>
        <w:t xml:space="preserve"> در برابر مقدار مورد انتظار </w:t>
      </w:r>
      <w:r>
        <w:rPr>
          <w:rFonts w:ascii="Times New Roman" w:hAnsi="Times New Roman" w:eastAsia="Times New Roman"/>
          <w:sz w:val="26"/>
          <w:sz w:val="26"/>
          <w:szCs w:val="26"/>
          <w:lang w:val="en-US" w:bidi="fa-IR"/>
        </w:rPr>
        <w:t>۷۲۸</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‎z = −</w:t>
      </w:r>
      <w:r>
        <w:rPr>
          <w:rFonts w:ascii="Times New Roman" w:hAnsi="Times New Roman" w:eastAsia="Times New Roman"/>
          <w:sz w:val="26"/>
          <w:sz w:val="26"/>
          <w:szCs w:val="26"/>
          <w:lang w:val="en-US" w:bidi="fa-IR"/>
        </w:rPr>
        <w:t>۲٫۸۲‎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بود؛ یعنی توزیع چندمتغیره دقیقاً نرمال نیست و به همین دلیل برآوردگر مقاوم نیز به‌کار رفت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بارهای عاملی استاندارد همگی معنادار و بین </w:t>
      </w:r>
      <w:r>
        <w:rPr>
          <w:rFonts w:ascii="Times New Roman" w:hAnsi="Times New Roman" w:eastAsia="Times New Roman"/>
          <w:sz w:val="26"/>
          <w:sz w:val="26"/>
          <w:szCs w:val="26"/>
          <w:lang w:val="en-US" w:bidi="fa-IR"/>
        </w:rPr>
        <w:t>۰٫۵۸</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۰٫۸۲</w:t>
      </w:r>
      <w:r>
        <w:rPr>
          <w:rFonts w:ascii="Times New Roman" w:hAnsi="Times New Roman" w:eastAsia="Times New Roman"/>
          <w:sz w:val="26"/>
          <w:sz w:val="26"/>
          <w:szCs w:val="26"/>
          <w:rtl w:val="true"/>
          <w:lang w:val="en-US" w:bidi="fa-IR"/>
        </w:rPr>
        <w:t xml:space="preserve"> بود</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۵</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آمار توصیفی گویه‌ها، بار عاملی استاندارد </w:t>
      </w:r>
      <w:r>
        <w:rPr>
          <w:rFonts w:eastAsia="Times New Roman" w:cs="B Zar"/>
          <w:b/>
          <w:bCs/>
          <w:sz w:val="20"/>
          <w:szCs w:val="20"/>
          <w:rtl w:val="true"/>
          <w:lang w:val="en-US" w:bidi="fa-IR"/>
        </w:rPr>
        <w:t>(</w:t>
      </w:r>
      <w:r>
        <w:rPr>
          <w:rFonts w:eastAsia="Times New Roman" w:cs="B Zar"/>
          <w:b/>
          <w:bCs/>
          <w:sz w:val="20"/>
          <w:szCs w:val="20"/>
          <w:lang w:val="en-US" w:bidi="fa-IR"/>
        </w:rPr>
        <w:t>λ</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و واریانس تبیین‌شدهٔ گویه </w:t>
      </w:r>
      <w:r>
        <w:rPr>
          <w:rFonts w:eastAsia="Times New Roman" w:cs="B Zar"/>
          <w:b/>
          <w:bCs/>
          <w:sz w:val="20"/>
          <w:szCs w:val="20"/>
          <w:rtl w:val="true"/>
          <w:lang w:val="en-US" w:bidi="fa-IR"/>
        </w:rPr>
        <w:t>(</w:t>
      </w:r>
      <w:r>
        <w:rPr>
          <w:rFonts w:eastAsia="Times New Roman" w:cs="B Zar"/>
          <w:b/>
          <w:bCs/>
          <w:sz w:val="20"/>
          <w:szCs w:val="20"/>
          <w:lang w:val="en-US" w:bidi="fa-IR"/>
        </w:rPr>
        <w:t>λ²</w:t>
      </w:r>
      <w:r>
        <w:rPr>
          <w:rFonts w:eastAsia="Times New Roman" w:cs="B Zar"/>
          <w:b/>
          <w:bCs/>
          <w:sz w:val="20"/>
          <w:szCs w:val="20"/>
          <w:rtl w:val="true"/>
          <w:lang w:val="en-US" w:bidi="fa-IR"/>
        </w:rPr>
        <w:t>)</w:t>
      </w:r>
    </w:p>
    <w:tbl>
      <w:tblPr>
        <w:bidiVisual w:val="true"/>
        <w:tblW w:w="8500" w:type="dxa"/>
        <w:jc w:val="center"/>
        <w:tblInd w:w="0" w:type="dxa"/>
        <w:tblLayout w:type="fixed"/>
        <w:tblCellMar>
          <w:top w:w="0" w:type="dxa"/>
          <w:left w:w="60" w:type="dxa"/>
          <w:bottom w:w="0" w:type="dxa"/>
          <w:right w:w="60" w:type="dxa"/>
        </w:tblCellMar>
      </w:tblPr>
      <w:tblGrid>
        <w:gridCol w:w="700"/>
        <w:gridCol w:w="3699"/>
        <w:gridCol w:w="701"/>
        <w:gridCol w:w="749"/>
        <w:gridCol w:w="701"/>
        <w:gridCol w:w="749"/>
        <w:gridCol w:w="600"/>
        <w:gridCol w:w="600"/>
      </w:tblGrid>
      <w:tr>
        <w:trPr>
          <w:tblHeader w:val="true"/>
        </w:trPr>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کد</w:t>
            </w:r>
          </w:p>
        </w:tc>
        <w:tc>
          <w:tcPr>
            <w:tcW w:w="36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گویه</w:t>
            </w:r>
          </w:p>
        </w:tc>
        <w:tc>
          <w:tcPr>
            <w:tcW w:w="7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میانگین</w:t>
            </w:r>
          </w:p>
        </w:tc>
        <w:tc>
          <w:tcPr>
            <w:tcW w:w="7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انحراف معیار</w:t>
            </w:r>
          </w:p>
        </w:tc>
        <w:tc>
          <w:tcPr>
            <w:tcW w:w="7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چولگی</w:t>
            </w:r>
          </w:p>
        </w:tc>
        <w:tc>
          <w:tcPr>
            <w:tcW w:w="7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کشیدگی</w:t>
            </w:r>
          </w:p>
        </w:tc>
        <w:tc>
          <w:tcPr>
            <w:tcW w:w="6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19"/>
                <w:szCs w:val="19"/>
                <w:lang w:val="en-US" w:bidi="fa-IR"/>
              </w:rPr>
              <w:t>λ</w:t>
            </w:r>
          </w:p>
        </w:tc>
        <w:tc>
          <w:tcPr>
            <w:tcW w:w="6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19"/>
                <w:szCs w:val="19"/>
                <w:lang w:val="en-US" w:bidi="fa-IR"/>
              </w:rPr>
              <w:t>λ²</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هر روز محتوای مربوط به بورس و سرمایه‌گذاری را در شبکه‌های اجتماعی </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تلگرام، اینستاگرام، ایتا، ایکس و مانند آن</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دنبال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۳٫۴۴</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۰٫۲۳‎</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بخش قابل‌توجهی از وقتم در شبکه‌های اجتماعی صرف دیدن تحلیل‌ها و اخبار بازار سرمایه می‌شود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۱٫۱۳</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۰٫۰۲‎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عضو چند کانال، گروه یا صفحهٔ سرمایه‌گذاری هستم و پیام‌های آن‌ها را مرتب می‌خوانم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۰٫۰۲‎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تحلیل‌ها و نظرهای منتشرشده در شبکه‌های اجتماعی از منابع اصلی اطلاعات من دربارهٔ سهام است</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۱٫۱۱</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۰٫۰۲‎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۰٫۵۱</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معمولاً محتوای سرمایه‌گذاری را با دیگران به اشتراک می‌گذارم یا دربارهٔ آن گفت‌وگو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۳٫۳۰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۱٫۱۱</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۰٫۱۷‎</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وقتی می‌شنوم دیگران از یک سهم سود زیادی کرده‌اند، نگران می‌شوم که فرصت سودآوری را از دست داده‌ام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۱٫۱۱</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۰٫۰۱</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نگرانم سایر سرمایه‌گذاران فرصت‌های سودآورتری از من پیدا کنند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۰٫۰۵</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۰٫۵۸</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وقتی گروهی از سرمایه‌گذاران آشنا سهمی را می‌خرند و من در آن نیستم، مضطرب می‌شوم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۳٫۲۶</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۰٫۱۲‎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اگر مدتی از جریان بازار و خبرهای آن دور باشم، احساس نگرانی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۲٫۹۷</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از اینکه فرصت ورود به یک سهم در حال رشد را از دست بدهم ناراحت می‌شوم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۲٫۷۲</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۰٫۱۳</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۰٫۵۰</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۶</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گاهی احساس می‌کنم اگر همین حالا وارد نشوم، دیگر خیلی دیر خواهد شد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۲٫۸۱</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۱٫۱۱</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۰٫۱۴</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۰٫۵۰</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HRD</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با تغییر تصمیم‌های سایر سرمایه‌گذاران به‌سرعت واکنش نشان می‌دهم و از آن‌ها پیروی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۲٫۳۷</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۱٫۰۵</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۰٫۳۶</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HRD</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برای خرید یا فروش، به حجم معاملات و صف‌های خرید و فروش توجه می‌کنم تا هم‌جهت با بازار باشم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۲٫۴۵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۱٫۰۶</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۰٫۳۷</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۰٫۶۰</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HRD</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اگر بیشتر سرمایه‌گذاران سهمی را بخرند، من هم تمایل به خرید آن دارم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۲٫۹۷</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۰٫۰۶</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HRD</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در تصمیم‌گیری، نظر جمع را به تحلیل شخصی‌ام ترجیح می‌دهم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۰٫۰۸</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HRD</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تصمیم‌های سرمایه‌گذاری من تحت‌تأثیر تصمیم دوستان و اطرافیان فعال در بورس است</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۰٫۰۴</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پیش از خرید یک سهم، صورت‌های مالی شرکت را بررسی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۰٫۱۳‎</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از اطلاعات منتشرشده در سامانهٔ کدال </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مانند گزارش فعالیت ماهانه و اطلاعیه‌های بااهمیت</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استفاده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۳٫۰۲</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۰٫۰۷</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۰٫۶۳</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سود هر سهم </w:t>
            </w:r>
            <w:r>
              <w:rPr>
                <w:rFonts w:eastAsia="Times New Roman" w:cs="B Nazanin"/>
                <w:sz w:val="19"/>
                <w:szCs w:val="19"/>
                <w:rtl w:val="true"/>
                <w:lang w:val="en-US" w:bidi="fa-IR"/>
              </w:rPr>
              <w:t>(</w:t>
            </w:r>
            <w:r>
              <w:rPr>
                <w:rFonts w:eastAsia="Times New Roman" w:cs="B Nazanin"/>
                <w:sz w:val="19"/>
                <w:szCs w:val="19"/>
                <w:lang w:val="en-US" w:bidi="fa-IR"/>
              </w:rPr>
              <w:t>EPS</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 xml:space="preserve">، نسبت قیمت به سود </w:t>
            </w:r>
            <w:r>
              <w:rPr>
                <w:rFonts w:eastAsia="Times New Roman" w:cs="B Nazanin"/>
                <w:sz w:val="19"/>
                <w:szCs w:val="19"/>
                <w:rtl w:val="true"/>
                <w:lang w:val="en-US" w:bidi="fa-IR"/>
              </w:rPr>
              <w:t>(</w:t>
            </w:r>
            <w:r>
              <w:rPr>
                <w:rFonts w:eastAsia="Times New Roman" w:cs="B Nazanin"/>
                <w:sz w:val="19"/>
                <w:szCs w:val="19"/>
                <w:lang w:val="en-US" w:bidi="fa-IR"/>
              </w:rPr>
              <w:t>P/E</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و سایر نسبت‌های مالی را در تصمیمم لحاظ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۰٫۲۰</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به گزارش حسابرس مستقل و یادداشت‌های توضیحی صورت‌های مالی توجه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۲٫۹۹</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۰٫۰۱</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کیفیت سود و جریان‌های نقدی شرکت را پیش از تصمیم ارزیابی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۰٫۰۱‎</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تصمیم‌های سرمایه‌گذاری من معمولاً بر تحلیل مستند استوارند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۲٫۵۸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۰٫۲۷</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از نتیجهٔ تصمیم‌های سرمایه‌گذاری خود در یک سال گذشته رضایت دارم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۲٫۵۰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۰٫۳۳</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بازده سبد من در یک سال گذشته مطابق انتظارم بوده است</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۲٫۷۳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۰٫۲۳</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تصمیم‌های من با اهداف مالی بلندمدتم هم‌راستا هستند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۲٫۳۵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۰٫۵۵</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۰٫۳۴‎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۰٫۴۳</w:t>
            </w:r>
          </w:p>
        </w:tc>
      </w:tr>
      <w:tr>
        <w:trPr>
          <w:cantSplit w:val="true"/>
        </w:trPr>
        <w:tc>
          <w:tcPr>
            <w:tcW w:w="7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۵</w:t>
            </w:r>
          </w:p>
        </w:tc>
        <w:tc>
          <w:tcPr>
            <w:tcW w:w="36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به‌ندرت از تصمیم‌های معاملاتی خود پشیمان می‌شوم</w:t>
            </w:r>
            <w:r>
              <w:rPr>
                <w:rFonts w:eastAsia="Times New Roman" w:cs="B Nazanin"/>
                <w:sz w:val="19"/>
                <w:szCs w:val="19"/>
                <w:rtl w:val="true"/>
                <w:lang w:val="en-US" w:bidi="fa-IR"/>
              </w:rPr>
              <w:t>.</w:t>
            </w:r>
          </w:p>
        </w:tc>
        <w:tc>
          <w:tcPr>
            <w:tcW w:w="7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۳٫۰۳</w:t>
            </w:r>
          </w:p>
        </w:tc>
        <w:tc>
          <w:tcPr>
            <w:tcW w:w="74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۱٫۱۱</w:t>
            </w:r>
          </w:p>
        </w:tc>
        <w:tc>
          <w:tcPr>
            <w:tcW w:w="7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۰٫۰۹‎</w:t>
            </w:r>
          </w:p>
        </w:tc>
        <w:tc>
          <w:tcPr>
            <w:tcW w:w="74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۰٫۶۳‎</w:t>
            </w:r>
          </w:p>
        </w:tc>
        <w:tc>
          <w:tcPr>
            <w:tcW w:w="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c>
          <w:tcPr>
            <w:tcW w:w="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۰٫۴۱</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برازش و روایی مدل اندازه‌گیری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مدل اندازه‌گیری پنج‌عاملی برازش مطلوبی نشان داد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نسبت </w:t>
      </w:r>
      <w:r>
        <w:rPr>
          <w:rFonts w:eastAsia="Times New Roman" w:cs="B Nazanin"/>
          <w:sz w:val="26"/>
          <w:szCs w:val="26"/>
          <w:lang w:val="en-US" w:bidi="fa-IR"/>
        </w:rPr>
        <w:t>χ²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درجهٔ آزادی </w:t>
      </w:r>
      <w:r>
        <w:rPr>
          <w:rFonts w:ascii="Times New Roman" w:hAnsi="Times New Roman" w:eastAsia="Times New Roman"/>
          <w:sz w:val="26"/>
          <w:sz w:val="26"/>
          <w:szCs w:val="26"/>
          <w:lang w:val="en-US" w:bidi="fa-IR"/>
        </w:rPr>
        <w:t>۱٫۳۴</w:t>
      </w:r>
      <w:r>
        <w:rPr>
          <w:rFonts w:ascii="Times New Roman" w:hAnsi="Times New Roman" w:eastAsia="Times New Roman"/>
          <w:sz w:val="26"/>
          <w:sz w:val="26"/>
          <w:szCs w:val="26"/>
          <w:rtl w:val="true"/>
          <w:lang w:val="en-US" w:bidi="fa-IR"/>
        </w:rPr>
        <w:t xml:space="preserve"> و شاخص‌های </w:t>
      </w:r>
      <w:r>
        <w:rPr>
          <w:rFonts w:eastAsia="Times New Roman" w:cs="B Nazanin"/>
          <w:sz w:val="26"/>
          <w:szCs w:val="26"/>
          <w:lang w:val="en-US" w:bidi="fa-IR"/>
        </w:rPr>
        <w:t>CFI</w:t>
      </w:r>
      <w:r>
        <w:rPr>
          <w:rFonts w:ascii="Times New Roman" w:hAnsi="Times New Roman" w:eastAsia="Times New Roman"/>
          <w:sz w:val="26"/>
          <w:sz w:val="26"/>
          <w:szCs w:val="26"/>
          <w:lang w:val="en-US" w:bidi="fa-IR"/>
        </w:rPr>
        <w:t xml:space="preserve">، </w:t>
      </w:r>
      <w:r>
        <w:rPr>
          <w:rFonts w:eastAsia="Times New Roman" w:cs="B Nazanin"/>
          <w:sz w:val="26"/>
          <w:szCs w:val="26"/>
          <w:lang w:val="en-US" w:bidi="fa-IR"/>
        </w:rPr>
        <w:t>TLI</w:t>
      </w:r>
      <w:r>
        <w:rPr>
          <w:rFonts w:ascii="Times New Roman" w:hAnsi="Times New Roman" w:eastAsia="Times New Roman"/>
          <w:sz w:val="26"/>
          <w:sz w:val="26"/>
          <w:szCs w:val="26"/>
          <w:lang w:val="en-US" w:bidi="fa-IR"/>
        </w:rPr>
        <w:t xml:space="preserve">، </w:t>
      </w:r>
      <w:r>
        <w:rPr>
          <w:rFonts w:eastAsia="Times New Roman" w:cs="B Nazanin"/>
          <w:sz w:val="26"/>
          <w:szCs w:val="26"/>
          <w:lang w:val="en-US" w:bidi="fa-IR"/>
        </w:rPr>
        <w:t>RMSEA</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w:t>
      </w:r>
      <w:r>
        <w:rPr>
          <w:rFonts w:eastAsia="Times New Roman" w:cs="B Nazanin"/>
          <w:sz w:val="26"/>
          <w:szCs w:val="26"/>
          <w:lang w:val="en-US" w:bidi="fa-IR"/>
        </w:rPr>
        <w:t>SRMR</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همگی در بازهٔ مطلوب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هو و بنتلر، </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قرار گرفتند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آلفای کرونباخ و پایایی ترکیبی همهٔ سازه‌ها بالاتر از </w:t>
      </w:r>
      <w:r>
        <w:rPr>
          <w:rFonts w:ascii="Times New Roman" w:hAnsi="Times New Roman" w:eastAsia="Times New Roman"/>
          <w:sz w:val="26"/>
          <w:sz w:val="26"/>
          <w:szCs w:val="26"/>
          <w:lang w:val="en-US" w:bidi="fa-IR"/>
        </w:rPr>
        <w:t>۰٫۷۰</w:t>
      </w:r>
      <w:r>
        <w:rPr>
          <w:rFonts w:ascii="Times New Roman" w:hAnsi="Times New Roman" w:eastAsia="Times New Roman"/>
          <w:sz w:val="26"/>
          <w:sz w:val="26"/>
          <w:szCs w:val="26"/>
          <w:rtl w:val="true"/>
          <w:lang w:val="en-US" w:bidi="fa-IR"/>
        </w:rPr>
        <w:t xml:space="preserve"> و میانگین واریانس استخراج‌شده در بازهٔ </w:t>
      </w:r>
      <w:r>
        <w:rPr>
          <w:rFonts w:ascii="Times New Roman" w:hAnsi="Times New Roman" w:eastAsia="Times New Roman"/>
          <w:sz w:val="26"/>
          <w:sz w:val="26"/>
          <w:szCs w:val="26"/>
          <w:lang w:val="en-US" w:bidi="fa-IR"/>
        </w:rPr>
        <w:t>۰٫۵۰</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۰٫۵۴</w:t>
      </w:r>
      <w:r>
        <w:rPr>
          <w:rFonts w:ascii="Times New Roman" w:hAnsi="Times New Roman" w:eastAsia="Times New Roman"/>
          <w:sz w:val="26"/>
          <w:sz w:val="26"/>
          <w:szCs w:val="26"/>
          <w:rtl w:val="true"/>
          <w:lang w:val="en-US" w:bidi="fa-IR"/>
        </w:rPr>
        <w:t xml:space="preserve">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۷</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پس پایایی و روایی همگرا پذیرفتنی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۶</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شاخص‌های برازش مدل اندازه‌گیری، مدل ساختاری و مدل تک‌عاملی</w:t>
      </w:r>
    </w:p>
    <w:tbl>
      <w:tblPr>
        <w:bidiVisual w:val="true"/>
        <w:tblW w:w="8100" w:type="dxa"/>
        <w:jc w:val="center"/>
        <w:tblInd w:w="0" w:type="dxa"/>
        <w:tblLayout w:type="fixed"/>
        <w:tblCellMar>
          <w:top w:w="0" w:type="dxa"/>
          <w:left w:w="60" w:type="dxa"/>
          <w:bottom w:w="0" w:type="dxa"/>
          <w:right w:w="60" w:type="dxa"/>
        </w:tblCellMar>
      </w:tblPr>
      <w:tblGrid>
        <w:gridCol w:w="2499"/>
        <w:gridCol w:w="901"/>
        <w:gridCol w:w="599"/>
        <w:gridCol w:w="801"/>
        <w:gridCol w:w="800"/>
        <w:gridCol w:w="799"/>
        <w:gridCol w:w="900"/>
        <w:gridCol w:w="800"/>
      </w:tblGrid>
      <w:tr>
        <w:trPr>
          <w:tblHeader w:val="true"/>
        </w:trPr>
        <w:tc>
          <w:tcPr>
            <w:tcW w:w="2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مدل</w:t>
            </w:r>
          </w:p>
        </w:tc>
        <w:tc>
          <w:tcPr>
            <w:tcW w:w="9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χ²</w:t>
            </w:r>
          </w:p>
        </w:tc>
        <w:tc>
          <w:tcPr>
            <w:tcW w:w="5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df</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χ²/df</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CFI</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TLI</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RMSEA</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SRMR</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آستانهٔ مطلوب</w:t>
            </w:r>
          </w:p>
        </w:tc>
        <w:tc>
          <w:tcPr>
            <w:tcW w:w="901"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5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801"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 xml:space="preserve">&lt; </w:t>
            </w:r>
            <w:r>
              <w:rPr>
                <w:rFonts w:ascii="Times New Roman" w:hAnsi="Times New Roman" w:eastAsia="Times New Roman"/>
                <w:sz w:val="22"/>
                <w:sz w:val="22"/>
                <w:szCs w:val="22"/>
                <w:lang w:val="en-US" w:bidi="fa-IR"/>
              </w:rPr>
              <w:t>۳</w:t>
            </w:r>
          </w:p>
        </w:tc>
        <w:tc>
          <w:tcPr>
            <w:tcW w:w="800"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 xml:space="preserve">≥ </w:t>
            </w:r>
            <w:r>
              <w:rPr>
                <w:rFonts w:ascii="Times New Roman" w:hAnsi="Times New Roman" w:eastAsia="Times New Roman"/>
                <w:sz w:val="22"/>
                <w:sz w:val="22"/>
                <w:szCs w:val="22"/>
                <w:lang w:val="en-US" w:bidi="fa-IR"/>
              </w:rPr>
              <w:t>۰٫۹۵</w:t>
            </w:r>
          </w:p>
        </w:tc>
        <w:tc>
          <w:tcPr>
            <w:tcW w:w="7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 xml:space="preserve">≥ </w:t>
            </w:r>
            <w:r>
              <w:rPr>
                <w:rFonts w:ascii="Times New Roman" w:hAnsi="Times New Roman" w:eastAsia="Times New Roman"/>
                <w:sz w:val="22"/>
                <w:sz w:val="22"/>
                <w:szCs w:val="22"/>
                <w:lang w:val="en-US" w:bidi="fa-IR"/>
              </w:rPr>
              <w:t>۰٫۹۵</w:t>
            </w:r>
          </w:p>
        </w:tc>
        <w:tc>
          <w:tcPr>
            <w:tcW w:w="900"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 xml:space="preserve">≤ </w:t>
            </w:r>
            <w:r>
              <w:rPr>
                <w:rFonts w:ascii="Times New Roman" w:hAnsi="Times New Roman" w:eastAsia="Times New Roman"/>
                <w:sz w:val="22"/>
                <w:sz w:val="22"/>
                <w:szCs w:val="22"/>
                <w:lang w:val="en-US" w:bidi="fa-IR"/>
              </w:rPr>
              <w:t>۰٫۰۶</w:t>
            </w:r>
          </w:p>
        </w:tc>
        <w:tc>
          <w:tcPr>
            <w:tcW w:w="800"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 xml:space="preserve">≤ </w:t>
            </w:r>
            <w:r>
              <w:rPr>
                <w:rFonts w:ascii="Times New Roman" w:hAnsi="Times New Roman" w:eastAsia="Times New Roman"/>
                <w:sz w:val="22"/>
                <w:sz w:val="22"/>
                <w:szCs w:val="22"/>
                <w:lang w:val="en-US" w:bidi="fa-IR"/>
              </w:rPr>
              <w:t>۰٫۰۸</w:t>
            </w:r>
          </w:p>
        </w:tc>
      </w:tr>
      <w:tr>
        <w:trPr>
          <w:cantSplit w:val="true"/>
        </w:trPr>
        <w:tc>
          <w:tcPr>
            <w:tcW w:w="2499" w:type="dxa"/>
            <w:tcBorders/>
            <w:vAlign w:val="center"/>
          </w:tcPr>
          <w:p>
            <w:pPr>
              <w:pStyle w:val="Normal"/>
              <w:bidi w:val="1"/>
              <w:spacing w:lineRule="auto" w:line="240" w:before="40" w:after="40"/>
              <w:jc w:val="center"/>
              <w:rPr/>
            </w:pPr>
            <w:r>
              <w:rPr>
                <w:rFonts w:eastAsia="Times New Roman" w:cs="B Nazanin"/>
                <w:sz w:val="22"/>
                <w:szCs w:val="22"/>
                <w:lang w:val="en-US" w:bidi="fa-IR"/>
              </w:rPr>
              <w:t>CFA</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پنج‌عاملی</w:t>
            </w:r>
          </w:p>
        </w:tc>
        <w:tc>
          <w:tcPr>
            <w:tcW w:w="9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۳۸۸٫۰</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۲۸۹</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۱٫۳۴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۰٫۹۷۷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۰٫۹۷۴</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۰٫۰۳۰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۰٫۰۳۷</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مدل ساختاری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با تعامل پنهان</w:t>
            </w:r>
            <w:r>
              <w:rPr>
                <w:rFonts w:eastAsia="Times New Roman" w:cs="B Nazanin"/>
                <w:sz w:val="22"/>
                <w:szCs w:val="22"/>
                <w:rtl w:val="true"/>
                <w:lang w:val="en-US" w:bidi="fa-IR"/>
              </w:rPr>
              <w:t>)</w:t>
            </w:r>
          </w:p>
        </w:tc>
        <w:tc>
          <w:tcPr>
            <w:tcW w:w="9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۶۱۷٫۷</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۵۱۵</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۱٫۲۰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۰٫۹۷۷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۰٫۹۷۵</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۰٫۰۲۳</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۰٫۰۴۲</w:t>
            </w:r>
          </w:p>
        </w:tc>
      </w:tr>
      <w:tr>
        <w:trPr>
          <w:cantSplit w:val="true"/>
        </w:trPr>
        <w:tc>
          <w:tcPr>
            <w:tcW w:w="2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مدل تک‌عاملی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هارمن</w:t>
            </w:r>
            <w:r>
              <w:rPr>
                <w:rFonts w:eastAsia="Times New Roman" w:cs="B Nazanin"/>
                <w:sz w:val="22"/>
                <w:szCs w:val="22"/>
                <w:rtl w:val="true"/>
                <w:lang w:val="en-US" w:bidi="fa-IR"/>
              </w:rPr>
              <w:t>)</w:t>
            </w:r>
          </w:p>
        </w:tc>
        <w:tc>
          <w:tcPr>
            <w:tcW w:w="9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۲۳۶۳٫۸</w:t>
            </w:r>
          </w:p>
        </w:tc>
        <w:tc>
          <w:tcPr>
            <w:tcW w:w="5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۲۹۹</w:t>
            </w:r>
          </w:p>
        </w:tc>
        <w:tc>
          <w:tcPr>
            <w:tcW w:w="8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۷٫۹۱</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۰٫۵۲۲</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۰٫۴۸۰</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۰٫۱۳۴</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۰٫۱۲۹</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۷</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پایایی و روایی همگرا</w:t>
      </w:r>
    </w:p>
    <w:tbl>
      <w:tblPr>
        <w:bidiVisual w:val="true"/>
        <w:tblW w:w="8100" w:type="dxa"/>
        <w:jc w:val="center"/>
        <w:tblInd w:w="0" w:type="dxa"/>
        <w:tblLayout w:type="fixed"/>
        <w:tblCellMar>
          <w:top w:w="0" w:type="dxa"/>
          <w:left w:w="60" w:type="dxa"/>
          <w:bottom w:w="0" w:type="dxa"/>
          <w:right w:w="60" w:type="dxa"/>
        </w:tblCellMar>
      </w:tblPr>
      <w:tblGrid>
        <w:gridCol w:w="2600"/>
        <w:gridCol w:w="699"/>
        <w:gridCol w:w="1600"/>
        <w:gridCol w:w="800"/>
        <w:gridCol w:w="801"/>
        <w:gridCol w:w="799"/>
        <w:gridCol w:w="800"/>
      </w:tblGrid>
      <w:tr>
        <w:trPr>
          <w:tblHeader w:val="true"/>
        </w:trPr>
        <w:tc>
          <w:tcPr>
            <w:tcW w:w="26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سازه</w:t>
            </w:r>
          </w:p>
        </w:tc>
        <w:tc>
          <w:tcPr>
            <w:tcW w:w="6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گویه</w:t>
            </w:r>
          </w:p>
        </w:tc>
        <w:tc>
          <w:tcPr>
            <w:tcW w:w="16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دامنهٔ بار عاملی</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آلفا</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CR</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AVE</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rtl w:val="true"/>
                <w:lang w:val="en-US" w:bidi="fa-IR"/>
              </w:rPr>
              <w:t>√</w:t>
            </w:r>
            <w:r>
              <w:rPr>
                <w:rFonts w:eastAsia="Times New Roman" w:cs="B Nazanin"/>
                <w:b/>
                <w:bCs/>
                <w:sz w:val="24"/>
                <w:szCs w:val="24"/>
                <w:lang w:val="en-US" w:bidi="fa-IR"/>
              </w:rPr>
              <w:t>AVE</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مواجهه با محتوا </w:t>
            </w:r>
            <w:r>
              <w:rPr>
                <w:rFonts w:eastAsia="Times New Roman" w:cs="B Nazanin"/>
                <w:sz w:val="24"/>
                <w:szCs w:val="24"/>
                <w:rtl w:val="true"/>
                <w:lang w:val="en-US" w:bidi="fa-IR"/>
              </w:rPr>
              <w:t>(</w:t>
            </w:r>
            <w:r>
              <w:rPr>
                <w:rFonts w:eastAsia="Times New Roman" w:cs="B Nazanin"/>
                <w:sz w:val="24"/>
                <w:szCs w:val="24"/>
                <w:lang w:val="en-US" w:bidi="fa-IR"/>
              </w:rPr>
              <w:t>SME</w:t>
            </w:r>
            <w:r>
              <w:rPr>
                <w:rFonts w:eastAsia="Times New Roman" w:cs="B Nazanin"/>
                <w:sz w:val="24"/>
                <w:szCs w:val="24"/>
                <w:rtl w:val="true"/>
                <w:lang w:val="en-US" w:bidi="fa-IR"/>
              </w:rPr>
              <w:t>)</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1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۰٫۵۸</w:t>
            </w:r>
            <w:r>
              <w:rPr>
                <w:rFonts w:ascii="Times New Roman" w:hAnsi="Times New Roman" w:eastAsia="Times New Roman"/>
                <w:sz w:val="24"/>
                <w:sz w:val="24"/>
                <w:szCs w:val="24"/>
                <w:rtl w:val="true"/>
                <w:lang w:val="en-US" w:bidi="fa-IR"/>
              </w:rPr>
              <w:t>–</w:t>
            </w:r>
            <w:r>
              <w:rPr>
                <w:rFonts w:ascii="Times New Roman" w:hAnsi="Times New Roman" w:eastAsia="Times New Roman"/>
                <w:sz w:val="24"/>
                <w:sz w:val="24"/>
                <w:szCs w:val="24"/>
                <w:lang w:val="en-US" w:bidi="fa-IR"/>
              </w:rPr>
              <w:t>۰٫۸۰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۰٫۸۲۹</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۰٫۸۳۱</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۰٫۵۰۰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۰٫۷۰۷</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فومو </w:t>
            </w:r>
            <w:r>
              <w:rPr>
                <w:rFonts w:eastAsia="Times New Roman" w:cs="B Nazanin"/>
                <w:sz w:val="24"/>
                <w:szCs w:val="24"/>
                <w:rtl w:val="true"/>
                <w:lang w:val="en-US" w:bidi="fa-IR"/>
              </w:rPr>
              <w:t>(</w:t>
            </w:r>
            <w:r>
              <w:rPr>
                <w:rFonts w:eastAsia="Times New Roman" w:cs="B Nazanin"/>
                <w:sz w:val="24"/>
                <w:szCs w:val="24"/>
                <w:lang w:val="en-US" w:bidi="fa-IR"/>
              </w:rPr>
              <w:t>FOMO</w:t>
            </w:r>
            <w:r>
              <w:rPr>
                <w:rFonts w:eastAsia="Times New Roman" w:cs="B Nazanin"/>
                <w:sz w:val="24"/>
                <w:szCs w:val="24"/>
                <w:rtl w:val="true"/>
                <w:lang w:val="en-US" w:bidi="fa-IR"/>
              </w:rPr>
              <w:t>)</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۶</w:t>
            </w:r>
          </w:p>
        </w:tc>
        <w:tc>
          <w:tcPr>
            <w:tcW w:w="1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۰٫۶۷</w:t>
            </w:r>
            <w:r>
              <w:rPr>
                <w:rFonts w:ascii="Times New Roman" w:hAnsi="Times New Roman" w:eastAsia="Times New Roman"/>
                <w:sz w:val="24"/>
                <w:sz w:val="24"/>
                <w:szCs w:val="24"/>
                <w:rtl w:val="true"/>
                <w:lang w:val="en-US" w:bidi="fa-IR"/>
              </w:rPr>
              <w:t>–</w:t>
            </w:r>
            <w:r>
              <w:rPr>
                <w:rFonts w:ascii="Times New Roman" w:hAnsi="Times New Roman" w:eastAsia="Times New Roman"/>
                <w:sz w:val="24"/>
                <w:sz w:val="24"/>
                <w:szCs w:val="24"/>
                <w:lang w:val="en-US" w:bidi="fa-IR"/>
              </w:rPr>
              <w:t>۰٫۸۲</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۰٫۸۷۵</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۰٫۸۷۵</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۰٫۵۴۰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۰٫۷۳۵</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رفتار توده‌وار </w:t>
            </w:r>
            <w:r>
              <w:rPr>
                <w:rFonts w:eastAsia="Times New Roman" w:cs="B Nazanin"/>
                <w:sz w:val="24"/>
                <w:szCs w:val="24"/>
                <w:rtl w:val="true"/>
                <w:lang w:val="en-US" w:bidi="fa-IR"/>
              </w:rPr>
              <w:t>(</w:t>
            </w:r>
            <w:r>
              <w:rPr>
                <w:rFonts w:eastAsia="Times New Roman" w:cs="B Nazanin"/>
                <w:sz w:val="24"/>
                <w:szCs w:val="24"/>
                <w:lang w:val="en-US" w:bidi="fa-IR"/>
              </w:rPr>
              <w:t>HRD</w:t>
            </w:r>
            <w:r>
              <w:rPr>
                <w:rFonts w:eastAsia="Times New Roman" w:cs="B Nazanin"/>
                <w:sz w:val="24"/>
                <w:szCs w:val="24"/>
                <w:rtl w:val="true"/>
                <w:lang w:val="en-US" w:bidi="fa-IR"/>
              </w:rPr>
              <w:t>)</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1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۰٫۶۶</w:t>
            </w:r>
            <w:r>
              <w:rPr>
                <w:rFonts w:ascii="Times New Roman" w:hAnsi="Times New Roman" w:eastAsia="Times New Roman"/>
                <w:sz w:val="24"/>
                <w:sz w:val="24"/>
                <w:szCs w:val="24"/>
                <w:rtl w:val="true"/>
                <w:lang w:val="en-US" w:bidi="fa-IR"/>
              </w:rPr>
              <w:t>–</w:t>
            </w:r>
            <w:r>
              <w:rPr>
                <w:rFonts w:ascii="Times New Roman" w:hAnsi="Times New Roman" w:eastAsia="Times New Roman"/>
                <w:sz w:val="24"/>
                <w:sz w:val="24"/>
                <w:szCs w:val="24"/>
                <w:lang w:val="en-US" w:bidi="fa-IR"/>
              </w:rPr>
              <w:t>۰٫۷۷</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۰٫۸۴۴</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۰٫۸۴۶</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۰٫۵۲۴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۰٫۷۲۴</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اطلاعات حسابداری </w:t>
            </w:r>
            <w:r>
              <w:rPr>
                <w:rFonts w:eastAsia="Times New Roman" w:cs="B Nazanin"/>
                <w:sz w:val="24"/>
                <w:szCs w:val="24"/>
                <w:rtl w:val="true"/>
                <w:lang w:val="en-US" w:bidi="fa-IR"/>
              </w:rPr>
              <w:t>(</w:t>
            </w:r>
            <w:r>
              <w:rPr>
                <w:rFonts w:eastAsia="Times New Roman" w:cs="B Nazanin"/>
                <w:sz w:val="24"/>
                <w:szCs w:val="24"/>
                <w:lang w:val="en-US" w:bidi="fa-IR"/>
              </w:rPr>
              <w:t>AIU</w:t>
            </w:r>
            <w:r>
              <w:rPr>
                <w:rFonts w:eastAsia="Times New Roman" w:cs="B Nazanin"/>
                <w:sz w:val="24"/>
                <w:szCs w:val="24"/>
                <w:rtl w:val="true"/>
                <w:lang w:val="en-US" w:bidi="fa-IR"/>
              </w:rPr>
              <w:t>)</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16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۰٫۵۹</w:t>
            </w:r>
            <w:r>
              <w:rPr>
                <w:rFonts w:ascii="Times New Roman" w:hAnsi="Times New Roman" w:eastAsia="Times New Roman"/>
                <w:sz w:val="24"/>
                <w:sz w:val="24"/>
                <w:szCs w:val="24"/>
                <w:rtl w:val="true"/>
                <w:lang w:val="en-US" w:bidi="fa-IR"/>
              </w:rPr>
              <w:t>–</w:t>
            </w:r>
            <w:r>
              <w:rPr>
                <w:rFonts w:ascii="Times New Roman" w:hAnsi="Times New Roman" w:eastAsia="Times New Roman"/>
                <w:sz w:val="24"/>
                <w:sz w:val="24"/>
                <w:szCs w:val="24"/>
                <w:lang w:val="en-US" w:bidi="fa-IR"/>
              </w:rPr>
              <w:t>۰٫۸۰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۰٫۸۴۴</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۰٫۸۴۶</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۰٫۵۲۵</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۰٫۷۲۵</w:t>
            </w:r>
          </w:p>
        </w:tc>
      </w:tr>
      <w:tr>
        <w:trPr>
          <w:cantSplit w:val="true"/>
        </w:trPr>
        <w:tc>
          <w:tcPr>
            <w:tcW w:w="2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کیفیت تصمیم </w:t>
            </w:r>
            <w:r>
              <w:rPr>
                <w:rFonts w:eastAsia="Times New Roman" w:cs="B Nazanin"/>
                <w:sz w:val="24"/>
                <w:szCs w:val="24"/>
                <w:rtl w:val="true"/>
                <w:lang w:val="en-US" w:bidi="fa-IR"/>
              </w:rPr>
              <w:t>(</w:t>
            </w:r>
            <w:r>
              <w:rPr>
                <w:rFonts w:eastAsia="Times New Roman" w:cs="B Nazanin"/>
                <w:sz w:val="24"/>
                <w:szCs w:val="24"/>
                <w:lang w:val="en-US" w:bidi="fa-IR"/>
              </w:rPr>
              <w:t>IDQ</w:t>
            </w:r>
            <w:r>
              <w:rPr>
                <w:rFonts w:eastAsia="Times New Roman" w:cs="B Nazanin"/>
                <w:sz w:val="24"/>
                <w:szCs w:val="24"/>
                <w:rtl w:val="true"/>
                <w:lang w:val="en-US" w:bidi="fa-IR"/>
              </w:rPr>
              <w:t>)</w:t>
            </w:r>
          </w:p>
        </w:tc>
        <w:tc>
          <w:tcPr>
            <w:tcW w:w="6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1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۰٫۶۴</w:t>
            </w:r>
            <w:r>
              <w:rPr>
                <w:rFonts w:ascii="Times New Roman" w:hAnsi="Times New Roman" w:eastAsia="Times New Roman"/>
                <w:sz w:val="24"/>
                <w:sz w:val="24"/>
                <w:szCs w:val="24"/>
                <w:rtl w:val="true"/>
                <w:lang w:val="en-US" w:bidi="fa-IR"/>
              </w:rPr>
              <w:t>–</w:t>
            </w:r>
            <w:r>
              <w:rPr>
                <w:rFonts w:ascii="Times New Roman" w:hAnsi="Times New Roman" w:eastAsia="Times New Roman"/>
                <w:sz w:val="24"/>
                <w:sz w:val="24"/>
                <w:szCs w:val="24"/>
                <w:lang w:val="en-US" w:bidi="fa-IR"/>
              </w:rPr>
              <w:t>۰٫۸۱</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۰٫۸۴۵</w:t>
            </w:r>
          </w:p>
        </w:tc>
        <w:tc>
          <w:tcPr>
            <w:tcW w:w="8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۰٫۸۴۶</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۰٫۵۲۶</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۰٫۷۲۵</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۸</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روایی واگرا</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همبستگی پنهان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زیر قطر</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 √</w:t>
      </w:r>
      <w:r>
        <w:rPr>
          <w:rFonts w:eastAsia="Times New Roman" w:cs="B Zar"/>
          <w:b/>
          <w:bCs/>
          <w:sz w:val="20"/>
          <w:szCs w:val="20"/>
          <w:lang w:val="en-US" w:bidi="fa-IR"/>
        </w:rPr>
        <w:t>AVE</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قطر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و </w:t>
      </w:r>
      <w:r>
        <w:rPr>
          <w:rFonts w:eastAsia="Times New Roman" w:cs="B Zar"/>
          <w:b/>
          <w:bCs/>
          <w:sz w:val="20"/>
          <w:szCs w:val="20"/>
          <w:lang w:val="en-US" w:bidi="fa-IR"/>
        </w:rPr>
        <w:t>HTMT</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بالای قطر</w:t>
      </w:r>
      <w:r>
        <w:rPr>
          <w:rFonts w:eastAsia="Times New Roman" w:cs="B Zar"/>
          <w:b/>
          <w:bCs/>
          <w:sz w:val="20"/>
          <w:szCs w:val="20"/>
          <w:rtl w:val="true"/>
          <w:lang w:val="en-US" w:bidi="fa-IR"/>
        </w:rPr>
        <w:t>)</w:t>
      </w:r>
    </w:p>
    <w:tbl>
      <w:tblPr>
        <w:bidiVisual w:val="true"/>
        <w:tblW w:w="8300" w:type="dxa"/>
        <w:jc w:val="center"/>
        <w:tblInd w:w="0" w:type="dxa"/>
        <w:tblLayout w:type="fixed"/>
        <w:tblCellMar>
          <w:top w:w="0" w:type="dxa"/>
          <w:left w:w="60" w:type="dxa"/>
          <w:bottom w:w="0" w:type="dxa"/>
          <w:right w:w="60" w:type="dxa"/>
        </w:tblCellMar>
      </w:tblPr>
      <w:tblGrid>
        <w:gridCol w:w="2799"/>
        <w:gridCol w:w="1101"/>
        <w:gridCol w:w="1099"/>
        <w:gridCol w:w="1100"/>
        <w:gridCol w:w="1101"/>
        <w:gridCol w:w="1099"/>
      </w:tblGrid>
      <w:tr>
        <w:trPr>
          <w:tblHeader w:val="true"/>
        </w:trPr>
        <w:tc>
          <w:tcPr>
            <w:tcW w:w="2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سازه</w:t>
            </w:r>
          </w:p>
        </w:tc>
        <w:tc>
          <w:tcPr>
            <w:tcW w:w="11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lang w:val="en-US" w:bidi="fa-IR"/>
              </w:rPr>
              <w:t>۱</w:t>
            </w:r>
          </w:p>
        </w:tc>
        <w:tc>
          <w:tcPr>
            <w:tcW w:w="10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lang w:val="en-US" w:bidi="fa-IR"/>
              </w:rPr>
              <w:t>۲</w:t>
            </w:r>
          </w:p>
        </w:tc>
        <w:tc>
          <w:tcPr>
            <w:tcW w:w="11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lang w:val="en-US" w:bidi="fa-IR"/>
              </w:rPr>
              <w:t>۳</w:t>
            </w:r>
          </w:p>
        </w:tc>
        <w:tc>
          <w:tcPr>
            <w:tcW w:w="11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lang w:val="en-US" w:bidi="fa-IR"/>
              </w:rPr>
              <w:t>۴</w:t>
            </w:r>
          </w:p>
        </w:tc>
        <w:tc>
          <w:tcPr>
            <w:tcW w:w="10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lang w:val="en-US" w:bidi="fa-IR"/>
              </w:rPr>
              <w:t>۵</w:t>
            </w:r>
          </w:p>
        </w:tc>
      </w:tr>
      <w:tr>
        <w:trPr>
          <w:cantSplit w:val="true"/>
        </w:trPr>
        <w:tc>
          <w:tcPr>
            <w:tcW w:w="2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مواجهه با محتوا </w:t>
            </w:r>
            <w:r>
              <w:rPr>
                <w:rFonts w:eastAsia="Times New Roman" w:cs="B Nazanin"/>
                <w:sz w:val="22"/>
                <w:szCs w:val="22"/>
                <w:rtl w:val="true"/>
                <w:lang w:val="en-US" w:bidi="fa-IR"/>
              </w:rPr>
              <w:t>(</w:t>
            </w:r>
            <w:r>
              <w:rPr>
                <w:rFonts w:eastAsia="Times New Roman" w:cs="B Nazanin"/>
                <w:sz w:val="22"/>
                <w:szCs w:val="22"/>
                <w:lang w:val="en-US" w:bidi="fa-IR"/>
              </w:rPr>
              <w:t>SME</w:t>
            </w:r>
            <w:r>
              <w:rPr>
                <w:rFonts w:eastAsia="Times New Roman" w:cs="B Nazanin"/>
                <w:sz w:val="22"/>
                <w:szCs w:val="22"/>
                <w:rtl w:val="true"/>
                <w:lang w:val="en-US" w:bidi="fa-IR"/>
              </w:rPr>
              <w:t>)</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۰٫۷۰۷</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۰٫۵۲</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۰٫۵۲</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۰٫۱۷</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۰٫۲۷</w:t>
            </w:r>
          </w:p>
        </w:tc>
      </w:tr>
      <w:tr>
        <w:trPr>
          <w:cantSplit w:val="true"/>
        </w:trPr>
        <w:tc>
          <w:tcPr>
            <w:tcW w:w="2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فومو </w:t>
            </w:r>
            <w:r>
              <w:rPr>
                <w:rFonts w:eastAsia="Times New Roman" w:cs="B Nazanin"/>
                <w:sz w:val="22"/>
                <w:szCs w:val="22"/>
                <w:rtl w:val="true"/>
                <w:lang w:val="en-US" w:bidi="fa-IR"/>
              </w:rPr>
              <w:t>(</w:t>
            </w:r>
            <w:r>
              <w:rPr>
                <w:rFonts w:eastAsia="Times New Roman" w:cs="B Nazanin"/>
                <w:sz w:val="22"/>
                <w:szCs w:val="22"/>
                <w:lang w:val="en-US" w:bidi="fa-IR"/>
              </w:rPr>
              <w:t>FOMO</w:t>
            </w:r>
            <w:r>
              <w:rPr>
                <w:rFonts w:eastAsia="Times New Roman" w:cs="B Nazanin"/>
                <w:sz w:val="22"/>
                <w:szCs w:val="22"/>
                <w:rtl w:val="true"/>
                <w:lang w:val="en-US" w:bidi="fa-IR"/>
              </w:rPr>
              <w:t>)</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۰٫۵۱</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۰٫۷۳۵</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۰٫۵۹</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۰٫۱۹</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۰٫۳۶</w:t>
            </w:r>
          </w:p>
        </w:tc>
      </w:tr>
      <w:tr>
        <w:trPr>
          <w:cantSplit w:val="true"/>
        </w:trPr>
        <w:tc>
          <w:tcPr>
            <w:tcW w:w="2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رفتار توده‌وار </w:t>
            </w:r>
            <w:r>
              <w:rPr>
                <w:rFonts w:eastAsia="Times New Roman" w:cs="B Nazanin"/>
                <w:sz w:val="22"/>
                <w:szCs w:val="22"/>
                <w:rtl w:val="true"/>
                <w:lang w:val="en-US" w:bidi="fa-IR"/>
              </w:rPr>
              <w:t>(</w:t>
            </w:r>
            <w:r>
              <w:rPr>
                <w:rFonts w:eastAsia="Times New Roman" w:cs="B Nazanin"/>
                <w:sz w:val="22"/>
                <w:szCs w:val="22"/>
                <w:lang w:val="en-US" w:bidi="fa-IR"/>
              </w:rPr>
              <w:t>HRD</w:t>
            </w:r>
            <w:r>
              <w:rPr>
                <w:rFonts w:eastAsia="Times New Roman" w:cs="B Nazanin"/>
                <w:sz w:val="22"/>
                <w:szCs w:val="22"/>
                <w:rtl w:val="true"/>
                <w:lang w:val="en-US" w:bidi="fa-IR"/>
              </w:rPr>
              <w:t>)</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۰٫۵۱</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۰٫۵۹</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۰٫۷۲۴</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۰٫۲۸</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۰٫۵۲</w:t>
            </w:r>
          </w:p>
        </w:tc>
      </w:tr>
      <w:tr>
        <w:trPr>
          <w:cantSplit w:val="true"/>
        </w:trPr>
        <w:tc>
          <w:tcPr>
            <w:tcW w:w="2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اطلاعات حسابداری </w:t>
            </w:r>
            <w:r>
              <w:rPr>
                <w:rFonts w:eastAsia="Times New Roman" w:cs="B Nazanin"/>
                <w:sz w:val="22"/>
                <w:szCs w:val="22"/>
                <w:rtl w:val="true"/>
                <w:lang w:val="en-US" w:bidi="fa-IR"/>
              </w:rPr>
              <w:t>(</w:t>
            </w:r>
            <w:r>
              <w:rPr>
                <w:rFonts w:eastAsia="Times New Roman" w:cs="B Nazanin"/>
                <w:sz w:val="22"/>
                <w:szCs w:val="22"/>
                <w:lang w:val="en-US" w:bidi="fa-IR"/>
              </w:rPr>
              <w:t>AIU</w:t>
            </w:r>
            <w:r>
              <w:rPr>
                <w:rFonts w:eastAsia="Times New Roman" w:cs="B Nazanin"/>
                <w:sz w:val="22"/>
                <w:szCs w:val="22"/>
                <w:rtl w:val="true"/>
                <w:lang w:val="en-US" w:bidi="fa-IR"/>
              </w:rPr>
              <w:t>)</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۰٫۱۸‎</w:t>
            </w:r>
          </w:p>
        </w:tc>
        <w:tc>
          <w:tcPr>
            <w:tcW w:w="1099"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۰٫۱۹‎</w:t>
            </w:r>
          </w:p>
        </w:tc>
        <w:tc>
          <w:tcPr>
            <w:tcW w:w="1100"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۰٫۲۸‎</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۰٫۷۲۵</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۰٫۵۴</w:t>
            </w:r>
          </w:p>
        </w:tc>
      </w:tr>
      <w:tr>
        <w:trPr>
          <w:cantSplit w:val="true"/>
        </w:trPr>
        <w:tc>
          <w:tcPr>
            <w:tcW w:w="2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کیفیت تصمیم </w:t>
            </w:r>
            <w:r>
              <w:rPr>
                <w:rFonts w:eastAsia="Times New Roman" w:cs="B Nazanin"/>
                <w:sz w:val="22"/>
                <w:szCs w:val="22"/>
                <w:rtl w:val="true"/>
                <w:lang w:val="en-US" w:bidi="fa-IR"/>
              </w:rPr>
              <w:t>(</w:t>
            </w:r>
            <w:r>
              <w:rPr>
                <w:rFonts w:eastAsia="Times New Roman" w:cs="B Nazanin"/>
                <w:sz w:val="22"/>
                <w:szCs w:val="22"/>
                <w:lang w:val="en-US" w:bidi="fa-IR"/>
              </w:rPr>
              <w:t>IDQ</w:t>
            </w:r>
            <w:r>
              <w:rPr>
                <w:rFonts w:eastAsia="Times New Roman" w:cs="B Nazanin"/>
                <w:sz w:val="22"/>
                <w:szCs w:val="22"/>
                <w:rtl w:val="true"/>
                <w:lang w:val="en-US" w:bidi="fa-IR"/>
              </w:rPr>
              <w:t>)</w:t>
            </w:r>
          </w:p>
        </w:tc>
        <w:tc>
          <w:tcPr>
            <w:tcW w:w="11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۰٫۲۷‎</w:t>
            </w:r>
          </w:p>
        </w:tc>
        <w:tc>
          <w:tcPr>
            <w:tcW w:w="10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۰٫۳۴‎</w:t>
            </w:r>
          </w:p>
        </w:tc>
        <w:tc>
          <w:tcPr>
            <w:tcW w:w="11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۰٫۵۱‎</w:t>
            </w:r>
          </w:p>
        </w:tc>
        <w:tc>
          <w:tcPr>
            <w:tcW w:w="11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۰٫۵۴</w:t>
            </w:r>
          </w:p>
        </w:tc>
        <w:tc>
          <w:tcPr>
            <w:tcW w:w="10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۰٫۷۲۵</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همبستگی‌ها از مدل </w:t>
      </w:r>
      <w:r>
        <w:rPr>
          <w:rFonts w:eastAsia="Times New Roman" w:cs="B Nazanin"/>
          <w:sz w:val="20"/>
          <w:szCs w:val="20"/>
          <w:lang w:val="en-US" w:bidi="fa-IR"/>
        </w:rPr>
        <w:t>CFA</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برآورد شده‌اند؛ سازه‌ها به ترتیب جدول</w:t>
      </w:r>
      <w:r>
        <w:rPr>
          <w:rFonts w:eastAsia="Times New Roman" w:cs="B Nazanin"/>
          <w:sz w:val="20"/>
          <w:szCs w:val="20"/>
          <w:rtl w:val="true"/>
          <w:lang w:val="en-US" w:bidi="fa-IR"/>
        </w:rPr>
        <w:t xml:space="preserve">: </w:t>
      </w:r>
      <w:r>
        <w:rPr>
          <w:rFonts w:ascii="Times New Roman" w:hAnsi="Times New Roman" w:eastAsia="Times New Roman"/>
          <w:sz w:val="20"/>
          <w:sz w:val="20"/>
          <w:szCs w:val="20"/>
          <w:lang w:val="en-US" w:bidi="fa-IR"/>
        </w:rPr>
        <w:t>۱</w:t>
      </w:r>
      <w:r>
        <w:rPr>
          <w:rFonts w:ascii="Times New Roman" w:hAnsi="Times New Roman" w:eastAsia="Times New Roman"/>
          <w:sz w:val="20"/>
          <w:sz w:val="20"/>
          <w:szCs w:val="20"/>
          <w:rtl w:val="true"/>
          <w:lang w:val="en-US" w:bidi="fa-IR"/>
        </w:rPr>
        <w:t xml:space="preserve"> </w:t>
      </w:r>
      <w:r>
        <w:rPr>
          <w:rFonts w:eastAsia="Times New Roman" w:cs="B Nazanin"/>
          <w:sz w:val="20"/>
          <w:szCs w:val="20"/>
          <w:rtl w:val="true"/>
          <w:lang w:val="en-US" w:bidi="fa-IR"/>
        </w:rPr>
        <w:t xml:space="preserve">= </w:t>
      </w:r>
      <w:r>
        <w:rPr>
          <w:rFonts w:eastAsia="Times New Roman" w:cs="B Nazanin"/>
          <w:sz w:val="20"/>
          <w:szCs w:val="20"/>
          <w:lang w:val="en-US" w:bidi="fa-IR"/>
        </w:rPr>
        <w:t>SME</w:t>
      </w:r>
      <w:r>
        <w:rPr>
          <w:rFonts w:ascii="Times New Roman" w:hAnsi="Times New Roman" w:eastAsia="Times New Roman"/>
          <w:sz w:val="20"/>
          <w:sz w:val="20"/>
          <w:szCs w:val="20"/>
          <w:lang w:val="en-US" w:bidi="fa-IR"/>
        </w:rPr>
        <w:t xml:space="preserve">، ۲ </w:t>
      </w:r>
      <w:r>
        <w:rPr>
          <w:rFonts w:eastAsia="Times New Roman" w:cs="B Nazanin"/>
          <w:sz w:val="20"/>
          <w:szCs w:val="20"/>
          <w:lang w:val="en-US" w:bidi="fa-IR"/>
        </w:rPr>
        <w:t>= FOMO</w:t>
      </w:r>
      <w:r>
        <w:rPr>
          <w:rFonts w:ascii="Times New Roman" w:hAnsi="Times New Roman" w:eastAsia="Times New Roman"/>
          <w:sz w:val="20"/>
          <w:sz w:val="20"/>
          <w:szCs w:val="20"/>
          <w:lang w:val="en-US" w:bidi="fa-IR"/>
        </w:rPr>
        <w:t xml:space="preserve">، ۳ </w:t>
      </w:r>
      <w:r>
        <w:rPr>
          <w:rFonts w:eastAsia="Times New Roman" w:cs="B Nazanin"/>
          <w:sz w:val="20"/>
          <w:szCs w:val="20"/>
          <w:lang w:val="en-US" w:bidi="fa-IR"/>
        </w:rPr>
        <w:t>= HRD</w:t>
      </w:r>
      <w:r>
        <w:rPr>
          <w:rFonts w:ascii="Times New Roman" w:hAnsi="Times New Roman" w:eastAsia="Times New Roman"/>
          <w:sz w:val="20"/>
          <w:sz w:val="20"/>
          <w:szCs w:val="20"/>
          <w:lang w:val="en-US" w:bidi="fa-IR"/>
        </w:rPr>
        <w:t xml:space="preserve">، ۴ </w:t>
      </w:r>
      <w:r>
        <w:rPr>
          <w:rFonts w:eastAsia="Times New Roman" w:cs="B Nazanin"/>
          <w:sz w:val="20"/>
          <w:szCs w:val="20"/>
          <w:lang w:val="en-US" w:bidi="fa-IR"/>
        </w:rPr>
        <w:t>= AIU</w:t>
      </w:r>
      <w:r>
        <w:rPr>
          <w:rFonts w:ascii="Times New Roman" w:hAnsi="Times New Roman" w:eastAsia="Times New Roman"/>
          <w:sz w:val="20"/>
          <w:sz w:val="20"/>
          <w:szCs w:val="20"/>
          <w:lang w:val="en-US" w:bidi="fa-IR"/>
        </w:rPr>
        <w:t xml:space="preserve">، ۵ </w:t>
      </w:r>
      <w:r>
        <w:rPr>
          <w:rFonts w:eastAsia="Times New Roman" w:cs="B Nazanin"/>
          <w:sz w:val="20"/>
          <w:szCs w:val="20"/>
          <w:lang w:val="en-US" w:bidi="fa-IR"/>
        </w:rPr>
        <w:t>= IDQ</w:t>
      </w:r>
      <w:r>
        <w:rPr>
          <w:rFonts w:eastAsia="Times New Roman" w:cs="B Nazanin"/>
          <w:sz w:val="20"/>
          <w:szCs w:val="20"/>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جذر </w:t>
      </w:r>
      <w:r>
        <w:rPr>
          <w:rFonts w:eastAsia="Times New Roman" w:cs="B Nazanin"/>
          <w:sz w:val="26"/>
          <w:szCs w:val="26"/>
          <w:lang w:val="en-US" w:bidi="fa-IR"/>
        </w:rPr>
        <w:t>AVE</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هر سازه از همبستگی آن با سازه‌های دیگر بزرگ‌تر بود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معیار فورنل ـ لارکر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بیشینهٔ </w:t>
      </w:r>
      <w:r>
        <w:rPr>
          <w:rFonts w:eastAsia="Times New Roman" w:cs="B Nazanin"/>
          <w:sz w:val="26"/>
          <w:szCs w:val="26"/>
          <w:lang w:val="en-US" w:bidi="fa-IR"/>
        </w:rPr>
        <w:t>HTMT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۰٫۵۹</w:t>
      </w:r>
      <w:r>
        <w:rPr>
          <w:rFonts w:ascii="Times New Roman" w:hAnsi="Times New Roman" w:eastAsia="Times New Roman"/>
          <w:sz w:val="26"/>
          <w:sz w:val="26"/>
          <w:szCs w:val="26"/>
          <w:rtl w:val="true"/>
          <w:lang w:val="en-US" w:bidi="fa-IR"/>
        </w:rPr>
        <w:t xml:space="preserve"> و کمتر از آستانهٔ </w:t>
      </w:r>
      <w:r>
        <w:rPr>
          <w:rFonts w:ascii="Times New Roman" w:hAnsi="Times New Roman" w:eastAsia="Times New Roman"/>
          <w:sz w:val="26"/>
          <w:sz w:val="26"/>
          <w:szCs w:val="26"/>
          <w:lang w:val="en-US" w:bidi="fa-IR"/>
        </w:rPr>
        <w:t>۰٫۸۵</w:t>
      </w:r>
      <w:r>
        <w:rPr>
          <w:rFonts w:ascii="Times New Roman" w:hAnsi="Times New Roman" w:eastAsia="Times New Roman"/>
          <w:sz w:val="26"/>
          <w:sz w:val="26"/>
          <w:szCs w:val="26"/>
          <w:rtl w:val="true"/>
          <w:lang w:val="en-US" w:bidi="fa-IR"/>
        </w:rPr>
        <w:t xml:space="preserve"> به‌دست آمد؛ بنابراین روایی واگرا برقرار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بیشینهٔ قدر مطلق همبستگی پنهان </w:t>
      </w:r>
      <w:r>
        <w:rPr>
          <w:rFonts w:ascii="Times New Roman" w:hAnsi="Times New Roman" w:eastAsia="Times New Roman"/>
          <w:sz w:val="26"/>
          <w:sz w:val="26"/>
          <w:szCs w:val="26"/>
          <w:lang w:val="en-US" w:bidi="fa-IR"/>
        </w:rPr>
        <w:t>۰٫۵۹</w:t>
      </w:r>
      <w:r>
        <w:rPr>
          <w:rFonts w:ascii="Times New Roman" w:hAnsi="Times New Roman" w:eastAsia="Times New Roman"/>
          <w:sz w:val="26"/>
          <w:sz w:val="26"/>
          <w:szCs w:val="26"/>
          <w:rtl w:val="true"/>
          <w:lang w:val="en-US" w:bidi="fa-IR"/>
        </w:rPr>
        <w:t xml:space="preserve"> است و شاخص تورم واریانس پیش‌بینی‌کننده‌های پنهان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محاسبه‌شده از ماتریس همبستگی پنهان</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بازهٔ </w:t>
      </w:r>
      <w:r>
        <w:rPr>
          <w:rFonts w:ascii="Times New Roman" w:hAnsi="Times New Roman" w:eastAsia="Times New Roman"/>
          <w:sz w:val="26"/>
          <w:sz w:val="26"/>
          <w:szCs w:val="26"/>
          <w:lang w:val="en-US" w:bidi="fa-IR"/>
        </w:rPr>
        <w:t>۱٫۰۵</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۱٫۷۴</w:t>
      </w:r>
      <w:r>
        <w:rPr>
          <w:rFonts w:ascii="Times New Roman" w:hAnsi="Times New Roman" w:eastAsia="Times New Roman"/>
          <w:sz w:val="26"/>
          <w:sz w:val="26"/>
          <w:szCs w:val="26"/>
          <w:rtl w:val="true"/>
          <w:lang w:val="en-US" w:bidi="fa-IR"/>
        </w:rPr>
        <w:t xml:space="preserve"> قرار داشت؛ مشکل هم‌خطی وجود ندارد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آزمون تک‌عاملی هارمن نشان داد عامل نخست </w:t>
      </w:r>
      <w:r>
        <w:rPr>
          <w:rFonts w:ascii="Times New Roman" w:hAnsi="Times New Roman" w:eastAsia="Times New Roman"/>
          <w:sz w:val="26"/>
          <w:sz w:val="26"/>
          <w:szCs w:val="26"/>
          <w:lang w:val="en-US" w:bidi="fa-IR"/>
        </w:rPr>
        <w:t>۲۹٫۴</w:t>
      </w:r>
      <w:r>
        <w:rPr>
          <w:rFonts w:ascii="Times New Roman" w:hAnsi="Times New Roman" w:eastAsia="Times New Roman"/>
          <w:sz w:val="26"/>
          <w:sz w:val="26"/>
          <w:szCs w:val="26"/>
          <w:rtl w:val="true"/>
          <w:lang w:val="en-US" w:bidi="fa-IR"/>
        </w:rPr>
        <w:t xml:space="preserve">٪ از واریانس را تبیین می‌کند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۵۰</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مدل تک‌عاملی برازش بسیار ضعیفی داشت </w:t>
      </w:r>
      <w:r>
        <w:rPr>
          <w:rFonts w:eastAsia="Times New Roman" w:cs="B Nazanin"/>
          <w:sz w:val="26"/>
          <w:szCs w:val="26"/>
          <w:rtl w:val="true"/>
          <w:lang w:val="en-US" w:bidi="fa-IR"/>
        </w:rPr>
        <w:t>(</w:t>
      </w:r>
      <w:r>
        <w:rPr>
          <w:rFonts w:eastAsia="Times New Roman" w:cs="B Nazanin"/>
          <w:sz w:val="26"/>
          <w:szCs w:val="26"/>
          <w:lang w:val="en-US" w:bidi="fa-IR"/>
        </w:rPr>
        <w:t xml:space="preserve">‎CFI = </w:t>
      </w:r>
      <w:r>
        <w:rPr>
          <w:rFonts w:ascii="Times New Roman" w:hAnsi="Times New Roman" w:eastAsia="Times New Roman"/>
          <w:sz w:val="26"/>
          <w:sz w:val="26"/>
          <w:szCs w:val="26"/>
          <w:lang w:val="en-US" w:bidi="fa-IR"/>
        </w:rPr>
        <w:t>۰٫۵۲‎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مدل عامل روش مشترک، میانگین واریانس مشترک روش </w:t>
      </w:r>
      <w:r>
        <w:rPr>
          <w:rFonts w:ascii="Times New Roman" w:hAnsi="Times New Roman" w:eastAsia="Times New Roman"/>
          <w:sz w:val="26"/>
          <w:sz w:val="26"/>
          <w:szCs w:val="26"/>
          <w:lang w:val="en-US" w:bidi="fa-IR"/>
        </w:rPr>
        <w:t>۱۴٫۷</w:t>
      </w:r>
      <w:r>
        <w:rPr>
          <w:rFonts w:ascii="Times New Roman" w:hAnsi="Times New Roman" w:eastAsia="Times New Roman"/>
          <w:sz w:val="26"/>
          <w:sz w:val="26"/>
          <w:szCs w:val="26"/>
          <w:rtl w:val="true"/>
          <w:lang w:val="en-US" w:bidi="fa-IR"/>
        </w:rPr>
        <w:t xml:space="preserve">٪ بود که از معیار </w:t>
      </w:r>
      <w:r>
        <w:rPr>
          <w:rFonts w:ascii="Times New Roman" w:hAnsi="Times New Roman" w:eastAsia="Times New Roman"/>
          <w:sz w:val="26"/>
          <w:sz w:val="26"/>
          <w:szCs w:val="26"/>
          <w:lang w:val="en-US" w:bidi="fa-IR"/>
        </w:rPr>
        <w:t>۲۵</w:t>
      </w:r>
      <w:r>
        <w:rPr>
          <w:rFonts w:ascii="Times New Roman" w:hAnsi="Times New Roman" w:eastAsia="Times New Roman"/>
          <w:sz w:val="26"/>
          <w:sz w:val="26"/>
          <w:szCs w:val="26"/>
          <w:rtl w:val="true"/>
          <w:lang w:val="en-US" w:bidi="fa-IR"/>
        </w:rPr>
        <w:t>٪ پایین‌تر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بنابراین سوگیری روش مشترک تهدید جدی برای نتایج نیست</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مدل ساختاری و آزمون فرضیه‌ها</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مدل ساختاری مکنون کامل، شامل </w:t>
      </w:r>
      <w:r>
        <w:rPr>
          <w:rFonts w:ascii="Times New Roman" w:hAnsi="Times New Roman" w:eastAsia="Times New Roman"/>
          <w:sz w:val="26"/>
          <w:sz w:val="26"/>
          <w:szCs w:val="26"/>
          <w:lang w:val="en-US" w:bidi="fa-IR"/>
        </w:rPr>
        <w:t>۲۶</w:t>
      </w:r>
      <w:r>
        <w:rPr>
          <w:rFonts w:ascii="Times New Roman" w:hAnsi="Times New Roman" w:eastAsia="Times New Roman"/>
          <w:sz w:val="26"/>
          <w:sz w:val="26"/>
          <w:szCs w:val="26"/>
          <w:rtl w:val="true"/>
          <w:lang w:val="en-US" w:bidi="fa-IR"/>
        </w:rPr>
        <w:t xml:space="preserve"> گویهٔ اندازه‌گیری و پنج شاخص حاصل‌ضرب تعامل، برازش مطلوبی داشت </w:t>
      </w:r>
      <w:r>
        <w:rPr>
          <w:rFonts w:eastAsia="Times New Roman" w:cs="B Nazanin"/>
          <w:sz w:val="26"/>
          <w:szCs w:val="26"/>
          <w:rtl w:val="true"/>
          <w:lang w:val="en-US" w:bidi="fa-IR"/>
        </w:rPr>
        <w:t>(</w:t>
      </w:r>
      <w:r>
        <w:rPr>
          <w:rFonts w:eastAsia="Times New Roman" w:cs="B Nazanin"/>
          <w:sz w:val="26"/>
          <w:szCs w:val="26"/>
          <w:lang w:val="en-US" w:bidi="fa-IR"/>
        </w:rPr>
        <w:t xml:space="preserve">‎χ²/df = </w:t>
      </w:r>
      <w:r>
        <w:rPr>
          <w:rFonts w:ascii="Times New Roman" w:hAnsi="Times New Roman" w:eastAsia="Times New Roman"/>
          <w:sz w:val="26"/>
          <w:sz w:val="26"/>
          <w:szCs w:val="26"/>
          <w:lang w:val="en-US" w:bidi="fa-IR"/>
        </w:rPr>
        <w:t>۱٫۲۰‎</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CFI = </w:t>
      </w:r>
      <w:r>
        <w:rPr>
          <w:rFonts w:ascii="Times New Roman" w:hAnsi="Times New Roman" w:eastAsia="Times New Roman"/>
          <w:sz w:val="26"/>
          <w:sz w:val="26"/>
          <w:szCs w:val="26"/>
          <w:lang w:val="en-US" w:bidi="fa-IR"/>
        </w:rPr>
        <w:t>۰٫۹۷۷‎</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TLI = </w:t>
      </w:r>
      <w:r>
        <w:rPr>
          <w:rFonts w:ascii="Times New Roman" w:hAnsi="Times New Roman" w:eastAsia="Times New Roman"/>
          <w:sz w:val="26"/>
          <w:sz w:val="26"/>
          <w:szCs w:val="26"/>
          <w:lang w:val="en-US" w:bidi="fa-IR"/>
        </w:rPr>
        <w:t>۰٫۹۷۵‎</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RMSEA = </w:t>
      </w:r>
      <w:r>
        <w:rPr>
          <w:rFonts w:ascii="Times New Roman" w:hAnsi="Times New Roman" w:eastAsia="Times New Roman"/>
          <w:sz w:val="26"/>
          <w:sz w:val="26"/>
          <w:szCs w:val="26"/>
          <w:lang w:val="en-US" w:bidi="fa-IR"/>
        </w:rPr>
        <w:t>۰٫۰۲۳‎</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SRMR = </w:t>
      </w:r>
      <w:r>
        <w:rPr>
          <w:rFonts w:ascii="Times New Roman" w:hAnsi="Times New Roman" w:eastAsia="Times New Roman"/>
          <w:sz w:val="26"/>
          <w:sz w:val="26"/>
          <w:szCs w:val="26"/>
          <w:lang w:val="en-US" w:bidi="fa-IR"/>
        </w:rPr>
        <w:t>۰٫۰۴۲‎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مدل برآوردشده را با همهٔ گویه‌ها و بارهای عاملی استاندارد نشان می‌دهد و جدول </w:t>
      </w:r>
      <w:r>
        <w:rPr>
          <w:rFonts w:ascii="Times New Roman" w:hAnsi="Times New Roman" w:eastAsia="Times New Roman"/>
          <w:sz w:val="26"/>
          <w:sz w:val="26"/>
          <w:szCs w:val="26"/>
          <w:lang w:val="en-US" w:bidi="fa-IR"/>
        </w:rPr>
        <w:t>۹</w:t>
      </w:r>
      <w:r>
        <w:rPr>
          <w:rFonts w:ascii="Times New Roman" w:hAnsi="Times New Roman" w:eastAsia="Times New Roman"/>
          <w:sz w:val="26"/>
          <w:sz w:val="26"/>
          <w:szCs w:val="26"/>
          <w:rtl w:val="true"/>
          <w:lang w:val="en-US" w:bidi="fa-IR"/>
        </w:rPr>
        <w:t xml:space="preserve"> ضرایب مسیر را ارائه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مواجهه با محتوا اثر مثبت و نیرومندی بر فومو داشت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۰٫۴۹‎،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۸٫۲۳‎،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فومو بر رفتار توده‌وار اثر مثبت داشت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۰٫۴۱‎،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۶٫۶۲‎،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رفتار توده‌وار کیفیت تصمیم را کاهش داد </w:t>
      </w:r>
      <w:r>
        <w:rPr>
          <w:rFonts w:eastAsia="Times New Roman" w:cs="B Nazanin"/>
          <w:sz w:val="26"/>
          <w:szCs w:val="26"/>
          <w:rtl w:val="true"/>
          <w:lang w:val="en-US" w:bidi="fa-IR"/>
        </w:rPr>
        <w:t>(</w:t>
      </w:r>
      <w:r>
        <w:rPr>
          <w:rFonts w:eastAsia="Times New Roman" w:cs="B Nazanin"/>
          <w:sz w:val="26"/>
          <w:szCs w:val="26"/>
          <w:lang w:val="en-US" w:bidi="fa-IR"/>
        </w:rPr>
        <w:t>‎β = −</w:t>
      </w:r>
      <w:r>
        <w:rPr>
          <w:rFonts w:ascii="Times New Roman" w:hAnsi="Times New Roman" w:eastAsia="Times New Roman"/>
          <w:sz w:val="26"/>
          <w:sz w:val="26"/>
          <w:szCs w:val="26"/>
          <w:lang w:val="en-US" w:bidi="fa-IR"/>
        </w:rPr>
        <w:t>۰٫۳۵‎، ‎</w:t>
      </w:r>
      <w:r>
        <w:rPr>
          <w:rFonts w:eastAsia="Times New Roman" w:cs="B Nazanin"/>
          <w:sz w:val="26"/>
          <w:szCs w:val="26"/>
          <w:lang w:val="en-US" w:bidi="fa-IR"/>
        </w:rPr>
        <w:t>z = −</w:t>
      </w:r>
      <w:r>
        <w:rPr>
          <w:rFonts w:ascii="Times New Roman" w:hAnsi="Times New Roman" w:eastAsia="Times New Roman"/>
          <w:sz w:val="26"/>
          <w:sz w:val="26"/>
          <w:szCs w:val="26"/>
          <w:lang w:val="en-US" w:bidi="fa-IR"/>
        </w:rPr>
        <w:t>۴٫۷۳‎،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مستقیم مواجهه بر رفتار توده‌وار نیز مثبت و معنادار بود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۰٫۲۹‎،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۴٫۷۵‎،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استفاده از اطلاعات حسابداری اثر مثبتی بر کیفیت تصمیم داشت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۰٫۴۳‎،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۷٫۵۴‎،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مستقیم فومو </w:t>
      </w:r>
      <w:r>
        <w:rPr>
          <w:rFonts w:eastAsia="Times New Roman" w:cs="B Nazanin"/>
          <w:sz w:val="26"/>
          <w:szCs w:val="26"/>
          <w:rtl w:val="true"/>
          <w:lang w:val="en-US" w:bidi="fa-IR"/>
        </w:rPr>
        <w:t>(</w:t>
      </w:r>
      <w:r>
        <w:rPr>
          <w:rFonts w:eastAsia="Times New Roman" w:cs="B Nazanin"/>
          <w:sz w:val="26"/>
          <w:szCs w:val="26"/>
          <w:lang w:val="en-US" w:bidi="fa-IR"/>
        </w:rPr>
        <w:t>‎β = −</w:t>
      </w:r>
      <w:r>
        <w:rPr>
          <w:rFonts w:ascii="Times New Roman" w:hAnsi="Times New Roman" w:eastAsia="Times New Roman"/>
          <w:sz w:val="26"/>
          <w:sz w:val="26"/>
          <w:szCs w:val="26"/>
          <w:lang w:val="en-US" w:bidi="fa-IR"/>
        </w:rPr>
        <w:t>۰٫۰۶‎</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۰٫۳۸۰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اثر مستقیم مواجهه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۰٫۰۱‎</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۰٫۸۵۲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 کیفیت تصمیم معنادار نبود؛ یعنی اثر این دو متغیر عمدتاً از مسیر رفتار توده‌وار منتقل می‌شود</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5687695" cy="3941445"/>
            <wp:effectExtent l="0" t="0" r="0" b="0"/>
            <wp:docPr id="2" name="Fig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
                    <pic:cNvPicPr>
                      <a:picLocks noChangeAspect="1" noChangeArrowheads="1"/>
                    </pic:cNvPicPr>
                  </pic:nvPicPr>
                  <pic:blipFill>
                    <a:blip r:embed="rId3"/>
                    <a:stretch>
                      <a:fillRect/>
                    </a:stretch>
                  </pic:blipFill>
                  <pic:spPr bwMode="auto">
                    <a:xfrm>
                      <a:off x="0" y="0"/>
                      <a:ext cx="5687695" cy="394144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مدل معادلات ساختاری برآوردشده با متغیرهای پنهان، گویه‌ها و ضرایب استاندارد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یافتهٔ پژوهشگر</w:t>
      </w:r>
      <w:r>
        <w:rPr>
          <w:rFonts w:eastAsia="Times New Roman" w:cs="B Zar"/>
          <w:b/>
          <w:bCs/>
          <w:sz w:val="20"/>
          <w:szCs w:val="20"/>
          <w:rtl w:val="true"/>
          <w:lang w:val="en-US" w:bidi="fa-IR"/>
        </w:rPr>
        <w:t>)</w:t>
      </w:r>
    </w:p>
    <w:p>
      <w:pPr>
        <w:pStyle w:val="Normal"/>
        <w:bidi w:val="1"/>
        <w:spacing w:lineRule="auto" w:line="240" w:before="0" w:after="50"/>
        <w:jc w:val="both"/>
        <w:rPr/>
      </w:pPr>
      <w:r>
        <w:rPr>
          <w:rFonts w:ascii="Times New Roman" w:hAnsi="Times New Roman" w:eastAsia="Times New Roman"/>
          <w:sz w:val="22"/>
          <w:sz w:val="22"/>
          <w:szCs w:val="22"/>
          <w:rtl w:val="true"/>
          <w:lang w:val="en-US" w:bidi="fa-IR"/>
        </w:rPr>
        <w:t>توضیح شکل</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بیضی‌ها متغیرهای پنهان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نام فارسی و نماد لاتین</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و مستطیل‌ها گویه‌ها هستند؛ اعداد روی پیکان‌های گویه‌ها بار عاملی استاندارد و اعداد روی مسیرهای ساختاری ضریب استاندارد </w:t>
      </w:r>
      <w:r>
        <w:rPr>
          <w:rFonts w:eastAsia="Times New Roman" w:cs="B Nazanin"/>
          <w:sz w:val="22"/>
          <w:szCs w:val="22"/>
          <w:rtl w:val="true"/>
          <w:lang w:val="en-US" w:bidi="fa-IR"/>
        </w:rPr>
        <w:t>(∗∗∗ ‏</w:t>
      </w:r>
      <w:r>
        <w:rPr>
          <w:rFonts w:eastAsia="Times New Roman" w:cs="B Nazanin"/>
          <w:sz w:val="22"/>
          <w:szCs w:val="22"/>
          <w:lang w:val="en-US" w:bidi="fa-IR"/>
        </w:rPr>
        <w:t xml:space="preserve">p &lt; </w:t>
      </w:r>
      <w:r>
        <w:rPr>
          <w:rFonts w:ascii="Times New Roman" w:hAnsi="Times New Roman" w:eastAsia="Times New Roman"/>
          <w:sz w:val="22"/>
          <w:sz w:val="22"/>
          <w:szCs w:val="22"/>
          <w:lang w:val="en-US" w:bidi="fa-IR"/>
        </w:rPr>
        <w:t>۰٫۰۰۱</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است</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متغیرهای کنترل، شاخص‌های حاصل‌ضرب تعامل، خطاهای اندازه‌گیری و مسیرهای مستقیم غیرمعنادار فومو و مواجهه به کیفیت تصمیم برای وضوح نشان داده نشده‌اند</w:t>
      </w:r>
      <w:r>
        <w:rPr>
          <w:rFonts w:eastAsia="Times New Roman" w:cs="B Nazanin"/>
          <w:sz w:val="22"/>
          <w:szCs w:val="22"/>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۹</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برآورد ضرایب مسیر ساختاری</w:t>
      </w:r>
    </w:p>
    <w:tbl>
      <w:tblPr>
        <w:bidiVisual w:val="true"/>
        <w:tblW w:w="8700" w:type="dxa"/>
        <w:jc w:val="center"/>
        <w:tblInd w:w="0" w:type="dxa"/>
        <w:tblLayout w:type="fixed"/>
        <w:tblCellMar>
          <w:top w:w="0" w:type="dxa"/>
          <w:left w:w="60" w:type="dxa"/>
          <w:bottom w:w="0" w:type="dxa"/>
          <w:right w:w="60" w:type="dxa"/>
        </w:tblCellMar>
      </w:tblPr>
      <w:tblGrid>
        <w:gridCol w:w="2999"/>
        <w:gridCol w:w="701"/>
        <w:gridCol w:w="799"/>
        <w:gridCol w:w="801"/>
        <w:gridCol w:w="899"/>
        <w:gridCol w:w="801"/>
        <w:gridCol w:w="800"/>
        <w:gridCol w:w="899"/>
      </w:tblGrid>
      <w:tr>
        <w:trPr>
          <w:tblHeader w:val="true"/>
        </w:trPr>
        <w:tc>
          <w:tcPr>
            <w:tcW w:w="29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مسیر</w:t>
            </w:r>
          </w:p>
        </w:tc>
        <w:tc>
          <w:tcPr>
            <w:tcW w:w="7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فرضیه</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b</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β</w:t>
            </w:r>
          </w:p>
        </w:tc>
        <w:tc>
          <w:tcPr>
            <w:tcW w:w="8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خطای معیار</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z</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p</w:t>
            </w:r>
          </w:p>
        </w:tc>
        <w:tc>
          <w:tcPr>
            <w:tcW w:w="8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معناداری</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مواجهه ← فومو</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۱</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۰٫۵۰۰</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۰٫۴۸۶</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۰٫۰۶۱</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۸٫۲۳</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فومو ← رفتار توده‌وار</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۲</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۰٫۳۵۹</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۰٫۴۱۰</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۰٫۰۵۴</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۶٫۶۲</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رفتار توده‌وار ← کیفیت تصمیم</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۳</w:t>
            </w:r>
          </w:p>
        </w:tc>
        <w:tc>
          <w:tcPr>
            <w:tcW w:w="799"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۰٫۳۶۰‎</w:t>
            </w:r>
          </w:p>
        </w:tc>
        <w:tc>
          <w:tcPr>
            <w:tcW w:w="801"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۰٫۳۵۴‎</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۰٫۰۷۶</w:t>
            </w:r>
          </w:p>
        </w:tc>
        <w:tc>
          <w:tcPr>
            <w:tcW w:w="801"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۴٫۷۳‎</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مواجهه ← رفتار توده‌وار</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۰٫۲۶۰</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۰٫۲۸۸</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۰٫۰۵۵</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۴٫۷۵</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فومو </w:t>
            </w:r>
            <w:r>
              <w:rPr>
                <w:rFonts w:eastAsia="Times New Roman" w:cs="B Nazanin"/>
                <w:sz w:val="21"/>
                <w:szCs w:val="21"/>
                <w:rtl w:val="true"/>
                <w:lang w:val="en-US" w:bidi="fa-IR"/>
              </w:rPr>
              <w:t xml:space="preserve">× </w:t>
            </w:r>
            <w:r>
              <w:rPr>
                <w:rFonts w:ascii="Times New Roman" w:hAnsi="Times New Roman" w:eastAsia="Times New Roman"/>
                <w:sz w:val="21"/>
                <w:sz w:val="21"/>
                <w:szCs w:val="21"/>
                <w:rtl w:val="true"/>
                <w:lang w:val="en-US" w:bidi="fa-IR"/>
              </w:rPr>
              <w:t>اطلاعات حسابداری ← رفتار توده‌وار</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۶</w:t>
            </w:r>
          </w:p>
        </w:tc>
        <w:tc>
          <w:tcPr>
            <w:tcW w:w="799"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۰٫۱۹۱‎</w:t>
            </w:r>
          </w:p>
        </w:tc>
        <w:tc>
          <w:tcPr>
            <w:tcW w:w="801"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۰٫۱۸۵‎</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۰٫۰۵۷</w:t>
            </w:r>
          </w:p>
        </w:tc>
        <w:tc>
          <w:tcPr>
            <w:tcW w:w="801"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۳٫۳۲‎</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اطلاعات حسابداری ← کیفیت تصمیم</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۸</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۰٫۳۹۵</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۰٫۴۲۸</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۰٫۰۵۲</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۷٫۵۴</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فومو ← کیفیت تصمیم</w:t>
            </w:r>
          </w:p>
        </w:tc>
        <w:tc>
          <w:tcPr>
            <w:tcW w:w="701"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799"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۰٫۰۵۳‎</w:t>
            </w:r>
          </w:p>
        </w:tc>
        <w:tc>
          <w:tcPr>
            <w:tcW w:w="801"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۰٫۰۵۹‎</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۰٫۰۶۰</w:t>
            </w:r>
          </w:p>
        </w:tc>
        <w:tc>
          <w:tcPr>
            <w:tcW w:w="801"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۰٫۸۸‎</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 xml:space="preserve">p = </w:t>
            </w:r>
            <w:r>
              <w:rPr>
                <w:rFonts w:ascii="Times New Roman" w:hAnsi="Times New Roman" w:eastAsia="Times New Roman"/>
                <w:sz w:val="21"/>
                <w:sz w:val="21"/>
                <w:szCs w:val="21"/>
                <w:lang w:val="en-US" w:bidi="fa-IR"/>
              </w:rPr>
              <w:t>۰٫۳۸۰</w:t>
            </w:r>
          </w:p>
        </w:tc>
        <w:tc>
          <w:tcPr>
            <w:tcW w:w="899" w:type="dxa"/>
            <w:tcBorders/>
            <w:vAlign w:val="center"/>
          </w:tcPr>
          <w:p>
            <w:pPr>
              <w:pStyle w:val="Normal"/>
              <w:bidi w:val="1"/>
              <w:spacing w:lineRule="auto" w:line="240" w:before="40" w:after="40"/>
              <w:jc w:val="center"/>
              <w:rPr/>
            </w:pPr>
            <w:r>
              <w:rPr>
                <w:rFonts w:eastAsia="Times New Roman" w:cs="B Nazanin"/>
                <w:sz w:val="21"/>
                <w:szCs w:val="21"/>
                <w:lang w:val="en-US" w:bidi="fa-IR"/>
              </w:rPr>
              <w:t>ns</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مواجهه ← کیفیت تصمیم</w:t>
            </w:r>
          </w:p>
        </w:tc>
        <w:tc>
          <w:tcPr>
            <w:tcW w:w="701"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۰٫۰۱۱</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۰٫۰۱۲</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۰٫۰۵۸</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۰٫۱۹</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 xml:space="preserve">p = </w:t>
            </w:r>
            <w:r>
              <w:rPr>
                <w:rFonts w:ascii="Times New Roman" w:hAnsi="Times New Roman" w:eastAsia="Times New Roman"/>
                <w:sz w:val="21"/>
                <w:sz w:val="21"/>
                <w:szCs w:val="21"/>
                <w:lang w:val="en-US" w:bidi="fa-IR"/>
              </w:rPr>
              <w:t>۰٫۸۵۲</w:t>
            </w:r>
          </w:p>
        </w:tc>
        <w:tc>
          <w:tcPr>
            <w:tcW w:w="899" w:type="dxa"/>
            <w:tcBorders/>
            <w:vAlign w:val="center"/>
          </w:tcPr>
          <w:p>
            <w:pPr>
              <w:pStyle w:val="Normal"/>
              <w:bidi w:val="1"/>
              <w:spacing w:lineRule="auto" w:line="240" w:before="40" w:after="40"/>
              <w:jc w:val="center"/>
              <w:rPr/>
            </w:pPr>
            <w:r>
              <w:rPr>
                <w:rFonts w:eastAsia="Times New Roman" w:cs="B Nazanin"/>
                <w:sz w:val="21"/>
                <w:szCs w:val="21"/>
                <w:lang w:val="en-US" w:bidi="fa-IR"/>
              </w:rPr>
              <w:t>ns</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اطلاعات حسابداری ← فومو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کنترلی</w:t>
            </w:r>
            <w:r>
              <w:rPr>
                <w:rFonts w:eastAsia="Times New Roman" w:cs="B Nazanin"/>
                <w:sz w:val="21"/>
                <w:szCs w:val="21"/>
                <w:rtl w:val="true"/>
                <w:lang w:val="en-US" w:bidi="fa-IR"/>
              </w:rPr>
              <w:t>)</w:t>
            </w:r>
          </w:p>
        </w:tc>
        <w:tc>
          <w:tcPr>
            <w:tcW w:w="701"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799"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۰٫۱۱۷‎</w:t>
            </w:r>
          </w:p>
        </w:tc>
        <w:tc>
          <w:tcPr>
            <w:tcW w:w="801"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۰٫۱۱۴‎</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۰٫۰۵۵</w:t>
            </w:r>
          </w:p>
        </w:tc>
        <w:tc>
          <w:tcPr>
            <w:tcW w:w="801"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۲٫۱۳‎</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 xml:space="preserve">p = </w:t>
            </w:r>
            <w:r>
              <w:rPr>
                <w:rFonts w:ascii="Times New Roman" w:hAnsi="Times New Roman" w:eastAsia="Times New Roman"/>
                <w:sz w:val="21"/>
                <w:sz w:val="21"/>
                <w:szCs w:val="21"/>
                <w:lang w:val="en-US" w:bidi="fa-IR"/>
              </w:rPr>
              <w:t>۰٫۰۳۴</w:t>
            </w:r>
          </w:p>
        </w:tc>
        <w:tc>
          <w:tcPr>
            <w:tcW w:w="8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2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اطلاعات حسابداری ← رفتار توده‌وار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کنترلی</w:t>
            </w:r>
            <w:r>
              <w:rPr>
                <w:rFonts w:eastAsia="Times New Roman" w:cs="B Nazanin"/>
                <w:sz w:val="21"/>
                <w:szCs w:val="21"/>
                <w:rtl w:val="true"/>
                <w:lang w:val="en-US" w:bidi="fa-IR"/>
              </w:rPr>
              <w:t>)</w:t>
            </w:r>
          </w:p>
        </w:tc>
        <w:tc>
          <w:tcPr>
            <w:tcW w:w="7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7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۰٫۱۱۹‎</w:t>
            </w:r>
          </w:p>
        </w:tc>
        <w:tc>
          <w:tcPr>
            <w:tcW w:w="8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۰٫۱۳۱‎</w:t>
            </w:r>
          </w:p>
        </w:tc>
        <w:tc>
          <w:tcPr>
            <w:tcW w:w="8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۰٫۰۴۵</w:t>
            </w:r>
          </w:p>
        </w:tc>
        <w:tc>
          <w:tcPr>
            <w:tcW w:w="8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۲٫۶۵‎</w:t>
            </w:r>
          </w:p>
        </w:tc>
        <w:tc>
          <w:tcPr>
            <w:tcW w:w="8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lang w:val="en-US" w:bidi="fa-IR"/>
              </w:rPr>
              <w:t xml:space="preserve">p = </w:t>
            </w:r>
            <w:r>
              <w:rPr>
                <w:rFonts w:ascii="Times New Roman" w:hAnsi="Times New Roman" w:eastAsia="Times New Roman"/>
                <w:sz w:val="21"/>
                <w:sz w:val="21"/>
                <w:szCs w:val="21"/>
                <w:lang w:val="en-US" w:bidi="fa-IR"/>
              </w:rPr>
              <w:t>۰٫۰۰۸</w:t>
            </w:r>
          </w:p>
        </w:tc>
        <w:tc>
          <w:tcPr>
            <w:tcW w:w="8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eastAsia="Times New Roman" w:cs="B Nazanin"/>
          <w:sz w:val="20"/>
          <w:szCs w:val="20"/>
          <w:lang w:val="en-US" w:bidi="fa-IR"/>
        </w:rPr>
        <w:t>b</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ضریب ناستاندارد و </w:t>
      </w:r>
      <w:r>
        <w:rPr>
          <w:rFonts w:eastAsia="Times New Roman" w:cs="B Nazanin"/>
          <w:sz w:val="20"/>
          <w:szCs w:val="20"/>
          <w:lang w:val="en-US" w:bidi="fa-IR"/>
        </w:rPr>
        <w:t>β</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ضریب استاندارد است؛ سن، جنسیت و سابقه به‌عنوان کنترل وارد شدند</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معناداری</w:t>
      </w:r>
      <w:r>
        <w:rPr>
          <w:rFonts w:eastAsia="Times New Roman" w:cs="B Nazanin"/>
          <w:sz w:val="20"/>
          <w:szCs w:val="20"/>
          <w:rtl w:val="true"/>
          <w:lang w:val="en-US" w:bidi="fa-IR"/>
        </w:rPr>
        <w:t>: ∗∗∗ ‏</w:t>
      </w:r>
      <w:r>
        <w:rPr>
          <w:rFonts w:eastAsia="Times New Roman" w:cs="B Nazanin"/>
          <w:sz w:val="20"/>
          <w:szCs w:val="20"/>
          <w:lang w:val="en-US" w:bidi="fa-IR"/>
        </w:rPr>
        <w:t>p&lt;</w:t>
      </w:r>
      <w:r>
        <w:rPr>
          <w:rFonts w:ascii="Times New Roman" w:hAnsi="Times New Roman" w:eastAsia="Times New Roman"/>
          <w:sz w:val="20"/>
          <w:sz w:val="20"/>
          <w:szCs w:val="20"/>
          <w:lang w:val="en-US" w:bidi="fa-IR"/>
        </w:rPr>
        <w:t>۰٫۰۰۱</w:t>
      </w:r>
      <w:r>
        <w:rPr>
          <w:rFonts w:ascii="Times New Roman" w:hAnsi="Times New Roman" w:eastAsia="Times New Roman"/>
          <w:sz w:val="20"/>
          <w:sz w:val="20"/>
          <w:szCs w:val="20"/>
          <w:rtl w:val="true"/>
          <w:lang w:val="en-US" w:bidi="fa-IR"/>
        </w:rPr>
        <w:t>، ∗∗ ‏</w:t>
      </w:r>
      <w:r>
        <w:rPr>
          <w:rFonts w:eastAsia="Times New Roman" w:cs="B Nazanin"/>
          <w:sz w:val="20"/>
          <w:szCs w:val="20"/>
          <w:lang w:val="en-US" w:bidi="fa-IR"/>
        </w:rPr>
        <w:t>p&lt;</w:t>
      </w:r>
      <w:r>
        <w:rPr>
          <w:rFonts w:ascii="Times New Roman" w:hAnsi="Times New Roman" w:eastAsia="Times New Roman"/>
          <w:sz w:val="20"/>
          <w:sz w:val="20"/>
          <w:szCs w:val="20"/>
          <w:lang w:val="en-US" w:bidi="fa-IR"/>
        </w:rPr>
        <w:t>۰٫۰۱</w:t>
      </w:r>
      <w:r>
        <w:rPr>
          <w:rFonts w:ascii="Times New Roman" w:hAnsi="Times New Roman" w:eastAsia="Times New Roman"/>
          <w:sz w:val="20"/>
          <w:sz w:val="20"/>
          <w:szCs w:val="20"/>
          <w:rtl w:val="true"/>
          <w:lang w:val="en-US" w:bidi="fa-IR"/>
        </w:rPr>
        <w:t>، ∗ ‏</w:t>
      </w:r>
      <w:r>
        <w:rPr>
          <w:rFonts w:eastAsia="Times New Roman" w:cs="B Nazanin"/>
          <w:sz w:val="20"/>
          <w:szCs w:val="20"/>
          <w:lang w:val="en-US" w:bidi="fa-IR"/>
        </w:rPr>
        <w:t>p&lt;</w:t>
      </w:r>
      <w:r>
        <w:rPr>
          <w:rFonts w:ascii="Times New Roman" w:hAnsi="Times New Roman" w:eastAsia="Times New Roman"/>
          <w:sz w:val="20"/>
          <w:sz w:val="20"/>
          <w:szCs w:val="20"/>
          <w:lang w:val="en-US" w:bidi="fa-IR"/>
        </w:rPr>
        <w:t>۰٫۰۵</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بر پایهٔ واریانس باقی‌ماندهٔ استاندارد متغیرهای پنهان درون‌زا، مدل </w:t>
      </w:r>
      <w:r>
        <w:rPr>
          <w:rFonts w:ascii="Times New Roman" w:hAnsi="Times New Roman" w:eastAsia="Times New Roman"/>
          <w:sz w:val="26"/>
          <w:sz w:val="26"/>
          <w:szCs w:val="26"/>
          <w:lang w:val="en-US" w:bidi="fa-IR"/>
        </w:rPr>
        <w:t>۲۸</w:t>
      </w:r>
      <w:r>
        <w:rPr>
          <w:rFonts w:ascii="Times New Roman" w:hAnsi="Times New Roman" w:eastAsia="Times New Roman"/>
          <w:sz w:val="26"/>
          <w:sz w:val="26"/>
          <w:szCs w:val="26"/>
          <w:rtl w:val="true"/>
          <w:lang w:val="en-US" w:bidi="fa-IR"/>
        </w:rPr>
        <w:t xml:space="preserve">٪ از واریانس فومو، </w:t>
      </w:r>
      <w:r>
        <w:rPr>
          <w:rFonts w:ascii="Times New Roman" w:hAnsi="Times New Roman" w:eastAsia="Times New Roman"/>
          <w:sz w:val="26"/>
          <w:sz w:val="26"/>
          <w:szCs w:val="26"/>
          <w:lang w:val="en-US" w:bidi="fa-IR"/>
        </w:rPr>
        <w:t>۴۹</w:t>
      </w:r>
      <w:r>
        <w:rPr>
          <w:rFonts w:ascii="Times New Roman" w:hAnsi="Times New Roman" w:eastAsia="Times New Roman"/>
          <w:sz w:val="26"/>
          <w:sz w:val="26"/>
          <w:szCs w:val="26"/>
          <w:rtl w:val="true"/>
          <w:lang w:val="en-US" w:bidi="fa-IR"/>
        </w:rPr>
        <w:t xml:space="preserve">٪ از واریانس رفتار توده‌وار و </w:t>
      </w:r>
      <w:r>
        <w:rPr>
          <w:rFonts w:ascii="Times New Roman" w:hAnsi="Times New Roman" w:eastAsia="Times New Roman"/>
          <w:sz w:val="26"/>
          <w:sz w:val="26"/>
          <w:szCs w:val="26"/>
          <w:lang w:val="en-US" w:bidi="fa-IR"/>
        </w:rPr>
        <w:t>۴۴</w:t>
      </w:r>
      <w:r>
        <w:rPr>
          <w:rFonts w:ascii="Times New Roman" w:hAnsi="Times New Roman" w:eastAsia="Times New Roman"/>
          <w:sz w:val="26"/>
          <w:sz w:val="26"/>
          <w:szCs w:val="26"/>
          <w:rtl w:val="true"/>
          <w:lang w:val="en-US" w:bidi="fa-IR"/>
        </w:rPr>
        <w:t xml:space="preserve">٪ از واریانس کیفیت تصمیم را تبیین کرد </w:t>
      </w:r>
      <w:r>
        <w:rPr>
          <w:rFonts w:eastAsia="Times New Roman" w:cs="B Nazanin"/>
          <w:sz w:val="26"/>
          <w:szCs w:val="26"/>
          <w:rtl w:val="true"/>
          <w:lang w:val="en-US" w:bidi="fa-IR"/>
        </w:rPr>
        <w:t>(</w:t>
      </w:r>
      <w:r>
        <w:rPr>
          <w:rFonts w:eastAsia="Times New Roman" w:cs="B Nazanin"/>
          <w:sz w:val="26"/>
          <w:szCs w:val="26"/>
          <w:lang w:val="en-US" w:bidi="fa-IR"/>
        </w:rPr>
        <w:t xml:space="preserve">‎R² = </w:t>
      </w:r>
      <w:r>
        <w:rPr>
          <w:rFonts w:ascii="Times New Roman" w:hAnsi="Times New Roman" w:eastAsia="Times New Roman"/>
          <w:sz w:val="26"/>
          <w:sz w:val="26"/>
          <w:szCs w:val="26"/>
          <w:lang w:val="en-US" w:bidi="fa-IR"/>
        </w:rPr>
        <w:t>۰٫۲۸‎</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R² = </w:t>
      </w:r>
      <w:r>
        <w:rPr>
          <w:rFonts w:ascii="Times New Roman" w:hAnsi="Times New Roman" w:eastAsia="Times New Roman"/>
          <w:sz w:val="26"/>
          <w:sz w:val="26"/>
          <w:szCs w:val="26"/>
          <w:lang w:val="en-US" w:bidi="fa-IR"/>
        </w:rPr>
        <w:t>۰٫۴۹‎</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R² = </w:t>
      </w:r>
      <w:r>
        <w:rPr>
          <w:rFonts w:ascii="Times New Roman" w:hAnsi="Times New Roman" w:eastAsia="Times New Roman"/>
          <w:sz w:val="26"/>
          <w:sz w:val="26"/>
          <w:szCs w:val="26"/>
          <w:lang w:val="en-US" w:bidi="fa-IR"/>
        </w:rPr>
        <w:t>۰٫۴۴‎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افزودن جملهٔ تعاملی </w:t>
      </w:r>
      <w:r>
        <w:rPr>
          <w:rFonts w:eastAsia="Times New Roman" w:cs="B Nazanin"/>
          <w:sz w:val="26"/>
          <w:szCs w:val="26"/>
          <w:lang w:val="en-US" w:bidi="fa-IR"/>
        </w:rPr>
        <w:t>R²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رفتار توده‌وار را از </w:t>
      </w:r>
      <w:r>
        <w:rPr>
          <w:rFonts w:ascii="Times New Roman" w:hAnsi="Times New Roman" w:eastAsia="Times New Roman"/>
          <w:sz w:val="26"/>
          <w:sz w:val="26"/>
          <w:szCs w:val="26"/>
          <w:lang w:val="en-US" w:bidi="fa-IR"/>
        </w:rPr>
        <w:t>۰٫۴۵</w:t>
      </w:r>
      <w:r>
        <w:rPr>
          <w:rFonts w:ascii="Times New Roman" w:hAnsi="Times New Roman" w:eastAsia="Times New Roman"/>
          <w:sz w:val="26"/>
          <w:sz w:val="26"/>
          <w:szCs w:val="26"/>
          <w:rtl w:val="true"/>
          <w:lang w:val="en-US" w:bidi="fa-IR"/>
        </w:rPr>
        <w:t xml:space="preserve"> به </w:t>
      </w:r>
      <w:r>
        <w:rPr>
          <w:rFonts w:ascii="Times New Roman" w:hAnsi="Times New Roman" w:eastAsia="Times New Roman"/>
          <w:sz w:val="26"/>
          <w:sz w:val="26"/>
          <w:szCs w:val="26"/>
          <w:lang w:val="en-US" w:bidi="fa-IR"/>
        </w:rPr>
        <w:t>۰٫۴۹</w:t>
      </w:r>
      <w:r>
        <w:rPr>
          <w:rFonts w:ascii="Times New Roman" w:hAnsi="Times New Roman" w:eastAsia="Times New Roman"/>
          <w:sz w:val="26"/>
          <w:sz w:val="26"/>
          <w:szCs w:val="26"/>
          <w:rtl w:val="true"/>
          <w:lang w:val="en-US" w:bidi="fa-IR"/>
        </w:rPr>
        <w:t xml:space="preserve"> رساند و اندازهٔ اثر آن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f² = </w:t>
      </w:r>
      <w:r>
        <w:rPr>
          <w:rFonts w:ascii="Times New Roman" w:hAnsi="Times New Roman" w:eastAsia="Times New Roman"/>
          <w:sz w:val="26"/>
          <w:sz w:val="26"/>
          <w:szCs w:val="26"/>
          <w:lang w:val="en-US" w:bidi="fa-IR"/>
        </w:rPr>
        <w:t>۰٫۰۶۳‎</w:t>
      </w:r>
      <w:r>
        <w:rPr>
          <w:rFonts w:ascii="Times New Roman" w:hAnsi="Times New Roman" w:eastAsia="Times New Roman"/>
          <w:sz w:val="26"/>
          <w:sz w:val="26"/>
          <w:szCs w:val="26"/>
          <w:rtl w:val="true"/>
          <w:lang w:val="en-US" w:bidi="fa-IR"/>
        </w:rPr>
        <w:t xml:space="preserve"> است که طبق معیار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کوهن، </w:t>
      </w:r>
      <w:r>
        <w:rPr>
          <w:rFonts w:ascii="Times New Roman" w:hAnsi="Times New Roman" w:eastAsia="Times New Roman"/>
          <w:sz w:val="26"/>
          <w:sz w:val="26"/>
          <w:szCs w:val="26"/>
          <w:lang w:val="en-US" w:bidi="fa-IR"/>
        </w:rPr>
        <w:t>۱۹۸۸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قلمرو اثر کوچک تا متوسط قرار می‌گیرد؛ چنین اندازه‌ای برای تعامل‌های پیمایشی معمول است</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۵</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میانجی‌گری متوالی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اثر غیرمستقیم متوالی مواجهه ← فومو ← رفتار توده‌وار ← کیفیت تصمیم در سطح استاندارد برابر </w:t>
      </w:r>
      <w:r>
        <w:rPr>
          <w:rFonts w:ascii="Times New Roman" w:hAnsi="Times New Roman" w:eastAsia="Times New Roman"/>
          <w:sz w:val="26"/>
          <w:sz w:val="26"/>
          <w:szCs w:val="26"/>
          <w:lang w:val="en-US" w:bidi="fa-IR"/>
        </w:rPr>
        <w:t>‎−۰٫۰۷۱‎</w:t>
      </w:r>
      <w:r>
        <w:rPr>
          <w:rFonts w:ascii="Times New Roman" w:hAnsi="Times New Roman" w:eastAsia="Times New Roman"/>
          <w:sz w:val="26"/>
          <w:sz w:val="26"/>
          <w:szCs w:val="26"/>
          <w:rtl w:val="true"/>
          <w:lang w:val="en-US" w:bidi="fa-IR"/>
        </w:rPr>
        <w:t xml:space="preserve"> با فاصلهٔ اطمینان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۰٫۱۱۱‎، ‎−۰٫۰۳۸‎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بود که شامل صفر نیست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تأیید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مسیر غیرمستقیم مواجهه ← رفتار توده‌وار ← کیفیت تصمیم نیز معنادار بود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۰٫۱۰۲‎</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۰٫۱۶۳‎، ‎−۰٫۰۵۰‎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حالی‌که مسیر مواجهه ← فومو ← کیفیت تصمیم، به‌دلیل نبود اثر مستقیم فومو، معنادار نبود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۰٫۰۲۹‎</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۰٫۱۰۹‎، ۰٫۰۴۱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غیرمستقیم کل </w:t>
      </w:r>
      <w:r>
        <w:rPr>
          <w:rFonts w:ascii="Times New Roman" w:hAnsi="Times New Roman" w:eastAsia="Times New Roman"/>
          <w:sz w:val="26"/>
          <w:sz w:val="26"/>
          <w:szCs w:val="26"/>
          <w:lang w:val="en-US" w:bidi="fa-IR"/>
        </w:rPr>
        <w:t>‎−۰٫۲۰۱‎</w:t>
      </w:r>
      <w:r>
        <w:rPr>
          <w:rFonts w:ascii="Times New Roman" w:hAnsi="Times New Roman" w:eastAsia="Times New Roman"/>
          <w:sz w:val="26"/>
          <w:sz w:val="26"/>
          <w:szCs w:val="26"/>
          <w:rtl w:val="true"/>
          <w:lang w:val="en-US" w:bidi="fa-IR"/>
        </w:rPr>
        <w:t xml:space="preserve"> و اثر کل </w:t>
      </w:r>
      <w:r>
        <w:rPr>
          <w:rFonts w:ascii="Times New Roman" w:hAnsi="Times New Roman" w:eastAsia="Times New Roman"/>
          <w:sz w:val="26"/>
          <w:sz w:val="26"/>
          <w:szCs w:val="26"/>
          <w:lang w:val="en-US" w:bidi="fa-IR"/>
        </w:rPr>
        <w:t>‎−۰٫۱۹۰‎</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هر دو معنادار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برآورد شد؛ در نتیجه اثر مستقیم مواجهه بر کیفیت تصمیم نزدیک صفر و تقریباً همهٔ اثر آن غیرمستقیم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۱۰</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اثرهای غیرمستقیم و کل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 xml:space="preserve">خودگردان‌سازی، فاصلهٔ اطمینان </w:t>
      </w:r>
      <w:r>
        <w:rPr>
          <w:rFonts w:ascii="Times New Roman" w:hAnsi="Times New Roman" w:eastAsia="Times New Roman" w:cs="B Zar"/>
          <w:b/>
          <w:b/>
          <w:bCs/>
          <w:sz w:val="20"/>
          <w:sz w:val="20"/>
          <w:szCs w:val="20"/>
          <w:lang w:val="en-US" w:bidi="fa-IR"/>
        </w:rPr>
        <w:t>۹۵</w:t>
      </w:r>
      <w:r>
        <w:rPr>
          <w:rFonts w:ascii="Times New Roman" w:hAnsi="Times New Roman" w:eastAsia="Times New Roman" w:cs="B Zar"/>
          <w:b/>
          <w:b/>
          <w:bCs/>
          <w:sz w:val="20"/>
          <w:sz w:val="20"/>
          <w:szCs w:val="20"/>
          <w:rtl w:val="true"/>
          <w:lang w:val="en-US" w:bidi="fa-IR"/>
        </w:rPr>
        <w:t>٪، ضرایب استاندارد</w:t>
      </w:r>
      <w:r>
        <w:rPr>
          <w:rFonts w:eastAsia="Times New Roman" w:cs="B Zar"/>
          <w:b/>
          <w:bCs/>
          <w:sz w:val="20"/>
          <w:szCs w:val="20"/>
          <w:rtl w:val="true"/>
          <w:lang w:val="en-US" w:bidi="fa-IR"/>
        </w:rPr>
        <w:t>)</w:t>
      </w:r>
    </w:p>
    <w:tbl>
      <w:tblPr>
        <w:bidiVisual w:val="true"/>
        <w:tblW w:w="8700" w:type="dxa"/>
        <w:jc w:val="center"/>
        <w:tblInd w:w="0" w:type="dxa"/>
        <w:tblLayout w:type="fixed"/>
        <w:tblCellMar>
          <w:top w:w="0" w:type="dxa"/>
          <w:left w:w="60" w:type="dxa"/>
          <w:bottom w:w="0" w:type="dxa"/>
          <w:right w:w="60" w:type="dxa"/>
        </w:tblCellMar>
      </w:tblPr>
      <w:tblGrid>
        <w:gridCol w:w="4200"/>
        <w:gridCol w:w="1200"/>
        <w:gridCol w:w="2300"/>
        <w:gridCol w:w="999"/>
      </w:tblGrid>
      <w:tr>
        <w:trPr>
          <w:tblHeader w:val="true"/>
        </w:trPr>
        <w:tc>
          <w:tcPr>
            <w:tcW w:w="42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مسیر</w:t>
            </w:r>
          </w:p>
        </w:tc>
        <w:tc>
          <w:tcPr>
            <w:tcW w:w="12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برآورد</w:t>
            </w:r>
          </w:p>
        </w:tc>
        <w:tc>
          <w:tcPr>
            <w:tcW w:w="23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فاصلهٔ اطمینان</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معنادار</w:t>
            </w:r>
          </w:p>
        </w:tc>
      </w:tr>
      <w:tr>
        <w:trPr>
          <w:cantSplit w:val="true"/>
        </w:trPr>
        <w:tc>
          <w:tcPr>
            <w:tcW w:w="4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 فومو ← توده‌واری ← کیفیت تصمیم</w:t>
            </w:r>
          </w:p>
        </w:tc>
        <w:tc>
          <w:tcPr>
            <w:tcW w:w="1200"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۰٫۰۷۱‎</w:t>
            </w:r>
          </w:p>
        </w:tc>
        <w:tc>
          <w:tcPr>
            <w:tcW w:w="2300"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۰٫۱۱۱‎، ‎−۰٫۰۳۸‎</w:t>
            </w:r>
            <w:r>
              <w:rPr>
                <w:rFonts w:eastAsia="Times New Roman" w:cs="B Nazanin"/>
                <w:sz w:val="24"/>
                <w:szCs w:val="24"/>
                <w:rtl w:val="true"/>
                <w:lang w:val="en-US" w:bidi="fa-IR"/>
              </w:rPr>
              <w:t>]</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 توده‌واری ← کیفیت تصمیم</w:t>
            </w:r>
          </w:p>
        </w:tc>
        <w:tc>
          <w:tcPr>
            <w:tcW w:w="1200"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۰٫۱۰۲‎</w:t>
            </w:r>
          </w:p>
        </w:tc>
        <w:tc>
          <w:tcPr>
            <w:tcW w:w="2300"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۰٫۱۶۳‎، ‎−۰٫۰۵۰‎</w:t>
            </w:r>
            <w:r>
              <w:rPr>
                <w:rFonts w:eastAsia="Times New Roman" w:cs="B Nazanin"/>
                <w:sz w:val="24"/>
                <w:szCs w:val="24"/>
                <w:rtl w:val="true"/>
                <w:lang w:val="en-US" w:bidi="fa-IR"/>
              </w:rPr>
              <w:t>]</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 فومو ← کیفیت تصمیم</w:t>
            </w:r>
          </w:p>
        </w:tc>
        <w:tc>
          <w:tcPr>
            <w:tcW w:w="1200"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۰٫۰۲۹‎</w:t>
            </w:r>
          </w:p>
        </w:tc>
        <w:tc>
          <w:tcPr>
            <w:tcW w:w="2300"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۰٫۱۰۹‎، ۰٫۰۴۱</w:t>
            </w:r>
            <w:r>
              <w:rPr>
                <w:rFonts w:eastAsia="Times New Roman" w:cs="B Nazanin"/>
                <w:sz w:val="24"/>
                <w:szCs w:val="24"/>
                <w:rtl w:val="true"/>
                <w:lang w:val="en-US" w:bidi="fa-IR"/>
              </w:rPr>
              <w:t>]</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خیر</w:t>
            </w:r>
          </w:p>
        </w:tc>
      </w:tr>
      <w:tr>
        <w:trPr>
          <w:cantSplit w:val="true"/>
        </w:trPr>
        <w:tc>
          <w:tcPr>
            <w:tcW w:w="42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اثر غیرمستقیم کل</w:t>
            </w:r>
          </w:p>
        </w:tc>
        <w:tc>
          <w:tcPr>
            <w:tcW w:w="1200"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۰٫۲۰۱‎</w:t>
            </w:r>
          </w:p>
        </w:tc>
        <w:tc>
          <w:tcPr>
            <w:tcW w:w="2300"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۰٫۲۸۳‎، ‎−۰٫۱۲۵‎</w:t>
            </w:r>
            <w:r>
              <w:rPr>
                <w:rFonts w:eastAsia="Times New Roman" w:cs="B Nazanin"/>
                <w:sz w:val="24"/>
                <w:szCs w:val="24"/>
                <w:rtl w:val="true"/>
                <w:lang w:val="en-US" w:bidi="fa-IR"/>
              </w:rPr>
              <w:t>]</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2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اثر کل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مستقیم </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غیرمستقیم</w:t>
            </w:r>
            <w:r>
              <w:rPr>
                <w:rFonts w:eastAsia="Times New Roman" w:cs="B Nazanin"/>
                <w:sz w:val="24"/>
                <w:szCs w:val="24"/>
                <w:rtl w:val="true"/>
                <w:lang w:val="en-US" w:bidi="fa-IR"/>
              </w:rPr>
              <w:t>)</w:t>
            </w:r>
          </w:p>
        </w:tc>
        <w:tc>
          <w:tcPr>
            <w:tcW w:w="12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۰٫۱۹۰‎</w:t>
            </w:r>
          </w:p>
        </w:tc>
        <w:tc>
          <w:tcPr>
            <w:tcW w:w="23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۰٫۲۹۰‎، ‎−۰٫۰۸۷‎</w:t>
            </w:r>
            <w:r>
              <w:rPr>
                <w:rFonts w:eastAsia="Times New Roman" w:cs="B Nazanin"/>
                <w:sz w:val="24"/>
                <w:szCs w:val="24"/>
                <w:rtl w:val="true"/>
                <w:lang w:val="en-US" w:bidi="fa-IR"/>
              </w:rPr>
              <w:t>]</w:t>
            </w:r>
          </w:p>
        </w:tc>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۶</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تعدیل‌گری استفاده از اطلاعات حسابداری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ضریب تعامل پنهان فومو </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استفاده از اطلاعات حسابداری بر رفتار توده‌وار منفی و معنادار بود </w:t>
      </w:r>
      <w:r>
        <w:rPr>
          <w:rFonts w:eastAsia="Times New Roman" w:cs="B Nazanin"/>
          <w:sz w:val="26"/>
          <w:szCs w:val="26"/>
          <w:rtl w:val="true"/>
          <w:lang w:val="en-US" w:bidi="fa-IR"/>
        </w:rPr>
        <w:t>(</w:t>
      </w:r>
      <w:r>
        <w:rPr>
          <w:rFonts w:eastAsia="Times New Roman" w:cs="B Nazanin"/>
          <w:sz w:val="26"/>
          <w:szCs w:val="26"/>
          <w:lang w:val="en-US" w:bidi="fa-IR"/>
        </w:rPr>
        <w:t>‎β = −</w:t>
      </w:r>
      <w:r>
        <w:rPr>
          <w:rFonts w:ascii="Times New Roman" w:hAnsi="Times New Roman" w:eastAsia="Times New Roman"/>
          <w:sz w:val="26"/>
          <w:sz w:val="26"/>
          <w:szCs w:val="26"/>
          <w:lang w:val="en-US" w:bidi="fa-IR"/>
        </w:rPr>
        <w:t>۰٫۱۸‎، ‎</w:t>
      </w:r>
      <w:r>
        <w:rPr>
          <w:rFonts w:eastAsia="Times New Roman" w:cs="B Nazanin"/>
          <w:sz w:val="26"/>
          <w:szCs w:val="26"/>
          <w:lang w:val="en-US" w:bidi="fa-IR"/>
        </w:rPr>
        <w:t>z = −</w:t>
      </w:r>
      <w:r>
        <w:rPr>
          <w:rFonts w:ascii="Times New Roman" w:hAnsi="Times New Roman" w:eastAsia="Times New Roman"/>
          <w:sz w:val="26"/>
          <w:sz w:val="26"/>
          <w:szCs w:val="26"/>
          <w:lang w:val="en-US" w:bidi="fa-IR"/>
        </w:rPr>
        <w:t>۳٫۳۲‎،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بنابراین فرضیهٔ </w:t>
      </w:r>
      <w:r>
        <w:rPr>
          <w:rFonts w:ascii="Times New Roman" w:hAnsi="Times New Roman" w:eastAsia="Times New Roman"/>
          <w:sz w:val="26"/>
          <w:sz w:val="26"/>
          <w:szCs w:val="26"/>
          <w:lang w:val="en-US" w:bidi="fa-IR"/>
        </w:rPr>
        <w:t>۶</w:t>
      </w:r>
      <w:r>
        <w:rPr>
          <w:rFonts w:ascii="Times New Roman" w:hAnsi="Times New Roman" w:eastAsia="Times New Roman"/>
          <w:sz w:val="26"/>
          <w:sz w:val="26"/>
          <w:szCs w:val="26"/>
          <w:rtl w:val="true"/>
          <w:lang w:val="en-US" w:bidi="fa-IR"/>
        </w:rPr>
        <w:t xml:space="preserve"> تأیید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تحلیل شیب‌های ساده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از ضرایب پنهان، جدول </w:t>
      </w:r>
      <w:r>
        <w:rPr>
          <w:rFonts w:ascii="Times New Roman" w:hAnsi="Times New Roman" w:eastAsia="Times New Roman"/>
          <w:sz w:val="26"/>
          <w:sz w:val="26"/>
          <w:szCs w:val="26"/>
          <w:lang w:val="en-US" w:bidi="fa-IR"/>
        </w:rPr>
        <w:t>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می‌دهد شیب استاندارد فومو ← رفتار توده‌وار در سطح پایین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یک انحراف معیار کمتر از میانگین</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استفاده از اطلاعات حسابداری برابر </w:t>
      </w:r>
      <w:r>
        <w:rPr>
          <w:rFonts w:ascii="Times New Roman" w:hAnsi="Times New Roman" w:eastAsia="Times New Roman"/>
          <w:sz w:val="26"/>
          <w:sz w:val="26"/>
          <w:szCs w:val="26"/>
          <w:lang w:val="en-US" w:bidi="fa-IR"/>
        </w:rPr>
        <w:t>۰٫۶۰</w:t>
      </w:r>
      <w:r>
        <w:rPr>
          <w:rFonts w:ascii="Times New Roman" w:hAnsi="Times New Roman" w:eastAsia="Times New Roman"/>
          <w:sz w:val="26"/>
          <w:sz w:val="26"/>
          <w:szCs w:val="26"/>
          <w:rtl w:val="true"/>
          <w:lang w:val="en-US" w:bidi="fa-IR"/>
        </w:rPr>
        <w:t xml:space="preserve">، در سطح میانگین </w:t>
      </w:r>
      <w:r>
        <w:rPr>
          <w:rFonts w:ascii="Times New Roman" w:hAnsi="Times New Roman" w:eastAsia="Times New Roman"/>
          <w:sz w:val="26"/>
          <w:sz w:val="26"/>
          <w:szCs w:val="26"/>
          <w:lang w:val="en-US" w:bidi="fa-IR"/>
        </w:rPr>
        <w:t>۰٫۴۱</w:t>
      </w:r>
      <w:r>
        <w:rPr>
          <w:rFonts w:ascii="Times New Roman" w:hAnsi="Times New Roman" w:eastAsia="Times New Roman"/>
          <w:sz w:val="26"/>
          <w:sz w:val="26"/>
          <w:szCs w:val="26"/>
          <w:rtl w:val="true"/>
          <w:lang w:val="en-US" w:bidi="fa-IR"/>
        </w:rPr>
        <w:t xml:space="preserve"> و در سطح بالا </w:t>
      </w:r>
      <w:r>
        <w:rPr>
          <w:rFonts w:ascii="Times New Roman" w:hAnsi="Times New Roman" w:eastAsia="Times New Roman"/>
          <w:sz w:val="26"/>
          <w:sz w:val="26"/>
          <w:szCs w:val="26"/>
          <w:lang w:val="en-US" w:bidi="fa-IR"/>
        </w:rPr>
        <w:t>۰٫۲۲</w:t>
      </w:r>
      <w:r>
        <w:rPr>
          <w:rFonts w:ascii="Times New Roman" w:hAnsi="Times New Roman" w:eastAsia="Times New Roman"/>
          <w:sz w:val="26"/>
          <w:sz w:val="26"/>
          <w:szCs w:val="26"/>
          <w:rtl w:val="true"/>
          <w:lang w:val="en-US" w:bidi="fa-IR"/>
        </w:rPr>
        <w:t xml:space="preserve"> است و هر سه شیب معنادارند؛ یعنی شیب با افزایش اطلاعات حسابداری تضعیف می‌شود ولی هیچ‌گاه صفر نمی‌شود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شاخص میانجی‌گری تعدیل‌شده </w:t>
      </w:r>
      <w:r>
        <w:rPr>
          <w:rFonts w:ascii="Times New Roman" w:hAnsi="Times New Roman" w:eastAsia="Times New Roman"/>
          <w:sz w:val="26"/>
          <w:sz w:val="26"/>
          <w:szCs w:val="26"/>
          <w:lang w:val="en-US" w:bidi="fa-IR"/>
        </w:rPr>
        <w:t>۰٫۰۳۴</w:t>
      </w:r>
      <w:r>
        <w:rPr>
          <w:rFonts w:ascii="Times New Roman" w:hAnsi="Times New Roman" w:eastAsia="Times New Roman"/>
          <w:sz w:val="26"/>
          <w:sz w:val="26"/>
          <w:szCs w:val="26"/>
          <w:rtl w:val="true"/>
          <w:lang w:val="en-US" w:bidi="fa-IR"/>
        </w:rPr>
        <w:t xml:space="preserve"> با فاصلهٔ اطمینان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۰٫۰۱۳</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۰٫۰۶۵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برآورد شد که شامل صفر نیست و فرضیهٔ </w:t>
      </w:r>
      <w:r>
        <w:rPr>
          <w:rFonts w:ascii="Times New Roman" w:hAnsi="Times New Roman" w:eastAsia="Times New Roman"/>
          <w:sz w:val="26"/>
          <w:sz w:val="26"/>
          <w:szCs w:val="26"/>
          <w:lang w:val="en-US" w:bidi="fa-IR"/>
        </w:rPr>
        <w:t>۷</w:t>
      </w:r>
      <w:r>
        <w:rPr>
          <w:rFonts w:ascii="Times New Roman" w:hAnsi="Times New Roman" w:eastAsia="Times New Roman"/>
          <w:sz w:val="26"/>
          <w:sz w:val="26"/>
          <w:szCs w:val="26"/>
          <w:rtl w:val="true"/>
          <w:lang w:val="en-US" w:bidi="fa-IR"/>
        </w:rPr>
        <w:t xml:space="preserve"> را تأیید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کاهش اثر غیرمستقیم متوالی از سطح پایین به سطح بالا حدود </w:t>
      </w:r>
      <w:r>
        <w:rPr>
          <w:rFonts w:ascii="Times New Roman" w:hAnsi="Times New Roman" w:eastAsia="Times New Roman"/>
          <w:sz w:val="26"/>
          <w:sz w:val="26"/>
          <w:szCs w:val="26"/>
          <w:lang w:val="en-US" w:bidi="fa-IR"/>
        </w:rPr>
        <w:t>۶۴</w:t>
      </w:r>
      <w:r>
        <w:rPr>
          <w:rFonts w:ascii="Times New Roman" w:hAnsi="Times New Roman" w:eastAsia="Times New Roman"/>
          <w:sz w:val="26"/>
          <w:sz w:val="26"/>
          <w:szCs w:val="26"/>
          <w:rtl w:val="true"/>
          <w:lang w:val="en-US" w:bidi="fa-IR"/>
        </w:rPr>
        <w:t>٪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شیب‌های ساده و اثرهای غیرمستقیم مشروط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مدل پنهان</w:t>
      </w:r>
      <w:r>
        <w:rPr>
          <w:rFonts w:eastAsia="Times New Roman" w:cs="B Zar"/>
          <w:b/>
          <w:bCs/>
          <w:sz w:val="20"/>
          <w:szCs w:val="20"/>
          <w:rtl w:val="true"/>
          <w:lang w:val="en-US" w:bidi="fa-IR"/>
        </w:rPr>
        <w:t>)</w:t>
      </w:r>
    </w:p>
    <w:tbl>
      <w:tblPr>
        <w:bidiVisual w:val="true"/>
        <w:tblW w:w="9000" w:type="dxa"/>
        <w:jc w:val="center"/>
        <w:tblInd w:w="0" w:type="dxa"/>
        <w:tblLayout w:type="fixed"/>
        <w:tblCellMar>
          <w:top w:w="0" w:type="dxa"/>
          <w:left w:w="60" w:type="dxa"/>
          <w:bottom w:w="0" w:type="dxa"/>
          <w:right w:w="60" w:type="dxa"/>
        </w:tblCellMar>
      </w:tblPr>
      <w:tblGrid>
        <w:gridCol w:w="2899"/>
        <w:gridCol w:w="2000"/>
        <w:gridCol w:w="2001"/>
        <w:gridCol w:w="2099"/>
      </w:tblGrid>
      <w:tr>
        <w:trPr>
          <w:tblHeader w:val="true"/>
        </w:trPr>
        <w:tc>
          <w:tcPr>
            <w:tcW w:w="28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سطح استفاده از اطلاعات حسابداری</w:t>
            </w:r>
          </w:p>
        </w:tc>
        <w:tc>
          <w:tcPr>
            <w:tcW w:w="20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شیب استاندارد فومو ← توده‌واری</w:t>
            </w:r>
          </w:p>
        </w:tc>
        <w:tc>
          <w:tcPr>
            <w:tcW w:w="20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 xml:space="preserve">اثر غیرمستقیم متوالی </w:t>
            </w:r>
            <w:r>
              <w:rPr>
                <w:rFonts w:eastAsia="Times New Roman" w:cs="B Nazanin"/>
                <w:b/>
                <w:bCs/>
                <w:sz w:val="24"/>
                <w:szCs w:val="24"/>
                <w:rtl w:val="true"/>
                <w:lang w:val="en-US" w:bidi="fa-IR"/>
              </w:rPr>
              <w:t>(</w:t>
            </w:r>
            <w:r>
              <w:rPr>
                <w:rFonts w:ascii="Times New Roman" w:hAnsi="Times New Roman" w:eastAsia="Times New Roman"/>
                <w:b/>
                <w:b/>
                <w:bCs/>
                <w:sz w:val="24"/>
                <w:sz w:val="24"/>
                <w:szCs w:val="24"/>
                <w:rtl w:val="true"/>
                <w:lang w:val="en-US" w:bidi="fa-IR"/>
              </w:rPr>
              <w:t>ناستاندارد</w:t>
            </w:r>
            <w:r>
              <w:rPr>
                <w:rFonts w:eastAsia="Times New Roman" w:cs="B Nazanin"/>
                <w:b/>
                <w:bCs/>
                <w:sz w:val="24"/>
                <w:szCs w:val="24"/>
                <w:rtl w:val="true"/>
                <w:lang w:val="en-US" w:bidi="fa-IR"/>
              </w:rPr>
              <w:t>)</w:t>
            </w:r>
          </w:p>
        </w:tc>
        <w:tc>
          <w:tcPr>
            <w:tcW w:w="20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 xml:space="preserve">فاصلهٔ اطمینان </w:t>
            </w:r>
            <w:r>
              <w:rPr>
                <w:rFonts w:ascii="Times New Roman" w:hAnsi="Times New Roman" w:eastAsia="Times New Roman"/>
                <w:b/>
                <w:b/>
                <w:bCs/>
                <w:sz w:val="24"/>
                <w:sz w:val="24"/>
                <w:szCs w:val="24"/>
                <w:lang w:val="en-US" w:bidi="fa-IR"/>
              </w:rPr>
              <w:t>۹۵</w:t>
            </w:r>
            <w:r>
              <w:rPr>
                <w:rFonts w:ascii="Times New Roman" w:hAnsi="Times New Roman" w:eastAsia="Times New Roman"/>
                <w:b/>
                <w:b/>
                <w:bCs/>
                <w:sz w:val="24"/>
                <w:sz w:val="24"/>
                <w:szCs w:val="24"/>
                <w:rtl w:val="true"/>
                <w:lang w:val="en-US" w:bidi="fa-IR"/>
              </w:rPr>
              <w:t>٪ اثر غیرمستقیم</w:t>
            </w:r>
          </w:p>
        </w:tc>
      </w:tr>
      <w:tr>
        <w:trPr>
          <w:cantSplit w:val="true"/>
        </w:trPr>
        <w:tc>
          <w:tcPr>
            <w:tcW w:w="28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پایین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w:t>
            </w:r>
            <w:r>
              <w:rPr>
                <w:rFonts w:ascii="Times New Roman" w:hAnsi="Times New Roman" w:eastAsia="Times New Roman"/>
                <w:sz w:val="24"/>
                <w:sz w:val="24"/>
                <w:szCs w:val="24"/>
                <w:rtl w:val="true"/>
                <w:lang w:val="en-US" w:bidi="fa-IR"/>
              </w:rPr>
              <w:t xml:space="preserve"> انحراف معیار</w:t>
            </w:r>
            <w:r>
              <w:rPr>
                <w:rFonts w:eastAsia="Times New Roman" w:cs="B Nazanin"/>
                <w:sz w:val="24"/>
                <w:szCs w:val="24"/>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۰٫۶۰۱</w:t>
            </w:r>
          </w:p>
        </w:tc>
        <w:tc>
          <w:tcPr>
            <w:tcW w:w="2001"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۰٫۰۹۵‎</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۰٫۱۵۱‎، ‎−۰٫۰۵۰‎</w:t>
            </w:r>
            <w:r>
              <w:rPr>
                <w:rFonts w:eastAsia="Times New Roman" w:cs="B Nazanin"/>
                <w:sz w:val="24"/>
                <w:szCs w:val="24"/>
                <w:rtl w:val="true"/>
                <w:lang w:val="en-US" w:bidi="fa-IR"/>
              </w:rPr>
              <w:t>]</w:t>
            </w:r>
          </w:p>
        </w:tc>
      </w:tr>
      <w:tr>
        <w:trPr>
          <w:cantSplit w:val="true"/>
        </w:trPr>
        <w:tc>
          <w:tcPr>
            <w:tcW w:w="28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میانگین</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۰٫۴۱۰</w:t>
            </w:r>
          </w:p>
        </w:tc>
        <w:tc>
          <w:tcPr>
            <w:tcW w:w="2001"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۰٫۰۶۵‎</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۰٫۱۰۵‎، ‎−۰٫۰۳۴‎</w:t>
            </w:r>
            <w:r>
              <w:rPr>
                <w:rFonts w:eastAsia="Times New Roman" w:cs="B Nazanin"/>
                <w:sz w:val="24"/>
                <w:szCs w:val="24"/>
                <w:rtl w:val="true"/>
                <w:lang w:val="en-US" w:bidi="fa-IR"/>
              </w:rPr>
              <w:t>]</w:t>
            </w:r>
          </w:p>
        </w:tc>
      </w:tr>
      <w:tr>
        <w:trPr>
          <w:cantSplit w:val="true"/>
        </w:trPr>
        <w:tc>
          <w:tcPr>
            <w:tcW w:w="28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بالا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w:t>
            </w:r>
            <w:r>
              <w:rPr>
                <w:rFonts w:ascii="Times New Roman" w:hAnsi="Times New Roman" w:eastAsia="Times New Roman"/>
                <w:sz w:val="24"/>
                <w:sz w:val="24"/>
                <w:szCs w:val="24"/>
                <w:rtl w:val="true"/>
                <w:lang w:val="en-US" w:bidi="fa-IR"/>
              </w:rPr>
              <w:t xml:space="preserve"> انحراف معیار</w:t>
            </w:r>
            <w:r>
              <w:rPr>
                <w:rFonts w:eastAsia="Times New Roman" w:cs="B Nazanin"/>
                <w:sz w:val="24"/>
                <w:szCs w:val="24"/>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۰٫۲۱۸</w:t>
            </w:r>
          </w:p>
        </w:tc>
        <w:tc>
          <w:tcPr>
            <w:tcW w:w="2001"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۰٫۰۳۴‎</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۰٫۰۷۰‎، ‎−۰٫۰۰۸‎</w:t>
            </w:r>
            <w:r>
              <w:rPr>
                <w:rFonts w:eastAsia="Times New Roman" w:cs="B Nazanin"/>
                <w:sz w:val="24"/>
                <w:szCs w:val="24"/>
                <w:rtl w:val="true"/>
                <w:lang w:val="en-US" w:bidi="fa-IR"/>
              </w:rPr>
              <w:t>]</w:t>
            </w:r>
          </w:p>
        </w:tc>
      </w:tr>
      <w:tr>
        <w:trPr>
          <w:cantSplit w:val="true"/>
        </w:trPr>
        <w:tc>
          <w:tcPr>
            <w:tcW w:w="28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شاخص میانجی‌گری تعدیل‌شده</w:t>
            </w:r>
          </w:p>
        </w:tc>
        <w:tc>
          <w:tcPr>
            <w:tcW w:w="20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p>
        </w:tc>
        <w:tc>
          <w:tcPr>
            <w:tcW w:w="20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۰٫۰۳۴</w:t>
            </w:r>
          </w:p>
        </w:tc>
        <w:tc>
          <w:tcPr>
            <w:tcW w:w="20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۰٫۰۱۳</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۰٫۰۶۵</w:t>
            </w:r>
            <w:r>
              <w:rPr>
                <w:rFonts w:eastAsia="Times New Roman" w:cs="B Nazanin"/>
                <w:sz w:val="24"/>
                <w:szCs w:val="24"/>
                <w:rtl w:val="true"/>
                <w:lang w:val="en-US" w:bidi="fa-IR"/>
              </w:rPr>
              <w:t>]</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اثرهای غیرمستقیم در متریک متغیرهای پنهان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گویهٔ نشانگر</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 معناداری از فاصلهٔ اطمینان خودگردان</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شیب استاندارد از ضرب شیب ناستاندارد در نسبت انحراف معیار پنهان فومو به رفتار توده‌وار</w:t>
      </w:r>
      <w:r>
        <w:rPr>
          <w:rFonts w:eastAsia="Times New Roman" w:cs="B Nazanin"/>
          <w:sz w:val="20"/>
          <w:szCs w:val="20"/>
          <w:rtl w:val="true"/>
          <w:lang w:val="en-US" w:bidi="fa-IR"/>
        </w:rPr>
        <w:t>.</w:t>
      </w:r>
    </w:p>
    <w:p>
      <w:pPr>
        <w:pStyle w:val="Normal"/>
        <w:keepNext w:val="true"/>
        <w:jc w:val="center"/>
        <w:rPr/>
      </w:pPr>
      <w:r>
        <w:rPr>
          <w:rtl w:val="true"/>
        </w:rPr>
        <w:drawing>
          <wp:inline distT="0" distB="0" distL="0" distR="0">
            <wp:extent cx="3959860" cy="2722880"/>
            <wp:effectExtent l="0" t="0" r="0" b="0"/>
            <wp:docPr id="3" name="Fig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
                    <pic:cNvPicPr>
                      <a:picLocks noChangeAspect="1" noChangeArrowheads="1"/>
                    </pic:cNvPicPr>
                  </pic:nvPicPr>
                  <pic:blipFill>
                    <a:blip r:embed="rId4"/>
                    <a:stretch>
                      <a:fillRect/>
                    </a:stretch>
                  </pic:blipFill>
                  <pic:spPr bwMode="auto">
                    <a:xfrm>
                      <a:off x="0" y="0"/>
                      <a:ext cx="3959860" cy="2722880"/>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اثر تعاملی فومو و استفاده از اطلاعات حسابداری بر رفتار توده‌وار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شیب‌های ساده از مدل پنهان</w:t>
      </w:r>
      <w:r>
        <w:rPr>
          <w:rFonts w:eastAsia="Times New Roman" w:cs="B Zar"/>
          <w:b/>
          <w:bCs/>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۷</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خلاصهٔ آزمون فرضیه‌ها</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بر پایهٔ جدول‌های </w:t>
      </w:r>
      <w:r>
        <w:rPr>
          <w:rFonts w:ascii="Times New Roman" w:hAnsi="Times New Roman" w:eastAsia="Times New Roman"/>
          <w:sz w:val="26"/>
          <w:sz w:val="26"/>
          <w:szCs w:val="26"/>
          <w:lang w:val="en-US" w:bidi="fa-IR"/>
        </w:rPr>
        <w:t>۹</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۱۱</w:t>
      </w:r>
      <w:r>
        <w:rPr>
          <w:rFonts w:ascii="Times New Roman" w:hAnsi="Times New Roman" w:eastAsia="Times New Roman"/>
          <w:sz w:val="26"/>
          <w:sz w:val="26"/>
          <w:szCs w:val="26"/>
          <w:rtl w:val="true"/>
          <w:lang w:val="en-US" w:bidi="fa-IR"/>
        </w:rPr>
        <w:t>، هر هشت فرضیه تأیید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فرضیه‌های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۸</w:t>
      </w:r>
      <w:r>
        <w:rPr>
          <w:rFonts w:ascii="Times New Roman" w:hAnsi="Times New Roman" w:eastAsia="Times New Roman"/>
          <w:sz w:val="26"/>
          <w:sz w:val="26"/>
          <w:szCs w:val="26"/>
          <w:rtl w:val="true"/>
          <w:lang w:val="en-US" w:bidi="fa-IR"/>
        </w:rPr>
        <w:t xml:space="preserve"> بر پایهٔ ضرایب مسیر معنادار، فرضیهٔ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بر پایهٔ فاصلهٔ اطمینان اثر غیرمستقیم متوالی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۰٫۰۷۱‎</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۰٫۱۱۱‎، ‎−۰٫۰۳۸‎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۶</w:t>
      </w:r>
      <w:r>
        <w:rPr>
          <w:rFonts w:ascii="Times New Roman" w:hAnsi="Times New Roman" w:eastAsia="Times New Roman"/>
          <w:sz w:val="26"/>
          <w:sz w:val="26"/>
          <w:szCs w:val="26"/>
          <w:rtl w:val="true"/>
          <w:lang w:val="en-US" w:bidi="fa-IR"/>
        </w:rPr>
        <w:t xml:space="preserve"> بر پایهٔ ضریب تعامل منفی و معنادار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۰٫۱۸۵‎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فرضیهٔ </w:t>
      </w:r>
      <w:r>
        <w:rPr>
          <w:rFonts w:ascii="Times New Roman" w:hAnsi="Times New Roman" w:eastAsia="Times New Roman"/>
          <w:sz w:val="26"/>
          <w:sz w:val="26"/>
          <w:szCs w:val="26"/>
          <w:lang w:val="en-US" w:bidi="fa-IR"/>
        </w:rPr>
        <w:t>۷</w:t>
      </w:r>
      <w:r>
        <w:rPr>
          <w:rFonts w:ascii="Times New Roman" w:hAnsi="Times New Roman" w:eastAsia="Times New Roman"/>
          <w:sz w:val="26"/>
          <w:sz w:val="26"/>
          <w:szCs w:val="26"/>
          <w:rtl w:val="true"/>
          <w:lang w:val="en-US" w:bidi="fa-IR"/>
        </w:rPr>
        <w:t xml:space="preserve"> بر پایهٔ شاخص میانجی‌گری تعدیل‌شدهٔ مثبت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۰٫۰۳۴</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۰٫۰۱۳</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۰٫۰۶۵</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۸</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آزمون‌های تکمیلی و استحکام</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نخست، چهار مدل ساختاری رقیب مقایسه 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۱۲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پیشنهادی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میانجی جزئی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مدل میانجی کامل زنجیره‌ای بهتر برازش داشت </w:t>
      </w:r>
      <w:r>
        <w:rPr>
          <w:rFonts w:eastAsia="Times New Roman" w:cs="B Nazanin"/>
          <w:sz w:val="26"/>
          <w:szCs w:val="26"/>
          <w:rtl w:val="true"/>
          <w:lang w:val="en-US" w:bidi="fa-IR"/>
        </w:rPr>
        <w:t>(</w:t>
      </w:r>
      <w:r>
        <w:rPr>
          <w:rFonts w:eastAsia="Times New Roman" w:cs="B Nazanin"/>
          <w:sz w:val="26"/>
          <w:szCs w:val="26"/>
          <w:lang w:val="en-US" w:bidi="fa-IR"/>
        </w:rPr>
        <w:t xml:space="preserve">‎Δχ² = </w:t>
      </w:r>
      <w:r>
        <w:rPr>
          <w:rFonts w:ascii="Times New Roman" w:hAnsi="Times New Roman" w:eastAsia="Times New Roman"/>
          <w:sz w:val="26"/>
          <w:sz w:val="26"/>
          <w:szCs w:val="26"/>
          <w:lang w:val="en-US" w:bidi="fa-IR"/>
        </w:rPr>
        <w:t>۲۵٫۲‎</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Δdf = </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مدل بدون میانجی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اثر مستقیم</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برازش ضعیف‌تری داشت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با ترتیب معکوس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توده‌واری ← فومو</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نظر آماری هم‌ارز مدل پیشنهادی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درجهٔ آزادی برابر</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از این‌رو ترتیب علّی بر پایهٔ منطق نظری و نه یافتهٔ آماری انتخاب شده و این موضوع در محدودیت‌ها آمده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مقایسهٔ مدل‌های رقیب</w:t>
      </w:r>
    </w:p>
    <w:tbl>
      <w:tblPr>
        <w:bidiVisual w:val="true"/>
        <w:tblW w:w="8300" w:type="dxa"/>
        <w:jc w:val="center"/>
        <w:tblInd w:w="0" w:type="dxa"/>
        <w:tblLayout w:type="fixed"/>
        <w:tblCellMar>
          <w:top w:w="0" w:type="dxa"/>
          <w:left w:w="60" w:type="dxa"/>
          <w:bottom w:w="0" w:type="dxa"/>
          <w:right w:w="60" w:type="dxa"/>
        </w:tblCellMar>
      </w:tblPr>
      <w:tblGrid>
        <w:gridCol w:w="3700"/>
        <w:gridCol w:w="1000"/>
        <w:gridCol w:w="699"/>
        <w:gridCol w:w="900"/>
        <w:gridCol w:w="901"/>
        <w:gridCol w:w="1099"/>
      </w:tblGrid>
      <w:tr>
        <w:trPr>
          <w:tblHeader w:val="true"/>
        </w:trPr>
        <w:tc>
          <w:tcPr>
            <w:tcW w:w="3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مدل</w:t>
            </w:r>
          </w:p>
        </w:tc>
        <w:tc>
          <w:tcPr>
            <w:tcW w:w="10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χ²</w:t>
            </w:r>
          </w:p>
        </w:tc>
        <w:tc>
          <w:tcPr>
            <w:tcW w:w="6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df</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CFI</w:t>
            </w:r>
          </w:p>
        </w:tc>
        <w:tc>
          <w:tcPr>
            <w:tcW w:w="9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RMSEA</w:t>
            </w:r>
          </w:p>
        </w:tc>
        <w:tc>
          <w:tcPr>
            <w:tcW w:w="10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BIC</w:t>
            </w:r>
          </w:p>
        </w:tc>
      </w:tr>
      <w:tr>
        <w:trPr>
          <w:cantSplit w:val="true"/>
        </w:trPr>
        <w:tc>
          <w:tcPr>
            <w:tcW w:w="3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پیشنهادی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میانجی جزئی</w:t>
            </w:r>
            <w:r>
              <w:rPr>
                <w:rFonts w:eastAsia="Times New Roman" w:cs="B Nazanin"/>
                <w:sz w:val="24"/>
                <w:szCs w:val="24"/>
                <w:rtl w:val="true"/>
                <w:lang w:val="en-US" w:bidi="fa-IR"/>
              </w:rPr>
              <w:t>)</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۴۸۱٫۸</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۳۶۹</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۰٫۹۷۴</w:t>
            </w:r>
          </w:p>
        </w:tc>
        <w:tc>
          <w:tcPr>
            <w:tcW w:w="9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۰٫۰۲۸</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۳۹۰٫۶</w:t>
            </w:r>
          </w:p>
        </w:tc>
      </w:tr>
      <w:tr>
        <w:trPr>
          <w:cantSplit w:val="true"/>
        </w:trPr>
        <w:tc>
          <w:tcPr>
            <w:tcW w:w="3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میانجی کامل زنجیره‌ای</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۵۰۷٫۰</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۳۷۲</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۰٫۹۶۹</w:t>
            </w:r>
          </w:p>
        </w:tc>
        <w:tc>
          <w:tcPr>
            <w:tcW w:w="9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۰٫۰۳۱</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۳۷۲٫۶</w:t>
            </w:r>
          </w:p>
        </w:tc>
      </w:tr>
      <w:tr>
        <w:trPr>
          <w:cantSplit w:val="true"/>
        </w:trPr>
        <w:tc>
          <w:tcPr>
            <w:tcW w:w="3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ترتیب معکوس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توده‌واری←</w:t>
            </w:r>
            <w:r>
              <w:rPr>
                <w:rFonts w:eastAsia="Times New Roman" w:cs="B Nazanin"/>
                <w:sz w:val="24"/>
                <w:szCs w:val="24"/>
                <w:lang w:val="en-US" w:bidi="fa-IR"/>
              </w:rPr>
              <w:t>FOMO</w:t>
            </w:r>
            <w:r>
              <w:rPr>
                <w:rFonts w:eastAsia="Times New Roman" w:cs="B Nazanin"/>
                <w:sz w:val="24"/>
                <w:szCs w:val="24"/>
                <w:rtl w:val="true"/>
                <w:lang w:val="en-US" w:bidi="fa-IR"/>
              </w:rPr>
              <w:t>)</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۴۸۵٫۷</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۳۶۹</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۰٫۹۷۳</w:t>
            </w:r>
          </w:p>
        </w:tc>
        <w:tc>
          <w:tcPr>
            <w:tcW w:w="9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۰٫۰۲۹</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۳۹۰٫۶</w:t>
            </w:r>
          </w:p>
        </w:tc>
      </w:tr>
      <w:tr>
        <w:trPr>
          <w:cantSplit w:val="true"/>
        </w:trPr>
        <w:tc>
          <w:tcPr>
            <w:tcW w:w="3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اثر مستقیم بدون میانجی</w:t>
            </w:r>
          </w:p>
        </w:tc>
        <w:tc>
          <w:tcPr>
            <w:tcW w:w="1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۵۷۸٫۷</w:t>
            </w:r>
          </w:p>
        </w:tc>
        <w:tc>
          <w:tcPr>
            <w:tcW w:w="6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۳۷۲</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۰٫۹۵۳</w:t>
            </w:r>
          </w:p>
        </w:tc>
        <w:tc>
          <w:tcPr>
            <w:tcW w:w="9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۰٫۰۳۸</w:t>
            </w:r>
          </w:p>
        </w:tc>
        <w:tc>
          <w:tcPr>
            <w:tcW w:w="10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۳۷۲٫۲</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دوم، استحکام نتایج در برابر روش برآورد و مشخصات مدل بررسی 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برآوردگر </w:t>
      </w:r>
      <w:r>
        <w:rPr>
          <w:rFonts w:eastAsia="Times New Roman" w:cs="B Nazanin"/>
          <w:sz w:val="26"/>
          <w:szCs w:val="26"/>
          <w:lang w:val="en-US" w:bidi="fa-IR"/>
        </w:rPr>
        <w:t>DWLS</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که برای دادهٔ رتبه‌ای مناسب‌تر است، با ساخت دیگری از شاخص‌های تعامل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مرکزسازی باقی‌مانده</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با آزادسازی چهار بزرگ‌ترین خطای همبستهٔ درون‌سازه‌ای </w:t>
      </w:r>
      <w:r>
        <w:rPr>
          <w:rFonts w:eastAsia="Times New Roman" w:cs="B Nazanin"/>
          <w:sz w:val="26"/>
          <w:szCs w:val="26"/>
          <w:rtl w:val="true"/>
          <w:lang w:val="en-US" w:bidi="fa-IR"/>
        </w:rPr>
        <w:t>(</w:t>
      </w:r>
      <w:r>
        <w:rPr>
          <w:rFonts w:eastAsia="Times New Roman" w:cs="B Nazanin"/>
          <w:sz w:val="26"/>
          <w:szCs w:val="26"/>
          <w:lang w:val="en-US" w:bidi="fa-IR"/>
        </w:rPr>
        <w:t>HRD</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rtl w:val="true"/>
          <w:lang w:val="en-US" w:bidi="fa-IR"/>
        </w:rPr>
        <w:t xml:space="preserve"> با </w:t>
      </w:r>
      <w:r>
        <w:rPr>
          <w:rFonts w:eastAsia="Times New Roman" w:cs="B Nazanin"/>
          <w:sz w:val="26"/>
          <w:szCs w:val="26"/>
          <w:lang w:val="en-US" w:bidi="fa-IR"/>
        </w:rPr>
        <w:t>HRD</w:t>
      </w:r>
      <w:r>
        <w:rPr>
          <w:rFonts w:ascii="Times New Roman" w:hAnsi="Times New Roman" w:eastAsia="Times New Roman"/>
          <w:sz w:val="26"/>
          <w:sz w:val="26"/>
          <w:szCs w:val="26"/>
          <w:lang w:val="en-US" w:bidi="fa-IR"/>
        </w:rPr>
        <w:t xml:space="preserve">۵، </w:t>
      </w:r>
      <w:r>
        <w:rPr>
          <w:rFonts w:eastAsia="Times New Roman" w:cs="B Nazanin"/>
          <w:sz w:val="26"/>
          <w:szCs w:val="26"/>
          <w:lang w:val="en-US" w:bidi="fa-IR"/>
        </w:rPr>
        <w:t>AIU</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rtl w:val="true"/>
          <w:lang w:val="en-US" w:bidi="fa-IR"/>
        </w:rPr>
        <w:t xml:space="preserve"> با </w:t>
      </w:r>
      <w:r>
        <w:rPr>
          <w:rFonts w:eastAsia="Times New Roman" w:cs="B Nazanin"/>
          <w:sz w:val="26"/>
          <w:szCs w:val="26"/>
          <w:lang w:val="en-US" w:bidi="fa-IR"/>
        </w:rPr>
        <w:t>AIU</w:t>
      </w:r>
      <w:r>
        <w:rPr>
          <w:rFonts w:ascii="Times New Roman" w:hAnsi="Times New Roman" w:eastAsia="Times New Roman"/>
          <w:sz w:val="26"/>
          <w:sz w:val="26"/>
          <w:szCs w:val="26"/>
          <w:lang w:val="en-US" w:bidi="fa-IR"/>
        </w:rPr>
        <w:t xml:space="preserve">۴، </w:t>
      </w:r>
      <w:r>
        <w:rPr>
          <w:rFonts w:eastAsia="Times New Roman" w:cs="B Nazanin"/>
          <w:sz w:val="26"/>
          <w:szCs w:val="26"/>
          <w:lang w:val="en-US" w:bidi="fa-IR"/>
        </w:rPr>
        <w:t>FOMO</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با </w:t>
      </w:r>
      <w:r>
        <w:rPr>
          <w:rFonts w:eastAsia="Times New Roman" w:cs="B Nazanin"/>
          <w:sz w:val="26"/>
          <w:szCs w:val="26"/>
          <w:lang w:val="en-US" w:bidi="fa-IR"/>
        </w:rPr>
        <w:t>FOMO</w:t>
      </w:r>
      <w:r>
        <w:rPr>
          <w:rFonts w:ascii="Times New Roman" w:hAnsi="Times New Roman" w:eastAsia="Times New Roman"/>
          <w:sz w:val="26"/>
          <w:sz w:val="26"/>
          <w:szCs w:val="26"/>
          <w:lang w:val="en-US" w:bidi="fa-IR"/>
        </w:rPr>
        <w:t xml:space="preserve">۲، </w:t>
      </w:r>
      <w:r>
        <w:rPr>
          <w:rFonts w:eastAsia="Times New Roman" w:cs="B Nazanin"/>
          <w:sz w:val="26"/>
          <w:szCs w:val="26"/>
          <w:lang w:val="en-US" w:bidi="fa-IR"/>
        </w:rPr>
        <w:t>SME</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با </w:t>
      </w:r>
      <w:r>
        <w:rPr>
          <w:rFonts w:eastAsia="Times New Roman" w:cs="B Nazanin"/>
          <w:sz w:val="26"/>
          <w:szCs w:val="26"/>
          <w:lang w:val="en-US" w:bidi="fa-IR"/>
        </w:rPr>
        <w:t>SME</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که برازش را به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CFI = </w:t>
      </w:r>
      <w:r>
        <w:rPr>
          <w:rFonts w:ascii="Times New Roman" w:hAnsi="Times New Roman" w:eastAsia="Times New Roman"/>
          <w:sz w:val="26"/>
          <w:sz w:val="26"/>
          <w:szCs w:val="26"/>
          <w:lang w:val="en-US" w:bidi="fa-IR"/>
        </w:rPr>
        <w:t>۰٫۹۸۹‎</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RMSEA = </w:t>
      </w:r>
      <w:r>
        <w:rPr>
          <w:rFonts w:ascii="Times New Roman" w:hAnsi="Times New Roman" w:eastAsia="Times New Roman"/>
          <w:sz w:val="26"/>
          <w:sz w:val="26"/>
          <w:szCs w:val="26"/>
          <w:lang w:val="en-US" w:bidi="fa-IR"/>
        </w:rPr>
        <w:t>۰٫۰۱۶‎</w:t>
      </w:r>
      <w:r>
        <w:rPr>
          <w:rFonts w:ascii="Times New Roman" w:hAnsi="Times New Roman" w:eastAsia="Times New Roman"/>
          <w:sz w:val="26"/>
          <w:sz w:val="26"/>
          <w:szCs w:val="26"/>
          <w:rtl w:val="true"/>
          <w:lang w:val="en-US" w:bidi="fa-IR"/>
        </w:rPr>
        <w:t xml:space="preserve"> رساند، و پس از حذف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دورترین مشاهدات، جهت و معناداری مسیرهای اصلی و تعامل حفظ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بنابراین یافته‌ها به روش برآورد وابسته نیستند</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تحلیل حساسیت</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ضرایب استاندارد کلیدی در مشخصات مختلف</w:t>
      </w:r>
    </w:p>
    <w:tbl>
      <w:tblPr>
        <w:bidiVisual w:val="true"/>
        <w:tblW w:w="8400" w:type="dxa"/>
        <w:jc w:val="center"/>
        <w:tblInd w:w="0" w:type="dxa"/>
        <w:tblLayout w:type="fixed"/>
        <w:tblCellMar>
          <w:top w:w="0" w:type="dxa"/>
          <w:left w:w="60" w:type="dxa"/>
          <w:bottom w:w="0" w:type="dxa"/>
          <w:right w:w="60" w:type="dxa"/>
        </w:tblCellMar>
      </w:tblPr>
      <w:tblGrid>
        <w:gridCol w:w="2399"/>
        <w:gridCol w:w="700"/>
        <w:gridCol w:w="801"/>
        <w:gridCol w:w="1099"/>
        <w:gridCol w:w="1101"/>
        <w:gridCol w:w="799"/>
        <w:gridCol w:w="1500"/>
      </w:tblGrid>
      <w:tr>
        <w:trPr>
          <w:tblHeader w:val="true"/>
        </w:trPr>
        <w:tc>
          <w:tcPr>
            <w:tcW w:w="23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مشخصات مدل</w:t>
            </w:r>
          </w:p>
        </w:tc>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CFI</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RMSEA</w:t>
            </w:r>
          </w:p>
        </w:tc>
        <w:tc>
          <w:tcPr>
            <w:tcW w:w="10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فومو ← توده‌واری</w:t>
            </w:r>
          </w:p>
        </w:tc>
        <w:tc>
          <w:tcPr>
            <w:tcW w:w="11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توده‌واری ← کیفیت</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تعامل</w:t>
            </w:r>
          </w:p>
        </w:tc>
        <w:tc>
          <w:tcPr>
            <w:tcW w:w="15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توضیح</w:t>
            </w:r>
          </w:p>
        </w:tc>
      </w:tr>
      <w:tr>
        <w:trPr>
          <w:cantSplit w:val="true"/>
        </w:trPr>
        <w:tc>
          <w:tcPr>
            <w:tcW w:w="23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مدل پایه </w:t>
            </w:r>
            <w:r>
              <w:rPr>
                <w:rFonts w:eastAsia="Times New Roman" w:cs="B Nazanin"/>
                <w:sz w:val="20"/>
                <w:szCs w:val="20"/>
                <w:rtl w:val="true"/>
                <w:lang w:val="en-US" w:bidi="fa-IR"/>
              </w:rPr>
              <w:t>(</w:t>
            </w:r>
            <w:r>
              <w:rPr>
                <w:rFonts w:eastAsia="Times New Roman" w:cs="B Nazanin"/>
                <w:sz w:val="20"/>
                <w:szCs w:val="20"/>
                <w:lang w:val="en-US" w:bidi="fa-IR"/>
              </w:rPr>
              <w:t>ML</w:t>
            </w:r>
            <w:r>
              <w:rPr>
                <w:rFonts w:eastAsia="Times New Roman" w:cs="B Nazanin"/>
                <w:sz w:val="20"/>
                <w:szCs w:val="20"/>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۰٫۹۷۷</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۰٫۰۲۳</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۰٫۴۱</w:t>
            </w:r>
          </w:p>
        </w:tc>
        <w:tc>
          <w:tcPr>
            <w:tcW w:w="1101"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۰٫۳۵‎</w:t>
            </w:r>
          </w:p>
        </w:tc>
        <w:tc>
          <w:tcPr>
            <w:tcW w:w="7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۰٫۱۸‎</w:t>
            </w:r>
          </w:p>
        </w:tc>
        <w:tc>
          <w:tcPr>
            <w:tcW w:w="15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p>
        </w:tc>
      </w:tr>
      <w:tr>
        <w:trPr>
          <w:cantSplit w:val="true"/>
        </w:trPr>
        <w:tc>
          <w:tcPr>
            <w:tcW w:w="23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برآوردگر </w:t>
            </w:r>
            <w:r>
              <w:rPr>
                <w:rFonts w:eastAsia="Times New Roman" w:cs="B Nazanin"/>
                <w:sz w:val="20"/>
                <w:szCs w:val="20"/>
                <w:lang w:val="en-US" w:bidi="fa-IR"/>
              </w:rPr>
              <w:t>DWLS</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۱٫۰۱۲</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۰٫۰۰۰</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۰٫۴۳</w:t>
            </w:r>
          </w:p>
        </w:tc>
        <w:tc>
          <w:tcPr>
            <w:tcW w:w="1101"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۰٫۳۴‎</w:t>
            </w:r>
          </w:p>
        </w:tc>
        <w:tc>
          <w:tcPr>
            <w:tcW w:w="799"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p>
        </w:tc>
        <w:tc>
          <w:tcPr>
            <w:tcW w:w="15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بدون تعامل</w:t>
            </w:r>
          </w:p>
        </w:tc>
      </w:tr>
      <w:tr>
        <w:trPr>
          <w:cantSplit w:val="true"/>
        </w:trPr>
        <w:tc>
          <w:tcPr>
            <w:tcW w:w="23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تعامل با مرکزسازی باقی‌مانده</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۰٫۹۸۸</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۰٫۰۱۷</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۰٫۴۲</w:t>
            </w:r>
          </w:p>
        </w:tc>
        <w:tc>
          <w:tcPr>
            <w:tcW w:w="1101"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۰٫۳۵‎</w:t>
            </w:r>
          </w:p>
        </w:tc>
        <w:tc>
          <w:tcPr>
            <w:tcW w:w="7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۰٫۱۷‎</w:t>
            </w:r>
          </w:p>
        </w:tc>
        <w:tc>
          <w:tcPr>
            <w:tcW w:w="15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شاخص‌های متعامد</w:t>
            </w:r>
          </w:p>
        </w:tc>
      </w:tr>
      <w:tr>
        <w:trPr>
          <w:cantSplit w:val="true"/>
        </w:trPr>
        <w:tc>
          <w:tcPr>
            <w:tcW w:w="23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بازمشخص‌سازی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۴</w:t>
            </w:r>
            <w:r>
              <w:rPr>
                <w:rFonts w:ascii="Times New Roman" w:hAnsi="Times New Roman" w:eastAsia="Times New Roman"/>
                <w:sz w:val="20"/>
                <w:sz w:val="20"/>
                <w:szCs w:val="20"/>
                <w:rtl w:val="true"/>
                <w:lang w:val="en-US" w:bidi="fa-IR"/>
              </w:rPr>
              <w:t xml:space="preserve"> خطای همبسته</w:t>
            </w:r>
            <w:r>
              <w:rPr>
                <w:rFonts w:eastAsia="Times New Roman" w:cs="B Nazanin"/>
                <w:sz w:val="20"/>
                <w:szCs w:val="20"/>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۰٫۹۸۹</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۰٫۰۱۶</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۰٫۴۱</w:t>
            </w:r>
          </w:p>
        </w:tc>
        <w:tc>
          <w:tcPr>
            <w:tcW w:w="1101"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۰٫۳۵‎</w:t>
            </w:r>
          </w:p>
        </w:tc>
        <w:tc>
          <w:tcPr>
            <w:tcW w:w="7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۰٫۱۹‎</w:t>
            </w:r>
          </w:p>
        </w:tc>
        <w:tc>
          <w:tcPr>
            <w:tcW w:w="15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آزادسازی خطاها</w:t>
            </w:r>
          </w:p>
        </w:tc>
      </w:tr>
      <w:tr>
        <w:trPr>
          <w:cantSplit w:val="true"/>
        </w:trPr>
        <w:tc>
          <w:tcPr>
            <w:tcW w:w="23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حذف </w:t>
            </w:r>
            <w:r>
              <w:rPr>
                <w:rFonts w:ascii="Times New Roman" w:hAnsi="Times New Roman" w:eastAsia="Times New Roman"/>
                <w:sz w:val="20"/>
                <w:sz w:val="20"/>
                <w:szCs w:val="20"/>
                <w:lang w:val="en-US" w:bidi="fa-IR"/>
              </w:rPr>
              <w:t>۵</w:t>
            </w:r>
            <w:r>
              <w:rPr>
                <w:rFonts w:ascii="Times New Roman" w:hAnsi="Times New Roman" w:eastAsia="Times New Roman"/>
                <w:sz w:val="20"/>
                <w:sz w:val="20"/>
                <w:szCs w:val="20"/>
                <w:rtl w:val="true"/>
                <w:lang w:val="en-US" w:bidi="fa-IR"/>
              </w:rPr>
              <w:t>٪ دورترین مشاهدات</w:t>
            </w:r>
          </w:p>
        </w:tc>
        <w:tc>
          <w:tcPr>
            <w:tcW w:w="7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p>
        </w:tc>
        <w:tc>
          <w:tcPr>
            <w:tcW w:w="8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p>
        </w:tc>
        <w:tc>
          <w:tcPr>
            <w:tcW w:w="10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۰٫۳۹</w:t>
            </w:r>
          </w:p>
        </w:tc>
        <w:tc>
          <w:tcPr>
            <w:tcW w:w="11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۰٫۳۷‎</w:t>
            </w:r>
          </w:p>
        </w:tc>
        <w:tc>
          <w:tcPr>
            <w:tcW w:w="7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۰٫۱۹‎</w:t>
            </w:r>
          </w:p>
        </w:tc>
        <w:tc>
          <w:tcPr>
            <w:tcW w:w="15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 xml:space="preserve">n = </w:t>
            </w:r>
            <w:r>
              <w:rPr>
                <w:rFonts w:ascii="Times New Roman" w:hAnsi="Times New Roman" w:eastAsia="Times New Roman"/>
                <w:sz w:val="20"/>
                <w:sz w:val="20"/>
                <w:szCs w:val="20"/>
                <w:lang w:val="en-US" w:bidi="fa-IR"/>
              </w:rPr>
              <w:t>۳۶۶</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لازم است تأکید شود که چون داده‌ها از مدل مفروض تولید شده‌اند، هم‌خوانی ضرایب برآوردشده با مقادیر مفروض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نشانهٔ بازیابی صحیح ساختار توسط روش است و نه تأیید تجربی فرضیه‌ها</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۵</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بحث و نتیجه‌گیری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هدف این پژوهش بررسی مسیر مواجهه با محتوای سرمایه‌گذاری شبکه‌های اجتماعی ← فومو ← رفتار توده‌وار ← کیفیت تصمیم با تعدیل‌گری اطلاعات حسابداری 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چارچوب مدل مفروض، هر هشت فرضیه تأیید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نخست، مواجهه با محتوا از نیرومندترین پیش‌بینی‌کننده‌های فومو بود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۰٫۴۹‎</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که با نظریهٔ مقایسهٔ اجتماعی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فستینگر، </w:t>
      </w:r>
      <w:r>
        <w:rPr>
          <w:rFonts w:ascii="Times New Roman" w:hAnsi="Times New Roman" w:eastAsia="Times New Roman"/>
          <w:sz w:val="26"/>
          <w:sz w:val="26"/>
          <w:szCs w:val="26"/>
          <w:lang w:val="en-US" w:bidi="fa-IR"/>
        </w:rPr>
        <w:t>۱۹۵۴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یافته‌های مرتبط با استفادهٔ شبکه‌ای از فومو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آبل و همکاران، </w:t>
      </w:r>
      <w:r>
        <w:rPr>
          <w:rFonts w:ascii="Times New Roman" w:hAnsi="Times New Roman" w:eastAsia="Times New Roman"/>
          <w:sz w:val="26"/>
          <w:sz w:val="26"/>
          <w:szCs w:val="26"/>
          <w:lang w:val="en-US" w:bidi="fa-IR"/>
        </w:rPr>
        <w:t>۲۰۱۶</w:t>
      </w:r>
      <w:r>
        <w:rPr>
          <w:rFonts w:ascii="Times New Roman" w:hAnsi="Times New Roman" w:eastAsia="Times New Roman"/>
          <w:sz w:val="26"/>
          <w:sz w:val="26"/>
          <w:szCs w:val="26"/>
          <w:rtl w:val="true"/>
          <w:lang w:val="en-US" w:bidi="fa-IR"/>
        </w:rPr>
        <w:t xml:space="preserve">؛ میلیاوسکایا و همکاران، </w:t>
      </w:r>
      <w:r>
        <w:rPr>
          <w:rFonts w:ascii="Times New Roman" w:hAnsi="Times New Roman" w:eastAsia="Times New Roman"/>
          <w:sz w:val="26"/>
          <w:sz w:val="26"/>
          <w:szCs w:val="26"/>
          <w:lang w:val="en-US" w:bidi="fa-IR"/>
        </w:rPr>
        <w:t>۲۰۱۸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هم‌سو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دوم، فومو رفتار توده‌وار را برانگیخت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۰٫۴۱‎</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این امر منطق آبشارهای اطلاعاتی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بیکچندانی و همکاران، </w:t>
      </w:r>
      <w:r>
        <w:rPr>
          <w:rFonts w:ascii="Times New Roman" w:hAnsi="Times New Roman" w:eastAsia="Times New Roman"/>
          <w:sz w:val="26"/>
          <w:sz w:val="26"/>
          <w:szCs w:val="26"/>
          <w:lang w:val="en-US" w:bidi="fa-IR"/>
        </w:rPr>
        <w:t>۱۹۹۲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را با سازوکاری هیجانی تکمیل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ترس از جاماندن بهای روانی پیروی نکردن از جمع را بالا می‌برد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یافته با دیدگاهی که هیجان‌ها را عامل نظام‌مند شکل‌دهندهٔ تصمیم می‌داند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لرنر و همکاران، </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نیز سازگار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سوم، رفتار توده‌وار کیفیت تصمیم را کاهش داد </w:t>
      </w:r>
      <w:r>
        <w:rPr>
          <w:rFonts w:eastAsia="Times New Roman" w:cs="B Nazanin"/>
          <w:sz w:val="26"/>
          <w:szCs w:val="26"/>
          <w:rtl w:val="true"/>
          <w:lang w:val="en-US" w:bidi="fa-IR"/>
        </w:rPr>
        <w:t>(</w:t>
      </w:r>
      <w:r>
        <w:rPr>
          <w:rFonts w:eastAsia="Times New Roman" w:cs="B Nazanin"/>
          <w:sz w:val="26"/>
          <w:szCs w:val="26"/>
          <w:lang w:val="en-US" w:bidi="fa-IR"/>
        </w:rPr>
        <w:t>‎β = −</w:t>
      </w:r>
      <w:r>
        <w:rPr>
          <w:rFonts w:ascii="Times New Roman" w:hAnsi="Times New Roman" w:eastAsia="Times New Roman"/>
          <w:sz w:val="26"/>
          <w:sz w:val="26"/>
          <w:szCs w:val="26"/>
          <w:lang w:val="en-US" w:bidi="fa-IR"/>
        </w:rPr>
        <w:t>۰٫۳۵‎</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همسو با شواهد دربارهٔ هزینهٔ معاملات تحت‌تأثیر عوامل غیربنیادی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باربر و اودین، </w:t>
      </w:r>
      <w:r>
        <w:rPr>
          <w:rFonts w:ascii="Times New Roman" w:hAnsi="Times New Roman" w:eastAsia="Times New Roman"/>
          <w:sz w:val="26"/>
          <w:sz w:val="26"/>
          <w:szCs w:val="26"/>
          <w:lang w:val="en-US" w:bidi="fa-IR"/>
        </w:rPr>
        <w:t>۲۰۰۰</w:t>
      </w:r>
      <w:r>
        <w:rPr>
          <w:rFonts w:ascii="Times New Roman" w:hAnsi="Times New Roman" w:eastAsia="Times New Roman"/>
          <w:sz w:val="26"/>
          <w:sz w:val="26"/>
          <w:szCs w:val="26"/>
          <w:rtl w:val="true"/>
          <w:lang w:val="en-US" w:bidi="fa-IR"/>
        </w:rPr>
        <w:t xml:space="preserve">؛ باربر و اودین، </w:t>
      </w:r>
      <w:r>
        <w:rPr>
          <w:rFonts w:ascii="Times New Roman" w:hAnsi="Times New Roman" w:eastAsia="Times New Roman"/>
          <w:sz w:val="26"/>
          <w:sz w:val="26"/>
          <w:szCs w:val="26"/>
          <w:lang w:val="en-US" w:bidi="fa-IR"/>
        </w:rPr>
        <w:t>۲۰۰۱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با پژوهش‌های داخلی که ارتباط سوگیری‌های رفتاری با عملکرد سرمایه‌گذاران حقیقی را نشان داده‌اند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جمشیدی و همکاران، </w:t>
      </w:r>
      <w:r>
        <w:rPr>
          <w:rFonts w:ascii="Times New Roman" w:hAnsi="Times New Roman" w:eastAsia="Times New Roman"/>
          <w:sz w:val="26"/>
          <w:sz w:val="26"/>
          <w:szCs w:val="26"/>
          <w:lang w:val="en-US" w:bidi="fa-IR"/>
        </w:rPr>
        <w:t>۱۳۹۸</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نکتهٔ مهم، الگوی میانجی‌گری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اثر مستقیم فومو بر کیفیت تصمیم، پس از کنترل رفتار توده‌وار، معنادار نبود و اثر کل مواجهه بر کیفیت تصمیم تقریباً به‌طور کامل از مسیرهای غیرمستقیم منتقل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تفسیر نظری این است که فومو در نهایت از طریق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عمل هم‌جهت‌شدن</w:t>
      </w:r>
      <w:r>
        <w:rPr>
          <w:rFonts w:eastAsia="Times New Roman" w:cs="B Nazanin"/>
          <w:sz w:val="26"/>
          <w:szCs w:val="26"/>
          <w:rtl w:val="true"/>
          <w:lang w:val="en-US" w:bidi="fa-IR"/>
        </w:rPr>
        <w:t>» (</w:t>
      </w:r>
      <w:r>
        <w:rPr>
          <w:rFonts w:ascii="Times New Roman" w:hAnsi="Times New Roman" w:eastAsia="Times New Roman"/>
          <w:sz w:val="26"/>
          <w:sz w:val="26"/>
          <w:szCs w:val="26"/>
          <w:rtl w:val="true"/>
          <w:lang w:val="en-US" w:bidi="fa-IR"/>
        </w:rPr>
        <w:t>و نه صرفاً از طریق اضطراب</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 کیفیت تصمیم اثر می‌گذارد؛ مداخله بر رفتار می‌تواند مؤثرتر از مداخله بر هیجان باشد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این حال، چون ترتیب علّی فومو و توده‌واری از نظر آماری قابل‌تفکیک نیست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مدل‌های هم‌ارز</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این تفسیر باید با طرح‌های طولی یا آزمایشی آزموده شود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از نظر تعدیل‌گری، استفاده از اطلاعات حسابداری شیب فومو ← توده‌واری را به‌طور معنادار کاهش داد؛ شیب استاندارد در سطح بالای اطلاعات حسابداری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۰٫۲۲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حدود </w:t>
      </w:r>
      <w:r>
        <w:rPr>
          <w:rFonts w:ascii="Times New Roman" w:hAnsi="Times New Roman" w:eastAsia="Times New Roman"/>
          <w:sz w:val="26"/>
          <w:sz w:val="26"/>
          <w:szCs w:val="26"/>
          <w:lang w:val="en-US" w:bidi="fa-IR"/>
        </w:rPr>
        <w:t>۶۴</w:t>
      </w:r>
      <w:r>
        <w:rPr>
          <w:rFonts w:ascii="Times New Roman" w:hAnsi="Times New Roman" w:eastAsia="Times New Roman"/>
          <w:sz w:val="26"/>
          <w:sz w:val="26"/>
          <w:szCs w:val="26"/>
          <w:rtl w:val="true"/>
          <w:lang w:val="en-US" w:bidi="fa-IR"/>
        </w:rPr>
        <w:t xml:space="preserve">٪ کمتر از سطح پایین آن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۰٫۶۰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یافته با دیدگاه آبشارهای اطلاعاتی دربارهٔ نقش دقت سیگنال خصوصی سازگار است و ایده‌ای را که لارنس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میلر و اسکینر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دربارهٔ ارزش افشای مالی برای سرمایه‌گذاران خرد طرح کرده‌اند، به قلمرو رفتاری گسترش می‌دهد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همچنین با یافتهٔ بهارمقدم و جوکار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که کیفیت بالاتر اطلاعات حسابداری شدت رفتارهای احساسی را در قیمت‌گذاری کاهش می‌دهد هم‌سو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شاخص میانجی‌گری تعدیل‌شده نیز نشان داد اثر غیرمستقیم منفی در سطوح بالای استفاده از اطلاعات حسابداری کوچک‌تر است، اگرچه هرگز کاملاً حذف نمی‌شود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دانش‌افزایی نظری</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پیوند میان ادبیات شبکه‌های اجتماعی در مالی و ادبیات توده‌واری از طریق سازهٔ فومو؛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معرفی استفاده از اطلاعات حسابداری به‌عنوان تعدیل‌گر رفتاری، که حسابداری را از نقش صرفاً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محتوایی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نقش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ضدسوگیری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می‌برد؛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برآورد یکپارچهٔ مدل با همهٔ گویه‌ها و بدون تجمیع، که خطای اندازه‌گیری را کنترل می‌کند؛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ارائهٔ ابزار و کد بازتولیدپذیر برای آزمون مدل در بازارهای دیگر</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پیشنهادهای کاربردی و سیاستی</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برای نهاد ناظر بازار سرمایه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الزام یا تشویق به افشای شفاف تعارض منافع و پشتوانهٔ مالی در تحلیل‌های منتشرشده در شبکه‌ها؛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برای ناشران</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انتشار خلاصه‌های ساده و قابل‌فهم از گزارش‌های مالی در همان کانال‌هایی که سرمایه‌گذاران خرد دنبال می‌کنند، تا اطلاعات حسابداری در رقابت توجه از دست نرود؛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برای کارگزاری‌ها</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ادغام شاخص‌های بنیادی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مانند سود هر سهم و نسبت‌های مالی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پلتفرم‌های معاملاتی و هشدارهای رفتاری هنگام معاملات پرشتاب؛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برای نهادهای آموزشی و انجمن‌های حرفه‌ای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آموزش خواندن صورت‌های مالی با تمرکز بر مدیریت فومو؛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برای سرمایه‌گذاران</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قاعدهٔ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بررسی صورت‌های مالی پیش از معاملهٔ برخاسته از یک محتوای شبکه‌ای</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محدودیت‌ها و پیشنهاد پژوهش‌های آینده</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مهم‌ترین محدودیت شبیه‌سازی‌بودن داده است؛ بنابراین نخستین گام آینده اجرای پرسشنامهٔ پیوست روی نمونهٔ واقعی با اعتبارسنجی ابزار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دیگر محدودیت‌ها عبارت‌اند از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نسبت مشاهده به پارامتر کمتر از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هرچند توان آزمون کافی است</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طرح مقطعی و ناتوانی در تفکیک ترتیب علّی؛ اندازه‌گیری خودگزارشی مواجهه و کیفیت تصمیم؛ و نبود مقیاس استاندارد فارسی برای سازه‌ها</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پژوهش‌های بعدی می‌توانند از داده‌های ردپای دیجیتال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مانند تحلیل متن کانال‌ها</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طرح‌های طولی، و مقایسهٔ چندگروهی بر پایهٔ تجربهٔ زیان در ریزش بازار بهره بگیرند؛ مورد اخیر در مقالهٔ همراه این پژوهش بررسی شده است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دسترسی به داده و کد</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پرسشنامه، داده‌ٔ شبیه‌سازی‌شده، کد پایتون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قابل‌اجرا در </w:t>
      </w:r>
      <w:r>
        <w:rPr>
          <w:rFonts w:eastAsia="Times New Roman" w:cs="B Nazanin"/>
          <w:sz w:val="26"/>
          <w:szCs w:val="26"/>
          <w:lang w:val="en-US" w:bidi="fa-IR"/>
        </w:rPr>
        <w:t>Google Colab</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خروجی‌ها در مخزن پیوست شده‌اند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داده‌ٔ این مقاله و داده‌ٔ مقالهٔ همراه از دو شبیه‌سازی مستقل با بذر و پارامتر متفاوت تولید شده‌اند؛ در پژوهش واقعی، اگر هر دو مقاله از یک پیمایش بهره ببرند، باید این موضوع در هر دو مقاله افشا و به یکدیگر ارجاع داده شود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منابع</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منابع فارسی</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بدری، احمد و گودرزی، ندا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مالی رفتاری، سوگیری نماگری و متغیرهای بینادی حسابداری</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شواهدی از بورس اوراق بهادار تهران، مطالعات تجربی حسابداری مالی، </w:t>
      </w:r>
      <w:r>
        <w:rPr>
          <w:rFonts w:ascii="Times New Roman" w:hAnsi="Times New Roman" w:eastAsia="Times New Roman"/>
          <w:sz w:val="24"/>
          <w:sz w:val="24"/>
          <w:szCs w:val="24"/>
          <w:lang w:val="en-US" w:bidi="fa-IR"/>
        </w:rPr>
        <w:t>۱۱</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۴۳</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۵۷</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۸۸</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بهارمقدم، مهدی و جوکار، حسین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۱۳۹۷</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 تأثیر کیفیت اطلاعات حسابداری و عدم‌اطمینان اطلاعاتی بر تمایلات سرمایه‌گذاران، بررسی‌های حسابداری و حسابرسی، </w:t>
      </w:r>
      <w:r>
        <w:rPr>
          <w:rFonts w:ascii="Times New Roman" w:hAnsi="Times New Roman" w:eastAsia="Times New Roman"/>
          <w:sz w:val="24"/>
          <w:sz w:val="24"/>
          <w:szCs w:val="24"/>
          <w:lang w:val="en-US" w:bidi="fa-IR"/>
        </w:rPr>
        <w:t>۲۵</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۲۱</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۵۰</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ترازودار، میترا؛ قاسمی، مصطفی و محسنی، عبدالرضا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۱۴۰۲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ارائه مدلی به منظور شناسایی تأثیر تورش‌های رفتاری و سواد مالی و نقش آنها بر تصمیم‌گیری سرمایه‌گذاران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مبتنی بر رویکرد گراندد تئوری</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دانش حسابداری، </w:t>
      </w:r>
      <w:r>
        <w:rPr>
          <w:rFonts w:ascii="Times New Roman" w:hAnsi="Times New Roman" w:eastAsia="Times New Roman"/>
          <w:sz w:val="24"/>
          <w:sz w:val="24"/>
          <w:szCs w:val="24"/>
          <w:lang w:val="en-US" w:bidi="fa-IR"/>
        </w:rPr>
        <w:t>۱۴</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۵۵</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جمشیدی، ناصر؛ قالیباف اصل، حسن و فدایی‌نژاد، محمداسماعیل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۱۳۹۸</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 سوگیری‌های رفتاری و عملکرد سرمایه‌گذاران حقیقی بورس اوراق بهادار تهران، تحقیقات مالی، </w:t>
      </w:r>
      <w:r>
        <w:rPr>
          <w:rFonts w:ascii="Times New Roman" w:hAnsi="Times New Roman" w:eastAsia="Times New Roman"/>
          <w:sz w:val="24"/>
          <w:sz w:val="24"/>
          <w:szCs w:val="24"/>
          <w:lang w:val="en-US" w:bidi="fa-IR"/>
        </w:rPr>
        <w:t>۲۱</w:t>
      </w:r>
      <w:r>
        <w:rPr>
          <w:rFonts w:eastAsia="Times New Roman" w:cs="B Nazanin"/>
          <w:sz w:val="24"/>
          <w:szCs w:val="24"/>
          <w:rtl w:val="true"/>
          <w:lang w:val="en-US" w:bidi="fa-IR"/>
        </w:rPr>
        <w:t>(</w:t>
      </w:r>
      <w:r>
        <w:rPr>
          <w:rFonts w:ascii="Times New Roman" w:hAnsi="Times New Roman" w:eastAsia="Times New Roman"/>
          <w:sz w:val="24"/>
          <w:sz w:val="24"/>
          <w:szCs w:val="24"/>
          <w:highlight w:val="yellow"/>
          <w:rtl w:val="true"/>
          <w:lang w:val="en-US" w:bidi="fa-IR"/>
        </w:rPr>
        <w:t>شماره</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۱۴۳</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۱۶۴</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حیدری هراتمه، مصطفی؛ آرایی، وحید و اسلامی، سیدمحمود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۱۴۰۲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تأثیر رسانه‌ها و شبکه‌های اجتماعی و مجازی بر خط‌مشی و تصمیمات سرمایه‌گذاران بازارهای مالی، مطالعات فرهنگ ـ ارتباطات، </w:t>
      </w:r>
      <w:r>
        <w:rPr>
          <w:rFonts w:ascii="Times New Roman" w:hAnsi="Times New Roman" w:eastAsia="Times New Roman"/>
          <w:sz w:val="24"/>
          <w:sz w:val="24"/>
          <w:szCs w:val="24"/>
          <w:lang w:val="en-US" w:bidi="fa-IR"/>
        </w:rPr>
        <w:t>۲۴</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۶۳</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۷</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۲۴</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ندیری، محمد و پناهیان، حمیدرضا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۱۴۰۳</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احساسات عقلانی و غیرعقلانی سرمایه‌گذاران و بازده بازار سهام</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شواهدی از بورس اوراق بهادار تهران، تحقیقات مالی، </w:t>
      </w:r>
      <w:r>
        <w:rPr>
          <w:rFonts w:ascii="Times New Roman" w:hAnsi="Times New Roman" w:eastAsia="Times New Roman"/>
          <w:sz w:val="24"/>
          <w:sz w:val="24"/>
          <w:szCs w:val="24"/>
          <w:lang w:val="en-US" w:bidi="fa-IR"/>
        </w:rPr>
        <w:t>۲۶</w:t>
      </w:r>
      <w:r>
        <w:rPr>
          <w:rFonts w:eastAsia="Times New Roman" w:cs="B Nazanin"/>
          <w:sz w:val="24"/>
          <w:szCs w:val="24"/>
          <w:rtl w:val="true"/>
          <w:lang w:val="en-US" w:bidi="fa-IR"/>
        </w:rPr>
        <w:t>(</w:t>
      </w:r>
      <w:r>
        <w:rPr>
          <w:rFonts w:ascii="Times New Roman" w:hAnsi="Times New Roman" w:eastAsia="Times New Roman"/>
          <w:sz w:val="24"/>
          <w:sz w:val="24"/>
          <w:szCs w:val="24"/>
          <w:highlight w:val="yellow"/>
          <w:rtl w:val="true"/>
          <w:lang w:val="en-US" w:bidi="fa-IR"/>
        </w:rPr>
        <w:t>شماره</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نمازی، محمد و زراعتگری، رامین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۱۳۹۹</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 اطلاعات حسابداری مورد علاقه سرمایه‌گذاران فعال در بورس اوراق بهادار تهران بر اساس تیپ شخصیتی آنان، پژوهش‌های تجربی حسابداری، </w:t>
      </w:r>
      <w:r>
        <w:rPr>
          <w:rFonts w:ascii="Times New Roman" w:hAnsi="Times New Roman" w:eastAsia="Times New Roman"/>
          <w:sz w:val="24"/>
          <w:sz w:val="24"/>
          <w:szCs w:val="24"/>
          <w:lang w:val="en-US" w:bidi="fa-IR"/>
        </w:rPr>
        <w:t>۱۰</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۴</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100" w:after="60"/>
        <w:jc w:val="both"/>
        <w:rPr/>
      </w:pPr>
      <w:r>
        <w:rPr>
          <w:rFonts w:ascii="Times New Roman" w:hAnsi="Times New Roman" w:eastAsia="Times New Roman"/>
          <w:b/>
          <w:b/>
          <w:bCs/>
          <w:sz w:val="24"/>
          <w:sz w:val="24"/>
          <w:szCs w:val="24"/>
          <w:rtl w:val="true"/>
          <w:lang w:val="en-US" w:bidi="fa-IR"/>
        </w:rPr>
        <w:t>منابع لاتین</w:t>
      </w:r>
    </w:p>
    <w:p>
      <w:pPr>
        <w:pStyle w:val="Normal"/>
        <w:spacing w:lineRule="auto" w:line="240" w:before="0" w:after="30"/>
        <w:jc w:val="left"/>
        <w:rPr/>
      </w:pPr>
      <w:r>
        <w:rPr>
          <w:rFonts w:eastAsia="Times New Roman" w:cs="Times New Roman"/>
          <w:sz w:val="24"/>
          <w:szCs w:val="24"/>
          <w:lang w:val="en-US" w:bidi="fa-IR"/>
        </w:rPr>
        <w:t>Abel, J. P., Buff, C. L., &amp; Burr, S. A. (2016). Social media and the fear of missing out: Scale development and assessment. Journal of Business &amp; Economic Research, 14(1), 33–44. https://doi.org/10.19030/jber.v14i1.9554</w:t>
      </w:r>
    </w:p>
    <w:p>
      <w:pPr>
        <w:pStyle w:val="Normal"/>
        <w:spacing w:lineRule="auto" w:line="240" w:before="0" w:after="30"/>
        <w:jc w:val="left"/>
        <w:rPr/>
      </w:pPr>
      <w:r>
        <w:rPr>
          <w:rFonts w:eastAsia="Times New Roman" w:cs="Times New Roman"/>
          <w:sz w:val="24"/>
          <w:szCs w:val="24"/>
          <w:lang w:val="en-US" w:bidi="fa-IR"/>
        </w:rPr>
        <w:t>Ball, R., &amp; Brown, P. (1968). An empirical evaluation of accounting income numbers. Journal of Accounting Research, 6(2), 159–178. https://doi.org/10.2307/2490232</w:t>
      </w:r>
    </w:p>
    <w:p>
      <w:pPr>
        <w:pStyle w:val="Normal"/>
        <w:spacing w:lineRule="auto" w:line="240" w:before="0" w:after="30"/>
        <w:jc w:val="left"/>
        <w:rPr/>
      </w:pPr>
      <w:r>
        <w:rPr>
          <w:rFonts w:eastAsia="Times New Roman" w:cs="Times New Roman"/>
          <w:sz w:val="24"/>
          <w:szCs w:val="24"/>
          <w:lang w:val="en-US" w:bidi="fa-IR"/>
        </w:rPr>
        <w:t>Banerjee, A. V. (1992). A simple model of herd behavior. The Quarterly Journal of Economics, 107(3), 797–817. https://doi.org/10.2307/2118364</w:t>
      </w:r>
    </w:p>
    <w:p>
      <w:pPr>
        <w:pStyle w:val="Normal"/>
        <w:spacing w:lineRule="auto" w:line="240" w:before="0" w:after="30"/>
        <w:jc w:val="left"/>
        <w:rPr/>
      </w:pPr>
      <w:r>
        <w:rPr>
          <w:rFonts w:eastAsia="Times New Roman" w:cs="Times New Roman"/>
          <w:sz w:val="24"/>
          <w:szCs w:val="24"/>
          <w:lang w:val="en-US" w:bidi="fa-IR"/>
        </w:rPr>
        <w:t>Barber, B. M., &amp; Odean, T. (2000). Trading is hazardous to your wealth: The common stock investment performance of individual investors. The Journal of Finance, 55(2), 773–806. https://doi.org/10.1111/0022-1082.00226</w:t>
      </w:r>
    </w:p>
    <w:p>
      <w:pPr>
        <w:pStyle w:val="Normal"/>
        <w:spacing w:lineRule="auto" w:line="240" w:before="0" w:after="30"/>
        <w:jc w:val="left"/>
        <w:rPr/>
      </w:pPr>
      <w:r>
        <w:rPr>
          <w:rFonts w:eastAsia="Times New Roman" w:cs="Times New Roman"/>
          <w:sz w:val="24"/>
          <w:szCs w:val="24"/>
          <w:lang w:val="en-US" w:bidi="fa-IR"/>
        </w:rPr>
        <w:t>Barber, B. M., &amp; Odean, T. (2001). Boys will be boys: Gender, overconfidence, and common stock investment. The Quarterly Journal of Economics, 116(1), 261–292. https://doi.org/10.1162/003355301556400</w:t>
      </w:r>
    </w:p>
    <w:p>
      <w:pPr>
        <w:pStyle w:val="Normal"/>
        <w:spacing w:lineRule="auto" w:line="240" w:before="0" w:after="30"/>
        <w:jc w:val="left"/>
        <w:rPr/>
      </w:pPr>
      <w:r>
        <w:rPr>
          <w:rFonts w:eastAsia="Times New Roman" w:cs="Times New Roman"/>
          <w:sz w:val="24"/>
          <w:szCs w:val="24"/>
          <w:lang w:val="en-US" w:bidi="fa-IR"/>
        </w:rPr>
        <w:t>Barber, B. M., &amp; Odean, T. (2008). All that glitters: The effect of attention and news on the buying behavior of individual and institutional investors. The Review of Financial Studies, 21(2), 785–818. https://doi.org/10.1093/rfs/hhm079</w:t>
      </w:r>
    </w:p>
    <w:p>
      <w:pPr>
        <w:pStyle w:val="Normal"/>
        <w:spacing w:lineRule="auto" w:line="240" w:before="0" w:after="30"/>
        <w:jc w:val="left"/>
        <w:rPr/>
      </w:pPr>
      <w:r>
        <w:rPr>
          <w:rFonts w:eastAsia="Times New Roman" w:cs="Times New Roman"/>
          <w:sz w:val="24"/>
          <w:szCs w:val="24"/>
          <w:lang w:val="en-US" w:bidi="fa-IR"/>
        </w:rPr>
        <w:t>Bartov, E., Faurel, L., &amp; Mohanram, P. S. (2018). Can Twitter help predict firm-level earnings and stock returns? The Accounting Review, 93(3), 25–57. https://doi.org/10.2308/accr-51865</w:t>
      </w:r>
    </w:p>
    <w:p>
      <w:pPr>
        <w:pStyle w:val="Normal"/>
        <w:spacing w:lineRule="auto" w:line="240" w:before="0" w:after="30"/>
        <w:jc w:val="left"/>
        <w:rPr/>
      </w:pPr>
      <w:r>
        <w:rPr>
          <w:rFonts w:eastAsia="Times New Roman" w:cs="Times New Roman"/>
          <w:sz w:val="24"/>
          <w:szCs w:val="24"/>
          <w:lang w:val="en-US" w:bidi="fa-IR"/>
        </w:rPr>
        <w:t>Beaver, W. H. (1968). The information content of annual earnings announcements. Journal of Accounting Research, 6, 67–92. https://doi.org/10.2307/2490070</w:t>
      </w:r>
    </w:p>
    <w:p>
      <w:pPr>
        <w:pStyle w:val="Normal"/>
        <w:spacing w:lineRule="auto" w:line="240" w:before="0" w:after="30"/>
        <w:jc w:val="left"/>
        <w:rPr/>
      </w:pPr>
      <w:r>
        <w:rPr>
          <w:rFonts w:eastAsia="Times New Roman" w:cs="Times New Roman"/>
          <w:sz w:val="24"/>
          <w:szCs w:val="24"/>
          <w:lang w:val="en-US" w:bidi="fa-IR"/>
        </w:rPr>
        <w:t>Bikhchandani, S., &amp; Sharma, S. (2001). Herd behavior in financial markets. IMF Staff Papers, 47(3), 279–310. https://doi.org/10.2307/4621672</w:t>
      </w:r>
    </w:p>
    <w:p>
      <w:pPr>
        <w:pStyle w:val="Normal"/>
        <w:spacing w:lineRule="auto" w:line="240" w:before="0" w:after="30"/>
        <w:jc w:val="left"/>
        <w:rPr/>
      </w:pPr>
      <w:r>
        <w:rPr>
          <w:rFonts w:eastAsia="Times New Roman" w:cs="Times New Roman"/>
          <w:sz w:val="24"/>
          <w:szCs w:val="24"/>
          <w:lang w:val="en-US" w:bidi="fa-IR"/>
        </w:rPr>
        <w:t>Bikhchandani, S., Hirshleifer, D., &amp; Welch, I. (1992). A theory of fads, fashion, custom, and cultural change as informational cascades. Journal of Political Economy, 100(5), 992–1026. https://doi.org/10.1086/261849</w:t>
      </w:r>
    </w:p>
    <w:p>
      <w:pPr>
        <w:pStyle w:val="Normal"/>
        <w:spacing w:lineRule="auto" w:line="240" w:before="0" w:after="30"/>
        <w:jc w:val="left"/>
        <w:rPr/>
      </w:pPr>
      <w:r>
        <w:rPr>
          <w:rFonts w:eastAsia="Times New Roman" w:cs="Times New Roman"/>
          <w:sz w:val="24"/>
          <w:szCs w:val="24"/>
          <w:lang w:val="en-US" w:bidi="fa-IR"/>
        </w:rPr>
        <w:t>Blankespoor, E., Miller, G. S., &amp; White, H. D. (2014). The role of dissemination in market liquidity: Evidence from firms' use of Twitter. The Accounting Review, 89(1), 79–112. https://doi.org/10.2308/accr-50576</w:t>
      </w:r>
    </w:p>
    <w:p>
      <w:pPr>
        <w:pStyle w:val="Normal"/>
        <w:spacing w:lineRule="auto" w:line="240" w:before="0" w:after="30"/>
        <w:jc w:val="left"/>
        <w:rPr/>
      </w:pPr>
      <w:r>
        <w:rPr>
          <w:rFonts w:eastAsia="Times New Roman" w:cs="Times New Roman"/>
          <w:sz w:val="24"/>
          <w:szCs w:val="24"/>
          <w:lang w:val="en-US" w:bidi="fa-IR"/>
        </w:rPr>
        <w:t>Bollen, J., Mao, H., &amp; Zeng, X. (2011). Twitter mood predicts the stock market. Journal of Computational Science, 2(1), 1–8. https://doi.org/10.1016/j.jocs.2010.12.007</w:t>
      </w:r>
    </w:p>
    <w:p>
      <w:pPr>
        <w:pStyle w:val="Normal"/>
        <w:spacing w:lineRule="auto" w:line="240" w:before="0" w:after="30"/>
        <w:jc w:val="left"/>
        <w:rPr/>
      </w:pPr>
      <w:r>
        <w:rPr>
          <w:rFonts w:eastAsia="Times New Roman" w:cs="Times New Roman"/>
          <w:sz w:val="24"/>
          <w:szCs w:val="24"/>
          <w:lang w:val="en-US" w:bidi="fa-IR"/>
        </w:rPr>
        <w:t>Bruine de Bruin, W., Parker, A. M., &amp; Fischhoff, B. (2007). Individual differences in adult decision-making competence. Journal of Personality and Social Psychology, 92(5), 938–956. https://doi.org/10.1037/0022-3514.92.5.938</w:t>
      </w:r>
    </w:p>
    <w:p>
      <w:pPr>
        <w:pStyle w:val="Normal"/>
        <w:spacing w:lineRule="auto" w:line="240" w:before="0" w:after="30"/>
        <w:jc w:val="left"/>
        <w:rPr/>
      </w:pPr>
      <w:r>
        <w:rPr>
          <w:rFonts w:eastAsia="Times New Roman" w:cs="Times New Roman"/>
          <w:sz w:val="24"/>
          <w:szCs w:val="24"/>
          <w:lang w:val="en-US" w:bidi="fa-IR"/>
        </w:rPr>
        <w:t>Chang, E. C., Cheng, J. W., &amp; Khorana, A. (2000). An examination of herd behavior in equity markets: An international perspective. Journal of Banking &amp; Finance, 24(10), 1651–1679. https://doi.org/10.1016/S0378-4266(99)00096-5</w:t>
      </w:r>
    </w:p>
    <w:p>
      <w:pPr>
        <w:pStyle w:val="Normal"/>
        <w:spacing w:lineRule="auto" w:line="240" w:before="0" w:after="30"/>
        <w:jc w:val="left"/>
        <w:rPr/>
      </w:pPr>
      <w:r>
        <w:rPr>
          <w:rFonts w:eastAsia="Times New Roman" w:cs="Times New Roman"/>
          <w:sz w:val="24"/>
          <w:szCs w:val="24"/>
          <w:lang w:val="en-US" w:bidi="fa-IR"/>
        </w:rPr>
        <w:t>Chen, H., De, P., Hu, Y. J., &amp; Hwang, B.-H. (2014). Wisdom of crowds: The value of stock opinions transmitted through social media. The Review of Financial Studies, 27(5), 1367–1403. https://doi.org/10.1093/rfs/hhu001</w:t>
      </w:r>
    </w:p>
    <w:p>
      <w:pPr>
        <w:pStyle w:val="Normal"/>
        <w:spacing w:lineRule="auto" w:line="240" w:before="0" w:after="30"/>
        <w:jc w:val="left"/>
        <w:rPr/>
      </w:pPr>
      <w:r>
        <w:rPr>
          <w:rFonts w:eastAsia="Times New Roman" w:cs="Times New Roman"/>
          <w:sz w:val="24"/>
          <w:szCs w:val="24"/>
          <w:lang w:val="en-US" w:bidi="fa-IR"/>
        </w:rPr>
        <w:t>Chiang, T. C., &amp; Zheng, D. (2010). An empirical analysis of herd behavior in global stock markets. Journal of Banking &amp; Finance, 34(8), 1911–1921. https://doi.org/10.1016/j.jbankfin.2009.12.014</w:t>
      </w:r>
    </w:p>
    <w:p>
      <w:pPr>
        <w:pStyle w:val="Normal"/>
        <w:spacing w:lineRule="auto" w:line="240" w:before="0" w:after="30"/>
        <w:jc w:val="left"/>
        <w:rPr/>
      </w:pPr>
      <w:r>
        <w:rPr>
          <w:rFonts w:eastAsia="Times New Roman" w:cs="Times New Roman"/>
          <w:sz w:val="24"/>
          <w:szCs w:val="24"/>
          <w:lang w:val="en-US" w:bidi="fa-IR"/>
        </w:rPr>
        <w:t>Cohen, J. (1988). Statistical power analysis for the behavioral sciences (2nd ed.). Lawrence Erlbaum Associates</w:t>
      </w:r>
      <w:r>
        <w:rPr>
          <w:rFonts w:eastAsia="Times New Roman" w:cs="Times New Roman"/>
          <w:sz w:val="24"/>
          <w:szCs w:val="24"/>
          <w:rtl w:val="true"/>
          <w:lang w:val="en-US" w:bidi="fa-IR"/>
        </w:rPr>
        <w:t>.</w:t>
      </w:r>
    </w:p>
    <w:p>
      <w:pPr>
        <w:pStyle w:val="Normal"/>
        <w:spacing w:lineRule="auto" w:line="240" w:before="0" w:after="30"/>
        <w:jc w:val="left"/>
        <w:rPr/>
      </w:pPr>
      <w:r>
        <w:rPr>
          <w:rFonts w:eastAsia="Times New Roman" w:cs="Times New Roman"/>
          <w:sz w:val="24"/>
          <w:szCs w:val="24"/>
          <w:lang w:val="en-US" w:bidi="fa-IR"/>
        </w:rPr>
        <w:t>Cookson, J. A., &amp; Niessner, M. (2020). Why don't we agree? Evidence from a social network of investors. The Journal of Finance, 75(1), 173–228. https://doi.org/10.1111/jofi.12852</w:t>
      </w:r>
    </w:p>
    <w:p>
      <w:pPr>
        <w:pStyle w:val="Normal"/>
        <w:spacing w:lineRule="auto" w:line="240" w:before="0" w:after="30"/>
        <w:jc w:val="left"/>
        <w:rPr/>
      </w:pPr>
      <w:r>
        <w:rPr>
          <w:rFonts w:eastAsia="Times New Roman" w:cs="Times New Roman"/>
          <w:sz w:val="24"/>
          <w:szCs w:val="24"/>
          <w:lang w:val="en-US" w:bidi="fa-IR"/>
        </w:rPr>
        <w:t>Cookson, J. A., Engelberg, J. E., &amp; Mullins, W. (2023). Echo chambers. The Review of Financial Studies, 36(2), 450–500. https://doi.org/10.1093/rfs/hhac058</w:t>
      </w:r>
    </w:p>
    <w:p>
      <w:pPr>
        <w:pStyle w:val="Normal"/>
        <w:spacing w:lineRule="auto" w:line="240" w:before="0" w:after="30"/>
        <w:jc w:val="left"/>
        <w:rPr/>
      </w:pPr>
      <w:r>
        <w:rPr>
          <w:rFonts w:eastAsia="Times New Roman" w:cs="Times New Roman"/>
          <w:sz w:val="24"/>
          <w:szCs w:val="24"/>
          <w:lang w:val="en-US" w:bidi="fa-IR"/>
        </w:rPr>
        <w:t>Da, Z., Engelberg, J., &amp; Gao, P. (2011). In search of attention. The Journal of Finance, 66(5), 1461–1499. https://doi.org/10.1111/j.1540-6261.2011.01679.x</w:t>
      </w:r>
    </w:p>
    <w:p>
      <w:pPr>
        <w:pStyle w:val="Normal"/>
        <w:spacing w:lineRule="auto" w:line="240" w:before="0" w:after="30"/>
        <w:jc w:val="left"/>
        <w:rPr/>
      </w:pPr>
      <w:r>
        <w:rPr>
          <w:rFonts w:eastAsia="Times New Roman" w:cs="Times New Roman"/>
          <w:sz w:val="24"/>
          <w:szCs w:val="24"/>
          <w:lang w:val="en-US" w:bidi="fa-IR"/>
        </w:rPr>
        <w:t>Elliott, W. B., Grant, S. M., &amp; Hodge, F. D. (2018). Negative news and investor trust: The role of $Firm and #CEO Twitter use. Journal of Accounting Research, 56(5), 1483–1519. https://doi.org/10.1111/1475-679X.12217</w:t>
      </w:r>
    </w:p>
    <w:p>
      <w:pPr>
        <w:pStyle w:val="Normal"/>
        <w:spacing w:lineRule="auto" w:line="240" w:before="0" w:after="30"/>
        <w:jc w:val="left"/>
        <w:rPr/>
      </w:pPr>
      <w:r>
        <w:rPr>
          <w:rFonts w:eastAsia="Times New Roman" w:cs="Times New Roman"/>
          <w:sz w:val="24"/>
          <w:szCs w:val="24"/>
          <w:lang w:val="en-US" w:bidi="fa-IR"/>
        </w:rPr>
        <w:t>Festinger, L. (1954). A theory of social comparison processes. Human Relations, 7(2), 117–140. https://doi.org/10.1177/001872675400700202</w:t>
      </w:r>
    </w:p>
    <w:p>
      <w:pPr>
        <w:pStyle w:val="Normal"/>
        <w:spacing w:lineRule="auto" w:line="240" w:before="0" w:after="30"/>
        <w:jc w:val="left"/>
        <w:rPr/>
      </w:pPr>
      <w:r>
        <w:rPr>
          <w:rFonts w:eastAsia="Times New Roman" w:cs="Times New Roman"/>
          <w:sz w:val="24"/>
          <w:szCs w:val="24"/>
          <w:lang w:val="en-US" w:bidi="fa-IR"/>
        </w:rPr>
        <w:t>Fornell, C., &amp; Larcker, D. F. (1981). Evaluating structural equation models with unobservable variables and measurement error. Journal of Marketing Research, 18(1), 39–50. https://doi.org/10.1177/002224378101800104</w:t>
      </w:r>
    </w:p>
    <w:p>
      <w:pPr>
        <w:pStyle w:val="Normal"/>
        <w:spacing w:lineRule="auto" w:line="240" w:before="0" w:after="30"/>
        <w:jc w:val="left"/>
        <w:rPr/>
      </w:pPr>
      <w:r>
        <w:rPr>
          <w:rFonts w:eastAsia="Times New Roman" w:cs="Times New Roman"/>
          <w:sz w:val="24"/>
          <w:szCs w:val="24"/>
          <w:lang w:val="en-US" w:bidi="fa-IR"/>
        </w:rPr>
        <w:t>Henseler, J., Ringle, C. M., &amp; Sarstedt, M. (2015). A new criterion for assessing discriminant validity in variance-based structural equation modeling. Journal of the Academy of Marketing Science, 43(1), 115–135. https://doi.org/10.1007/s11747-014-0403-8</w:t>
      </w:r>
    </w:p>
    <w:p>
      <w:pPr>
        <w:pStyle w:val="Normal"/>
        <w:spacing w:lineRule="auto" w:line="240" w:before="0" w:after="30"/>
        <w:jc w:val="left"/>
        <w:rPr/>
      </w:pPr>
      <w:r>
        <w:rPr>
          <w:rFonts w:eastAsia="Times New Roman" w:cs="Times New Roman"/>
          <w:sz w:val="24"/>
          <w:szCs w:val="24"/>
          <w:lang w:val="en-US" w:bidi="fa-IR"/>
        </w:rPr>
        <w:t>Hirshleifer, D. (2001). Investor psychology and asset pricing. The Journal of Finance, 56(4), 1533–1597. https://doi.org/10.1111/0022-1082.00379</w:t>
      </w:r>
    </w:p>
    <w:p>
      <w:pPr>
        <w:pStyle w:val="Normal"/>
        <w:spacing w:lineRule="auto" w:line="240" w:before="0" w:after="30"/>
        <w:jc w:val="left"/>
        <w:rPr/>
      </w:pPr>
      <w:r>
        <w:rPr>
          <w:rFonts w:eastAsia="Times New Roman" w:cs="Times New Roman"/>
          <w:sz w:val="24"/>
          <w:szCs w:val="24"/>
          <w:lang w:val="en-US" w:bidi="fa-IR"/>
        </w:rPr>
        <w:t>Hirshleifer, D. (2020). Presidential address: Social transmission bias in economics and finance. The Journal of Finance, 75(4), 1779–1831. https://doi.org/10.1111/jofi.12906</w:t>
      </w:r>
    </w:p>
    <w:p>
      <w:pPr>
        <w:pStyle w:val="Normal"/>
        <w:spacing w:lineRule="auto" w:line="240" w:before="0" w:after="30"/>
        <w:jc w:val="left"/>
        <w:rPr/>
      </w:pPr>
      <w:r>
        <w:rPr>
          <w:rFonts w:eastAsia="Times New Roman" w:cs="Times New Roman"/>
          <w:sz w:val="24"/>
          <w:szCs w:val="24"/>
          <w:lang w:val="en-US" w:bidi="fa-IR"/>
        </w:rPr>
        <w:t>Hirshleifer, D., &amp; Teoh, S. H. (2003a). Herd behaviour and cascading in capital markets: A review and synthesis. European Financial Management, 9(1), 25–66. https://doi.org/10.1111/1468-036X.00207</w:t>
      </w:r>
    </w:p>
    <w:p>
      <w:pPr>
        <w:pStyle w:val="Normal"/>
        <w:spacing w:lineRule="auto" w:line="240" w:before="0" w:after="30"/>
        <w:jc w:val="left"/>
        <w:rPr/>
      </w:pPr>
      <w:r>
        <w:rPr>
          <w:rFonts w:eastAsia="Times New Roman" w:cs="Times New Roman"/>
          <w:sz w:val="24"/>
          <w:szCs w:val="24"/>
          <w:lang w:val="en-US" w:bidi="fa-IR"/>
        </w:rPr>
        <w:t>Hirshleifer, D., &amp; Teoh, S. H. (2003b). Limited attention, information disclosure, and financial reporting. Journal of Accounting and Economics, 36(1–3), 337–386. https://doi.org/10.1016/j.jacceco.2003.10.002</w:t>
      </w:r>
    </w:p>
    <w:p>
      <w:pPr>
        <w:pStyle w:val="Normal"/>
        <w:spacing w:lineRule="auto" w:line="240" w:before="0" w:after="30"/>
        <w:jc w:val="left"/>
        <w:rPr/>
      </w:pPr>
      <w:r>
        <w:rPr>
          <w:rFonts w:eastAsia="Times New Roman" w:cs="Times New Roman"/>
          <w:sz w:val="24"/>
          <w:szCs w:val="24"/>
          <w:lang w:val="en-US" w:bidi="fa-IR"/>
        </w:rPr>
        <w:t>Hong, H., Kubik, J. D., &amp; Stein, J. C. (2004). Social interaction and stock-market participation. The Journal of Finance, 59(1), 137–163. https://doi.org/10.1111/j.1540-6261.2004.00629.x</w:t>
      </w:r>
    </w:p>
    <w:p>
      <w:pPr>
        <w:pStyle w:val="Normal"/>
        <w:spacing w:lineRule="auto" w:line="240" w:before="0" w:after="30"/>
        <w:jc w:val="left"/>
        <w:rPr/>
      </w:pPr>
      <w:r>
        <w:rPr>
          <w:rFonts w:eastAsia="Times New Roman" w:cs="Times New Roman"/>
          <w:sz w:val="24"/>
          <w:szCs w:val="24"/>
          <w:lang w:val="en-US" w:bidi="fa-IR"/>
        </w:rPr>
        <w:t>Hu, L., &amp; Bentler, P. M. (1999). Cutoff criteria for fit indexes in covariance structure analysis: Conventional criteria versus new alternatives. Structural Equation Modeling, 6(1), 1–55. https://doi.org/10.1080/10705519909540118</w:t>
      </w:r>
    </w:p>
    <w:p>
      <w:pPr>
        <w:pStyle w:val="Normal"/>
        <w:spacing w:lineRule="auto" w:line="240" w:before="0" w:after="30"/>
        <w:jc w:val="left"/>
        <w:rPr/>
      </w:pPr>
      <w:r>
        <w:rPr>
          <w:rFonts w:eastAsia="Times New Roman" w:cs="Times New Roman"/>
          <w:sz w:val="24"/>
          <w:szCs w:val="24"/>
          <w:lang w:val="en-US" w:bidi="fa-IR"/>
        </w:rPr>
        <w:t>Igolkina, A. A., &amp; Meshcheryakov, G. (2020). semopy: A Python package for structural equation modeling. Structural Equation Modeling, 27(6), 952–963. https://doi.org/10.1080/10705511.2019.1704289</w:t>
      </w:r>
    </w:p>
    <w:p>
      <w:pPr>
        <w:pStyle w:val="Normal"/>
        <w:spacing w:lineRule="auto" w:line="240" w:before="0" w:after="30"/>
        <w:jc w:val="left"/>
        <w:rPr/>
      </w:pPr>
      <w:r>
        <w:rPr>
          <w:rFonts w:eastAsia="Times New Roman" w:cs="Times New Roman"/>
          <w:sz w:val="24"/>
          <w:szCs w:val="24"/>
          <w:lang w:val="en-US" w:bidi="fa-IR"/>
        </w:rPr>
        <w:t>Kline, R. B. (2023). Principles and practice of structural equation modeling (5th ed.). Guilford Press</w:t>
      </w:r>
      <w:r>
        <w:rPr>
          <w:rFonts w:eastAsia="Times New Roman" w:cs="Times New Roman"/>
          <w:sz w:val="24"/>
          <w:szCs w:val="24"/>
          <w:rtl w:val="true"/>
          <w:lang w:val="en-US" w:bidi="fa-IR"/>
        </w:rPr>
        <w:t>.</w:t>
      </w:r>
    </w:p>
    <w:p>
      <w:pPr>
        <w:pStyle w:val="Normal"/>
        <w:spacing w:lineRule="auto" w:line="240" w:before="0" w:after="30"/>
        <w:jc w:val="left"/>
        <w:rPr/>
      </w:pPr>
      <w:r>
        <w:rPr>
          <w:rFonts w:eastAsia="Times New Roman" w:cs="Times New Roman"/>
          <w:sz w:val="24"/>
          <w:szCs w:val="24"/>
          <w:lang w:val="en-US" w:bidi="fa-IR"/>
        </w:rPr>
        <w:t>Kumar, S., &amp; Goyal, N. (2015). Behavioural biases in investment decision making – a systematic literature review. Qualitative Research in Financial Markets, 7(1), 88–108. https://doi.org/10.1108/QRFM-06-2014-0022</w:t>
      </w:r>
    </w:p>
    <w:p>
      <w:pPr>
        <w:pStyle w:val="Normal"/>
        <w:spacing w:lineRule="auto" w:line="240" w:before="0" w:after="30"/>
        <w:jc w:val="left"/>
        <w:rPr/>
      </w:pPr>
      <w:r>
        <w:rPr>
          <w:rFonts w:eastAsia="Times New Roman" w:cs="Times New Roman"/>
          <w:sz w:val="24"/>
          <w:szCs w:val="24"/>
          <w:lang w:val="en-US" w:bidi="fa-IR"/>
        </w:rPr>
        <w:t>Lawrence, A. (2013). Individual investors and financial disclosure. Journal of Accounting and Economics, 56(1), 130–147. https://doi.org/10.1016/j.jacceco.2013.05.001</w:t>
      </w:r>
    </w:p>
    <w:p>
      <w:pPr>
        <w:pStyle w:val="Normal"/>
        <w:spacing w:lineRule="auto" w:line="240" w:before="0" w:after="30"/>
        <w:jc w:val="left"/>
        <w:rPr/>
      </w:pPr>
      <w:r>
        <w:rPr>
          <w:rFonts w:eastAsia="Times New Roman" w:cs="Times New Roman"/>
          <w:sz w:val="24"/>
          <w:szCs w:val="24"/>
          <w:lang w:val="en-US" w:bidi="fa-IR"/>
        </w:rPr>
        <w:t>Lerner, J. S., Li, Y., Valdesolo, P., &amp; Kassam, K. S. (2015). Emotion and decision making. Annual Review of Psychology, 66, 799–823. https://doi.org/10.1146/annurev-psych-010213-115043</w:t>
      </w:r>
    </w:p>
    <w:p>
      <w:pPr>
        <w:pStyle w:val="Normal"/>
        <w:spacing w:lineRule="auto" w:line="240" w:before="0" w:after="30"/>
        <w:jc w:val="left"/>
        <w:rPr/>
      </w:pPr>
      <w:r>
        <w:rPr>
          <w:rFonts w:eastAsia="Times New Roman" w:cs="Times New Roman"/>
          <w:sz w:val="24"/>
          <w:szCs w:val="24"/>
          <w:lang w:val="en-US" w:bidi="fa-IR"/>
        </w:rPr>
        <w:t>Li, C.-H. (2016). Confirmatory factor analysis with ordinal data: Comparing robust maximum likelihood and diagonally weighted least squares. Behavior Research Methods, 48(3), 936–949. https://doi.org/10.3758/s13428-015-0619-7</w:t>
      </w:r>
    </w:p>
    <w:p>
      <w:pPr>
        <w:pStyle w:val="Normal"/>
        <w:spacing w:lineRule="auto" w:line="240" w:before="0" w:after="30"/>
        <w:jc w:val="left"/>
        <w:rPr/>
      </w:pPr>
      <w:r>
        <w:rPr>
          <w:rFonts w:eastAsia="Times New Roman" w:cs="Times New Roman"/>
          <w:sz w:val="24"/>
          <w:szCs w:val="24"/>
          <w:lang w:val="en-US" w:bidi="fa-IR"/>
        </w:rPr>
        <w:t>Little, T. D., Bovaird, J. A., &amp; Widaman, K. F. (2006). On the merits of orthogonalizing powered and product terms: Implications for modeling interactions among latent variables. Structural Equation Modeling, 13(4), 497–519. https://doi.org/10.1207/s15328007sem1304_1</w:t>
      </w:r>
    </w:p>
    <w:p>
      <w:pPr>
        <w:pStyle w:val="Normal"/>
        <w:spacing w:lineRule="auto" w:line="240" w:before="0" w:after="30"/>
        <w:jc w:val="left"/>
        <w:rPr/>
      </w:pPr>
      <w:r>
        <w:rPr>
          <w:rFonts w:eastAsia="Times New Roman" w:cs="Times New Roman"/>
          <w:sz w:val="24"/>
          <w:szCs w:val="24"/>
          <w:lang w:val="en-US" w:bidi="fa-IR"/>
        </w:rPr>
        <w:t>Loomes, G., &amp; Sugden, R. (1982). Regret theory: An alternative theory of rational choice under uncertainty. The Economic Journal, 92(368), 805–824. https://doi.org/10.2307/2232669</w:t>
      </w:r>
    </w:p>
    <w:p>
      <w:pPr>
        <w:pStyle w:val="Normal"/>
        <w:spacing w:lineRule="auto" w:line="240" w:before="0" w:after="30"/>
        <w:jc w:val="left"/>
        <w:rPr/>
      </w:pPr>
      <w:r>
        <w:rPr>
          <w:rFonts w:eastAsia="Times New Roman" w:cs="Times New Roman"/>
          <w:sz w:val="24"/>
          <w:szCs w:val="24"/>
          <w:lang w:val="en-US" w:bidi="fa-IR"/>
        </w:rPr>
        <w:t>MacCallum, R. C., Browne, M. W., &amp; Sugawara, H. M. (1996). Power analysis and determination of sample size for covariance structure modeling. Psychological Methods, 1(2), 130–149. https://doi.org/10.1037/1082-989X.1.2.130</w:t>
      </w:r>
    </w:p>
    <w:p>
      <w:pPr>
        <w:pStyle w:val="Normal"/>
        <w:spacing w:lineRule="auto" w:line="240" w:before="0" w:after="30"/>
        <w:jc w:val="left"/>
        <w:rPr/>
      </w:pPr>
      <w:r>
        <w:rPr>
          <w:rFonts w:eastAsia="Times New Roman" w:cs="Times New Roman"/>
          <w:sz w:val="24"/>
          <w:szCs w:val="24"/>
          <w:lang w:val="en-US" w:bidi="fa-IR"/>
        </w:rPr>
        <w:t>Mardia, K. V. (1970). Measures of multivariate skewness and kurtosis with applications. Biometrika, 57(3), 519–530. https://doi.org/10.1093/biomet/57.3.519</w:t>
      </w:r>
    </w:p>
    <w:p>
      <w:pPr>
        <w:pStyle w:val="Normal"/>
        <w:spacing w:lineRule="auto" w:line="240" w:before="0" w:after="30"/>
        <w:jc w:val="left"/>
        <w:rPr/>
      </w:pPr>
      <w:r>
        <w:rPr>
          <w:rFonts w:eastAsia="Times New Roman" w:cs="Times New Roman"/>
          <w:sz w:val="24"/>
          <w:szCs w:val="24"/>
          <w:lang w:val="en-US" w:bidi="fa-IR"/>
        </w:rPr>
        <w:t>Marsh, H. W., Wen, Z., &amp; Hau, K.-T. (2004). Structural equation models of latent interactions: Evaluation of alternative estimation strategies and indicator construction. Psychological Methods, 9(3), 275–300. https://doi.org/10.1037/1082-989X.9.3.275</w:t>
      </w:r>
    </w:p>
    <w:p>
      <w:pPr>
        <w:pStyle w:val="Normal"/>
        <w:spacing w:lineRule="auto" w:line="240" w:before="0" w:after="30"/>
        <w:jc w:val="left"/>
        <w:rPr/>
      </w:pPr>
      <w:r>
        <w:rPr>
          <w:rFonts w:eastAsia="Times New Roman" w:cs="Times New Roman"/>
          <w:sz w:val="24"/>
          <w:szCs w:val="24"/>
          <w:lang w:val="en-US" w:bidi="fa-IR"/>
        </w:rPr>
        <w:t>Miller, G. S., &amp; Skinner, D. J. (2015). The evolving disclosure landscape: How changes in technology, the media, and capital markets are affecting disclosure. Journal of Accounting Research, 53(2), 221–239. https://doi.org/10.1111/1475-679X.12075</w:t>
      </w:r>
    </w:p>
    <w:p>
      <w:pPr>
        <w:pStyle w:val="Normal"/>
        <w:spacing w:lineRule="auto" w:line="240" w:before="0" w:after="30"/>
        <w:jc w:val="left"/>
        <w:rPr/>
      </w:pPr>
      <w:r>
        <w:rPr>
          <w:rFonts w:eastAsia="Times New Roman" w:cs="Times New Roman"/>
          <w:sz w:val="24"/>
          <w:szCs w:val="24"/>
          <w:lang w:val="en-US" w:bidi="fa-IR"/>
        </w:rPr>
        <w:t>Milyavskaya, M., Saffran, M., Hope, N., &amp; Koestner, R. (2018). Fear of missing out: Prevalence, dynamics, and consequences of experiencing FOMO. Motivation and Emotion, 42(5), 725–737. https://doi.org/10.1007/s11031-018-9683-5</w:t>
      </w:r>
    </w:p>
    <w:p>
      <w:pPr>
        <w:pStyle w:val="Normal"/>
        <w:spacing w:lineRule="auto" w:line="240" w:before="0" w:after="30"/>
        <w:jc w:val="left"/>
        <w:rPr/>
      </w:pPr>
      <w:r>
        <w:rPr>
          <w:rFonts w:eastAsia="Times New Roman" w:cs="Times New Roman"/>
          <w:sz w:val="24"/>
          <w:szCs w:val="24"/>
          <w:lang w:val="en-US" w:bidi="fa-IR"/>
        </w:rPr>
        <w:t>Odean, T. (1998). Are investors reluctant to realize their losses? The Journal of Finance, 53(5), 1775–1798. https://doi.org/10.1111/0022-1082.00072</w:t>
      </w:r>
    </w:p>
    <w:p>
      <w:pPr>
        <w:pStyle w:val="Normal"/>
        <w:spacing w:lineRule="auto" w:line="240" w:before="0" w:after="30"/>
        <w:jc w:val="left"/>
        <w:rPr/>
      </w:pPr>
      <w:r>
        <w:rPr>
          <w:rFonts w:eastAsia="Times New Roman" w:cs="Times New Roman"/>
          <w:sz w:val="24"/>
          <w:szCs w:val="24"/>
          <w:lang w:val="en-US" w:bidi="fa-IR"/>
        </w:rPr>
        <w:t>Parker, A. M., &amp; Fischhoff, B. (2005). Decision-making competence: External validation through an individual-differences approach. Journal of Behavioral Decision Making, 18(1), 1–27. https://doi.org/10.1002/bdm.481</w:t>
      </w:r>
    </w:p>
    <w:p>
      <w:pPr>
        <w:pStyle w:val="Normal"/>
        <w:spacing w:lineRule="auto" w:line="240" w:before="0" w:after="30"/>
        <w:jc w:val="left"/>
        <w:rPr/>
      </w:pPr>
      <w:r>
        <w:rPr>
          <w:rFonts w:eastAsia="Times New Roman" w:cs="Times New Roman"/>
          <w:sz w:val="24"/>
          <w:szCs w:val="24"/>
          <w:lang w:val="en-US" w:bidi="fa-IR"/>
        </w:rPr>
        <w:t>Podsakoff, P. M., MacKenzie, S. B., Lee, J.-Y., &amp; Podsakoff, N. P. (2003). Common method biases in behavioral research: A critical review of the literature and recommended remedies. Journal of Applied Psychology, 88(5), 879–903. https://doi.org/10.1037/0021-9010.88.5.879</w:t>
      </w:r>
    </w:p>
    <w:p>
      <w:pPr>
        <w:pStyle w:val="Normal"/>
        <w:spacing w:lineRule="auto" w:line="240" w:before="0" w:after="30"/>
        <w:jc w:val="left"/>
        <w:rPr/>
      </w:pPr>
      <w:r>
        <w:rPr>
          <w:rFonts w:eastAsia="Times New Roman" w:cs="Times New Roman"/>
          <w:sz w:val="24"/>
          <w:szCs w:val="24"/>
          <w:lang w:val="en-US" w:bidi="fa-IR"/>
        </w:rPr>
        <w:t>Preacher, K. J., &amp; Hayes, A. F. (2008). Asymptotic and resampling strategies for assessing and comparing indirect effects in multiple mediator models. Behavior Research Methods, 40(3), 879–891. https://doi.org/10.3758/BRM.40.3.879</w:t>
      </w:r>
    </w:p>
    <w:p>
      <w:pPr>
        <w:pStyle w:val="Normal"/>
        <w:spacing w:lineRule="auto" w:line="240" w:before="0" w:after="30"/>
        <w:jc w:val="left"/>
        <w:rPr/>
      </w:pPr>
      <w:r>
        <w:rPr>
          <w:rFonts w:eastAsia="Times New Roman" w:cs="Times New Roman"/>
          <w:sz w:val="24"/>
          <w:szCs w:val="24"/>
          <w:lang w:val="en-US" w:bidi="fa-IR"/>
        </w:rPr>
        <w:t>Preacher, K. J., Rucker, D. D., &amp; Hayes, A. F. (2007). Addressing moderated mediation hypotheses: Theory, methods, and prescriptions. Multivariate Behavioral Research, 42(1), 185–227. https://doi.org/10.1080/00273170701341316</w:t>
      </w:r>
    </w:p>
    <w:p>
      <w:pPr>
        <w:pStyle w:val="Normal"/>
        <w:spacing w:lineRule="auto" w:line="240" w:before="0" w:after="30"/>
        <w:jc w:val="left"/>
        <w:rPr/>
      </w:pPr>
      <w:r>
        <w:rPr>
          <w:rFonts w:eastAsia="Times New Roman" w:cs="Times New Roman"/>
          <w:sz w:val="24"/>
          <w:szCs w:val="24"/>
          <w:lang w:val="en-US" w:bidi="fa-IR"/>
        </w:rPr>
        <w:t>Przybylski, A. K., Murayama, K., DeHaan, C. R., &amp; Gladwell, V. (2013). Motivational, emotional, and behavioral correlates of fear of missing out. Computers in Human Behavior, 29(4), 1841–1848. https://doi.org/10.1016/j.chb.2013.02.014</w:t>
      </w:r>
    </w:p>
    <w:p>
      <w:pPr>
        <w:pStyle w:val="Normal"/>
        <w:spacing w:lineRule="auto" w:line="240" w:before="0" w:after="30"/>
        <w:jc w:val="left"/>
        <w:rPr/>
      </w:pPr>
      <w:r>
        <w:rPr>
          <w:rFonts w:eastAsia="Times New Roman" w:cs="Times New Roman"/>
          <w:sz w:val="24"/>
          <w:szCs w:val="24"/>
          <w:lang w:val="en-US" w:bidi="fa-IR"/>
        </w:rPr>
        <w:t>Rhemtulla, M., Brosseau-Liard, P. É., &amp; Savalei, V. (2012). When can categorical variables be treated as continuous? A comparison of robust continuous and categorical SEM estimation methods under suboptimal conditions. Psychological Methods, 17(3), 354–373. https://doi.org/10.1037/a0029315</w:t>
      </w:r>
    </w:p>
    <w:p>
      <w:pPr>
        <w:pStyle w:val="Normal"/>
        <w:spacing w:lineRule="auto" w:line="240" w:before="0" w:after="30"/>
        <w:jc w:val="left"/>
        <w:rPr/>
      </w:pPr>
      <w:r>
        <w:rPr>
          <w:rFonts w:eastAsia="Times New Roman" w:cs="Times New Roman"/>
          <w:sz w:val="24"/>
          <w:szCs w:val="24"/>
          <w:lang w:val="en-US" w:bidi="fa-IR"/>
        </w:rPr>
        <w:t>Scharfstein, D. S., &amp; Stein, J. C. (1990). Herd behavior and investment. The American Economic Review, 80(3), 465–479</w:t>
      </w:r>
      <w:r>
        <w:rPr>
          <w:rFonts w:eastAsia="Times New Roman" w:cs="Times New Roman"/>
          <w:sz w:val="24"/>
          <w:szCs w:val="24"/>
          <w:rtl w:val="true"/>
          <w:lang w:val="en-US" w:bidi="fa-IR"/>
        </w:rPr>
        <w:t>.</w:t>
      </w:r>
    </w:p>
    <w:p>
      <w:pPr>
        <w:pStyle w:val="Normal"/>
        <w:spacing w:lineRule="auto" w:line="240" w:before="0" w:after="30"/>
        <w:jc w:val="left"/>
        <w:rPr/>
      </w:pPr>
      <w:r>
        <w:rPr>
          <w:rFonts w:eastAsia="Times New Roman" w:cs="Times New Roman"/>
          <w:sz w:val="24"/>
          <w:szCs w:val="24"/>
          <w:lang w:val="en-US" w:bidi="fa-IR"/>
        </w:rPr>
        <w:t>Shiller, R. J. (2017). Narrative economics. American Economic Review, 107(4), 967–1004. https://doi.org/10.1257/aer.107.4.967</w:t>
      </w:r>
    </w:p>
    <w:p>
      <w:pPr>
        <w:pStyle w:val="Normal"/>
        <w:spacing w:lineRule="auto" w:line="240" w:before="0" w:after="30"/>
        <w:jc w:val="left"/>
        <w:rPr/>
      </w:pPr>
      <w:r>
        <w:rPr>
          <w:rFonts w:eastAsia="Times New Roman" w:cs="Times New Roman"/>
          <w:sz w:val="24"/>
          <w:szCs w:val="24"/>
          <w:lang w:val="en-US" w:bidi="fa-IR"/>
        </w:rPr>
        <w:t>Taylor, A. B., MacKinnon, D. P., &amp; Tein, J.-Y. (2008). Tests of the three-path mediated effect. Organizational Research Methods, 11(2), 241–269. https://doi.org/10.1177/1094428107300344</w:t>
      </w:r>
    </w:p>
    <w:p>
      <w:pPr>
        <w:pStyle w:val="Normal"/>
        <w:spacing w:lineRule="auto" w:line="240" w:before="0" w:after="30"/>
        <w:jc w:val="left"/>
        <w:rPr/>
      </w:pPr>
      <w:r>
        <w:rPr>
          <w:rFonts w:eastAsia="Times New Roman" w:cs="Times New Roman"/>
          <w:sz w:val="24"/>
          <w:szCs w:val="24"/>
          <w:lang w:val="en-US" w:bidi="fa-IR"/>
        </w:rPr>
        <w:t>Wolf, E. J., Harrington, K. M., Clark, S. L., &amp; Miller, M. W. (2013). Sample size requirements for structural equation models: An evaluation of power, bias, and solution propriety. Educational and Psychological Measurement, 73(6), 913–934. https://doi.org/10.1177/0013164413495237</w:t>
      </w:r>
    </w:p>
    <w:sectPr>
      <w:footerReference w:type="even" r:id="rId5"/>
      <w:footerReference w:type="default" r:id="rId6"/>
      <w:footerReference w:type="first" r:id="rId7"/>
      <w:footnotePr>
        <w:numFmt w:val="decimal"/>
      </w:footnotePr>
      <w:type w:val="nextPage"/>
      <w:pgSz w:w="11906" w:h="16838"/>
      <w:pgMar w:left="1417" w:right="1417" w:gutter="0" w:header="0" w:top="1417" w:footer="708" w:bottom="1417"/>
      <w:pgNumType w:fmt="decimal"/>
      <w:formProt w:val="false"/>
      <w:textDirection w:val="lrTb"/>
      <w:bidi/>
      <w:docGrid w:type="default" w:linePitch="100" w:charSpace="-409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25</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25</w:t>
    </w:r>
    <w:r>
      <w:rPr>
        <w:rtl w:val="true"/>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spacing w:lineRule="auto" w:line="240" w:before="0" w:after="0"/>
        <w:jc w:val="left"/>
        <w:rPr/>
      </w:pPr>
      <w:r>
        <w:rPr>
          <w:rStyle w:val="FootnoteCharacters"/>
        </w:rPr>
        <w:footnoteRef/>
      </w:r>
      <w:r>
        <w:rPr>
          <w:rFonts w:cs="Times New Roman"/>
          <w:sz w:val="22"/>
          <w:szCs w:val="22"/>
        </w:rPr>
        <w:t>. Chen et al.</w:t>
      </w:r>
    </w:p>
  </w:footnote>
  <w:footnote w:id="3">
    <w:p>
      <w:pPr>
        <w:pStyle w:val="FootnoteText"/>
        <w:bidi w:val="0"/>
        <w:spacing w:lineRule="auto" w:line="240" w:before="0" w:after="0"/>
        <w:jc w:val="left"/>
        <w:rPr/>
      </w:pPr>
      <w:r>
        <w:rPr>
          <w:rStyle w:val="FootnoteCharacters"/>
        </w:rPr>
        <w:footnoteRef/>
      </w:r>
      <w:r>
        <w:rPr>
          <w:rFonts w:cs="Times New Roman"/>
          <w:sz w:val="22"/>
          <w:szCs w:val="22"/>
        </w:rPr>
        <w:t>. Bollen et al.</w:t>
      </w:r>
    </w:p>
  </w:footnote>
  <w:footnote w:id="4">
    <w:p>
      <w:pPr>
        <w:pStyle w:val="FootnoteText"/>
        <w:bidi w:val="0"/>
        <w:spacing w:lineRule="auto" w:line="240" w:before="0" w:after="0"/>
        <w:jc w:val="left"/>
        <w:rPr/>
      </w:pPr>
      <w:r>
        <w:rPr>
          <w:rStyle w:val="FootnoteCharacters"/>
        </w:rPr>
        <w:footnoteRef/>
      </w:r>
      <w:r>
        <w:rPr>
          <w:rFonts w:cs="Times New Roman"/>
          <w:sz w:val="22"/>
          <w:szCs w:val="22"/>
        </w:rPr>
        <w:t>. Da et al.</w:t>
      </w:r>
    </w:p>
  </w:footnote>
  <w:footnote w:id="5">
    <w:p>
      <w:pPr>
        <w:pStyle w:val="FootnoteText"/>
        <w:bidi w:val="0"/>
        <w:spacing w:lineRule="auto" w:line="240" w:before="0" w:after="0"/>
        <w:jc w:val="left"/>
        <w:rPr/>
      </w:pPr>
      <w:r>
        <w:rPr>
          <w:rStyle w:val="FootnoteCharacters"/>
        </w:rPr>
        <w:footnoteRef/>
      </w:r>
      <w:r>
        <w:rPr>
          <w:rFonts w:cs="Times New Roman"/>
          <w:sz w:val="22"/>
          <w:szCs w:val="22"/>
        </w:rPr>
        <w:t>. Barber &amp; Odean</w:t>
      </w:r>
    </w:p>
  </w:footnote>
  <w:footnote w:id="6">
    <w:p>
      <w:pPr>
        <w:pStyle w:val="FootnoteText"/>
        <w:bidi w:val="0"/>
        <w:spacing w:lineRule="auto" w:line="240" w:before="0" w:after="0"/>
        <w:jc w:val="left"/>
        <w:rPr/>
      </w:pPr>
      <w:r>
        <w:rPr>
          <w:rStyle w:val="FootnoteCharacters"/>
        </w:rPr>
        <w:footnoteRef/>
      </w:r>
      <w:r>
        <w:rPr>
          <w:rFonts w:cs="Times New Roman"/>
          <w:sz w:val="22"/>
          <w:szCs w:val="22"/>
        </w:rPr>
        <w:t>. Cookson &amp; Niessner</w:t>
      </w:r>
    </w:p>
  </w:footnote>
  <w:footnote w:id="7">
    <w:p>
      <w:pPr>
        <w:pStyle w:val="FootnoteText"/>
        <w:bidi w:val="0"/>
        <w:spacing w:lineRule="auto" w:line="240" w:before="0" w:after="0"/>
        <w:jc w:val="left"/>
        <w:rPr/>
      </w:pPr>
      <w:r>
        <w:rPr>
          <w:rStyle w:val="FootnoteCharacters"/>
        </w:rPr>
        <w:footnoteRef/>
      </w:r>
      <w:r>
        <w:rPr>
          <w:rFonts w:cs="Times New Roman"/>
          <w:sz w:val="22"/>
          <w:szCs w:val="22"/>
        </w:rPr>
        <w:t>. Cookson et al.</w:t>
      </w:r>
    </w:p>
  </w:footnote>
  <w:footnote w:id="8">
    <w:p>
      <w:pPr>
        <w:pStyle w:val="FootnoteText"/>
        <w:bidi w:val="0"/>
        <w:spacing w:lineRule="auto" w:line="240" w:before="0" w:after="0"/>
        <w:jc w:val="left"/>
        <w:rPr/>
      </w:pPr>
      <w:r>
        <w:rPr>
          <w:rStyle w:val="FootnoteCharacters"/>
        </w:rPr>
        <w:footnoteRef/>
      </w:r>
      <w:r>
        <w:rPr>
          <w:rFonts w:cs="Times New Roman"/>
          <w:sz w:val="22"/>
          <w:szCs w:val="22"/>
        </w:rPr>
        <w:t>. Hirshleifer</w:t>
      </w:r>
    </w:p>
  </w:footnote>
  <w:footnote w:id="9">
    <w:p>
      <w:pPr>
        <w:pStyle w:val="FootnoteText"/>
        <w:bidi w:val="0"/>
        <w:spacing w:lineRule="auto" w:line="240" w:before="0" w:after="0"/>
        <w:jc w:val="left"/>
        <w:rPr/>
      </w:pPr>
      <w:r>
        <w:rPr>
          <w:rStyle w:val="FootnoteCharacters"/>
        </w:rPr>
        <w:footnoteRef/>
      </w:r>
      <w:r>
        <w:rPr>
          <w:rFonts w:cs="Times New Roman"/>
          <w:sz w:val="22"/>
          <w:szCs w:val="22"/>
        </w:rPr>
        <w:t>. Information cascade theory</w:t>
      </w:r>
    </w:p>
  </w:footnote>
  <w:footnote w:id="10">
    <w:p>
      <w:pPr>
        <w:pStyle w:val="FootnoteText"/>
        <w:bidi w:val="0"/>
        <w:spacing w:lineRule="auto" w:line="240" w:before="0" w:after="0"/>
        <w:jc w:val="left"/>
        <w:rPr/>
      </w:pPr>
      <w:r>
        <w:rPr>
          <w:rStyle w:val="FootnoteCharacters"/>
        </w:rPr>
        <w:footnoteRef/>
      </w:r>
      <w:r>
        <w:rPr>
          <w:rFonts w:cs="Times New Roman"/>
          <w:sz w:val="22"/>
          <w:szCs w:val="22"/>
        </w:rPr>
        <w:t>. Bikhchandani et al.</w:t>
      </w:r>
    </w:p>
  </w:footnote>
  <w:footnote w:id="11">
    <w:p>
      <w:pPr>
        <w:pStyle w:val="FootnoteText"/>
        <w:bidi w:val="0"/>
        <w:spacing w:lineRule="auto" w:line="240" w:before="0" w:after="0"/>
        <w:jc w:val="left"/>
        <w:rPr/>
      </w:pPr>
      <w:r>
        <w:rPr>
          <w:rStyle w:val="FootnoteCharacters"/>
        </w:rPr>
        <w:footnoteRef/>
      </w:r>
      <w:r>
        <w:rPr>
          <w:rFonts w:cs="Times New Roman"/>
          <w:sz w:val="22"/>
          <w:szCs w:val="22"/>
        </w:rPr>
        <w:t>. Banerjee</w:t>
      </w:r>
    </w:p>
  </w:footnote>
  <w:footnote w:id="12">
    <w:p>
      <w:pPr>
        <w:pStyle w:val="FootnoteText"/>
        <w:bidi w:val="0"/>
        <w:spacing w:lineRule="auto" w:line="240" w:before="0" w:after="0"/>
        <w:jc w:val="left"/>
        <w:rPr/>
      </w:pPr>
      <w:r>
        <w:rPr>
          <w:rStyle w:val="FootnoteCharacters"/>
        </w:rPr>
        <w:footnoteRef/>
      </w:r>
      <w:r>
        <w:rPr>
          <w:rFonts w:cs="Times New Roman"/>
          <w:sz w:val="22"/>
          <w:szCs w:val="22"/>
        </w:rPr>
        <w:t>. Fear of Missing Out</w:t>
      </w:r>
    </w:p>
  </w:footnote>
  <w:footnote w:id="13">
    <w:p>
      <w:pPr>
        <w:pStyle w:val="FootnoteText"/>
        <w:bidi w:val="0"/>
        <w:spacing w:lineRule="auto" w:line="240" w:before="0" w:after="0"/>
        <w:jc w:val="left"/>
        <w:rPr/>
      </w:pPr>
      <w:r>
        <w:rPr>
          <w:rStyle w:val="FootnoteCharacters"/>
        </w:rPr>
        <w:footnoteRef/>
      </w:r>
      <w:r>
        <w:rPr>
          <w:rFonts w:cs="Times New Roman"/>
          <w:sz w:val="22"/>
          <w:szCs w:val="22"/>
        </w:rPr>
        <w:t>. Przybylski et al.</w:t>
      </w:r>
    </w:p>
  </w:footnote>
  <w:footnote w:id="14">
    <w:p>
      <w:pPr>
        <w:pStyle w:val="FootnoteText"/>
        <w:bidi w:val="0"/>
        <w:spacing w:lineRule="auto" w:line="240" w:before="0" w:after="0"/>
        <w:jc w:val="left"/>
        <w:rPr/>
      </w:pPr>
      <w:r>
        <w:rPr>
          <w:rStyle w:val="FootnoteCharacters"/>
        </w:rPr>
        <w:footnoteRef/>
      </w:r>
      <w:r>
        <w:rPr>
          <w:rFonts w:cs="Times New Roman"/>
          <w:sz w:val="22"/>
          <w:szCs w:val="22"/>
        </w:rPr>
        <w:t>. Social comparison theory</w:t>
      </w:r>
    </w:p>
  </w:footnote>
  <w:footnote w:id="15">
    <w:p>
      <w:pPr>
        <w:pStyle w:val="FootnoteText"/>
        <w:bidi w:val="0"/>
        <w:spacing w:lineRule="auto" w:line="240" w:before="0" w:after="0"/>
        <w:jc w:val="left"/>
        <w:rPr/>
      </w:pPr>
      <w:r>
        <w:rPr>
          <w:rStyle w:val="FootnoteCharacters"/>
        </w:rPr>
        <w:footnoteRef/>
      </w:r>
      <w:r>
        <w:rPr>
          <w:rFonts w:cs="Times New Roman"/>
          <w:sz w:val="22"/>
          <w:szCs w:val="22"/>
        </w:rPr>
        <w:t>. Festinger</w:t>
      </w:r>
    </w:p>
  </w:footnote>
  <w:footnote w:id="16">
    <w:p>
      <w:pPr>
        <w:pStyle w:val="FootnoteText"/>
        <w:bidi w:val="0"/>
        <w:spacing w:lineRule="auto" w:line="240" w:before="0" w:after="0"/>
        <w:jc w:val="left"/>
        <w:rPr/>
      </w:pPr>
      <w:r>
        <w:rPr>
          <w:rStyle w:val="FootnoteCharacters"/>
        </w:rPr>
        <w:footnoteRef/>
      </w:r>
      <w:r>
        <w:rPr>
          <w:rFonts w:cs="Times New Roman"/>
          <w:sz w:val="22"/>
          <w:szCs w:val="22"/>
        </w:rPr>
        <w:t>. Parker &amp; Fischhoff</w:t>
      </w:r>
    </w:p>
  </w:footnote>
  <w:footnote w:id="17">
    <w:p>
      <w:pPr>
        <w:pStyle w:val="FootnoteText"/>
        <w:bidi w:val="0"/>
        <w:spacing w:lineRule="auto" w:line="240" w:before="0" w:after="0"/>
        <w:jc w:val="left"/>
        <w:rPr/>
      </w:pPr>
      <w:r>
        <w:rPr>
          <w:rStyle w:val="FootnoteCharacters"/>
        </w:rPr>
        <w:footnoteRef/>
      </w:r>
      <w:r>
        <w:rPr>
          <w:rFonts w:cs="Times New Roman"/>
          <w:sz w:val="22"/>
          <w:szCs w:val="22"/>
        </w:rPr>
        <w:t>. Bruine de Bruin et al.</w:t>
      </w:r>
    </w:p>
  </w:footnote>
  <w:footnote w:id="18">
    <w:p>
      <w:pPr>
        <w:pStyle w:val="FootnoteText"/>
        <w:bidi w:val="0"/>
        <w:spacing w:lineRule="auto" w:line="240" w:before="0" w:after="0"/>
        <w:jc w:val="left"/>
        <w:rPr/>
      </w:pPr>
      <w:r>
        <w:rPr>
          <w:rStyle w:val="FootnoteCharacters"/>
        </w:rPr>
        <w:footnoteRef/>
      </w:r>
      <w:r>
        <w:rPr>
          <w:rFonts w:cs="Times New Roman"/>
          <w:sz w:val="22"/>
          <w:szCs w:val="22"/>
        </w:rPr>
        <w:t>. Odean</w:t>
      </w:r>
    </w:p>
  </w:footnote>
  <w:footnote w:id="19">
    <w:p>
      <w:pPr>
        <w:pStyle w:val="FootnoteText"/>
        <w:bidi w:val="0"/>
        <w:spacing w:lineRule="auto" w:line="240" w:before="0" w:after="0"/>
        <w:jc w:val="left"/>
        <w:rPr/>
      </w:pPr>
      <w:r>
        <w:rPr>
          <w:rStyle w:val="FootnoteCharacters"/>
        </w:rPr>
        <w:footnoteRef/>
      </w:r>
      <w:r>
        <w:rPr>
          <w:rFonts w:cs="Times New Roman"/>
          <w:sz w:val="22"/>
          <w:szCs w:val="22"/>
        </w:rPr>
        <w:t>. Kumar &amp; Goyal</w:t>
      </w:r>
    </w:p>
  </w:footnote>
  <w:footnote w:id="20">
    <w:p>
      <w:pPr>
        <w:pStyle w:val="FootnoteText"/>
        <w:bidi w:val="0"/>
        <w:spacing w:lineRule="auto" w:line="240" w:before="0" w:after="0"/>
        <w:jc w:val="left"/>
        <w:rPr/>
      </w:pPr>
      <w:r>
        <w:rPr>
          <w:rStyle w:val="FootnoteCharacters"/>
        </w:rPr>
        <w:footnoteRef/>
      </w:r>
      <w:r>
        <w:rPr>
          <w:rFonts w:cs="Times New Roman"/>
          <w:sz w:val="22"/>
          <w:szCs w:val="22"/>
        </w:rPr>
        <w:t>. Shiller</w:t>
      </w:r>
    </w:p>
  </w:footnote>
  <w:footnote w:id="21">
    <w:p>
      <w:pPr>
        <w:pStyle w:val="FootnoteText"/>
        <w:bidi w:val="0"/>
        <w:spacing w:lineRule="auto" w:line="240" w:before="0" w:after="0"/>
        <w:jc w:val="left"/>
        <w:rPr/>
      </w:pPr>
      <w:r>
        <w:rPr>
          <w:rStyle w:val="FootnoteCharacters"/>
        </w:rPr>
        <w:footnoteRef/>
      </w:r>
      <w:r>
        <w:rPr>
          <w:rFonts w:cs="Times New Roman"/>
          <w:sz w:val="22"/>
          <w:szCs w:val="22"/>
        </w:rPr>
        <w:t>. Hong et al.</w:t>
      </w:r>
    </w:p>
  </w:footnote>
  <w:footnote w:id="22">
    <w:p>
      <w:pPr>
        <w:pStyle w:val="FootnoteText"/>
        <w:bidi w:val="0"/>
        <w:spacing w:lineRule="auto" w:line="240" w:before="0" w:after="0"/>
        <w:jc w:val="left"/>
        <w:rPr/>
      </w:pPr>
      <w:r>
        <w:rPr>
          <w:rStyle w:val="FootnoteCharacters"/>
        </w:rPr>
        <w:footnoteRef/>
      </w:r>
      <w:r>
        <w:rPr>
          <w:rFonts w:cs="Times New Roman"/>
          <w:sz w:val="22"/>
          <w:szCs w:val="22"/>
        </w:rPr>
        <w:t>. Abel et al.</w:t>
      </w:r>
    </w:p>
  </w:footnote>
  <w:footnote w:id="23">
    <w:p>
      <w:pPr>
        <w:pStyle w:val="FootnoteText"/>
        <w:bidi w:val="0"/>
        <w:spacing w:lineRule="auto" w:line="240" w:before="0" w:after="0"/>
        <w:jc w:val="left"/>
        <w:rPr/>
      </w:pPr>
      <w:r>
        <w:rPr>
          <w:rStyle w:val="FootnoteCharacters"/>
        </w:rPr>
        <w:footnoteRef/>
      </w:r>
      <w:r>
        <w:rPr>
          <w:rFonts w:cs="Times New Roman"/>
          <w:sz w:val="22"/>
          <w:szCs w:val="22"/>
        </w:rPr>
        <w:t>. Milyavskaya et al.</w:t>
      </w:r>
    </w:p>
  </w:footnote>
  <w:footnote w:id="24">
    <w:p>
      <w:pPr>
        <w:pStyle w:val="FootnoteText"/>
        <w:bidi w:val="0"/>
        <w:spacing w:lineRule="auto" w:line="240" w:before="0" w:after="0"/>
        <w:jc w:val="left"/>
        <w:rPr/>
      </w:pPr>
      <w:r>
        <w:rPr>
          <w:rStyle w:val="FootnoteCharacters"/>
        </w:rPr>
        <w:footnoteRef/>
      </w:r>
      <w:r>
        <w:rPr>
          <w:rFonts w:cs="Times New Roman"/>
          <w:sz w:val="22"/>
          <w:szCs w:val="22"/>
        </w:rPr>
        <w:t>. Regret theory</w:t>
      </w:r>
    </w:p>
  </w:footnote>
  <w:footnote w:id="25">
    <w:p>
      <w:pPr>
        <w:pStyle w:val="FootnoteText"/>
        <w:bidi w:val="0"/>
        <w:spacing w:lineRule="auto" w:line="240" w:before="0" w:after="0"/>
        <w:jc w:val="left"/>
        <w:rPr/>
      </w:pPr>
      <w:r>
        <w:rPr>
          <w:rStyle w:val="FootnoteCharacters"/>
        </w:rPr>
        <w:footnoteRef/>
      </w:r>
      <w:r>
        <w:rPr>
          <w:rFonts w:cs="Times New Roman"/>
          <w:sz w:val="22"/>
          <w:szCs w:val="22"/>
        </w:rPr>
        <w:t>. Loomes &amp; Sugden</w:t>
      </w:r>
    </w:p>
  </w:footnote>
  <w:footnote w:id="26">
    <w:p>
      <w:pPr>
        <w:pStyle w:val="FootnoteText"/>
        <w:bidi w:val="0"/>
        <w:spacing w:lineRule="auto" w:line="240" w:before="0" w:after="0"/>
        <w:jc w:val="left"/>
        <w:rPr/>
      </w:pPr>
      <w:r>
        <w:rPr>
          <w:rStyle w:val="FootnoteCharacters"/>
        </w:rPr>
        <w:footnoteRef/>
      </w:r>
      <w:r>
        <w:rPr>
          <w:rFonts w:cs="Times New Roman"/>
          <w:sz w:val="22"/>
          <w:szCs w:val="22"/>
        </w:rPr>
        <w:t>. Lerner et al.</w:t>
      </w:r>
    </w:p>
  </w:footnote>
  <w:footnote w:id="27">
    <w:p>
      <w:pPr>
        <w:pStyle w:val="FootnoteText"/>
        <w:bidi w:val="0"/>
        <w:spacing w:lineRule="auto" w:line="240" w:before="0" w:after="0"/>
        <w:jc w:val="left"/>
        <w:rPr/>
      </w:pPr>
      <w:r>
        <w:rPr>
          <w:rStyle w:val="FootnoteCharacters"/>
        </w:rPr>
        <w:footnoteRef/>
      </w:r>
      <w:r>
        <w:rPr>
          <w:rFonts w:cs="Times New Roman"/>
          <w:sz w:val="22"/>
          <w:szCs w:val="22"/>
        </w:rPr>
        <w:t>. Herding</w:t>
      </w:r>
    </w:p>
  </w:footnote>
  <w:footnote w:id="28">
    <w:p>
      <w:pPr>
        <w:pStyle w:val="FootnoteText"/>
        <w:bidi w:val="0"/>
        <w:spacing w:lineRule="auto" w:line="240" w:before="0" w:after="0"/>
        <w:jc w:val="left"/>
        <w:rPr/>
      </w:pPr>
      <w:r>
        <w:rPr>
          <w:rStyle w:val="FootnoteCharacters"/>
        </w:rPr>
        <w:footnoteRef/>
      </w:r>
      <w:r>
        <w:rPr>
          <w:rFonts w:cs="Times New Roman"/>
          <w:sz w:val="22"/>
          <w:szCs w:val="22"/>
        </w:rPr>
        <w:t>. Scharfstein &amp; Stein</w:t>
      </w:r>
    </w:p>
  </w:footnote>
  <w:footnote w:id="29">
    <w:p>
      <w:pPr>
        <w:pStyle w:val="FootnoteText"/>
        <w:bidi w:val="0"/>
        <w:spacing w:lineRule="auto" w:line="240" w:before="0" w:after="0"/>
        <w:jc w:val="left"/>
        <w:rPr/>
      </w:pPr>
      <w:r>
        <w:rPr>
          <w:rStyle w:val="FootnoteCharacters"/>
        </w:rPr>
        <w:footnoteRef/>
      </w:r>
      <w:r>
        <w:rPr>
          <w:rFonts w:cs="Times New Roman"/>
          <w:sz w:val="22"/>
          <w:szCs w:val="22"/>
        </w:rPr>
        <w:t>. Hirshleifer &amp; Teoh</w:t>
      </w:r>
    </w:p>
  </w:footnote>
  <w:footnote w:id="30">
    <w:p>
      <w:pPr>
        <w:pStyle w:val="FootnoteText"/>
        <w:bidi w:val="0"/>
        <w:spacing w:lineRule="auto" w:line="240" w:before="0" w:after="0"/>
        <w:jc w:val="left"/>
        <w:rPr/>
      </w:pPr>
      <w:r>
        <w:rPr>
          <w:rStyle w:val="FootnoteCharacters"/>
        </w:rPr>
        <w:footnoteRef/>
      </w:r>
      <w:r>
        <w:rPr>
          <w:rFonts w:cs="Times New Roman"/>
          <w:sz w:val="22"/>
          <w:szCs w:val="22"/>
        </w:rPr>
        <w:t>. Bikhchandani &amp; Sharma</w:t>
      </w:r>
    </w:p>
  </w:footnote>
  <w:footnote w:id="31">
    <w:p>
      <w:pPr>
        <w:pStyle w:val="FootnoteText"/>
        <w:bidi w:val="0"/>
        <w:spacing w:lineRule="auto" w:line="240" w:before="0" w:after="0"/>
        <w:jc w:val="left"/>
        <w:rPr/>
      </w:pPr>
      <w:r>
        <w:rPr>
          <w:rStyle w:val="FootnoteCharacters"/>
        </w:rPr>
        <w:footnoteRef/>
      </w:r>
      <w:r>
        <w:rPr>
          <w:rFonts w:cs="Times New Roman"/>
          <w:sz w:val="22"/>
          <w:szCs w:val="22"/>
        </w:rPr>
        <w:t>. Chang et al.</w:t>
      </w:r>
    </w:p>
  </w:footnote>
  <w:footnote w:id="32">
    <w:p>
      <w:pPr>
        <w:pStyle w:val="FootnoteText"/>
        <w:bidi w:val="0"/>
        <w:spacing w:lineRule="auto" w:line="240" w:before="0" w:after="0"/>
        <w:jc w:val="left"/>
        <w:rPr/>
      </w:pPr>
      <w:r>
        <w:rPr>
          <w:rStyle w:val="FootnoteCharacters"/>
        </w:rPr>
        <w:footnoteRef/>
      </w:r>
      <w:r>
        <w:rPr>
          <w:rFonts w:cs="Times New Roman"/>
          <w:sz w:val="22"/>
          <w:szCs w:val="22"/>
        </w:rPr>
        <w:t>. Chiang &amp; Zheng</w:t>
      </w:r>
    </w:p>
  </w:footnote>
  <w:footnote w:id="33">
    <w:p>
      <w:pPr>
        <w:pStyle w:val="FootnoteText"/>
        <w:bidi w:val="0"/>
        <w:spacing w:lineRule="auto" w:line="240" w:before="0" w:after="0"/>
        <w:jc w:val="left"/>
        <w:rPr/>
      </w:pPr>
      <w:r>
        <w:rPr>
          <w:rStyle w:val="FootnoteCharacters"/>
        </w:rPr>
        <w:footnoteRef/>
      </w:r>
      <w:r>
        <w:rPr>
          <w:rFonts w:cs="Times New Roman"/>
          <w:sz w:val="22"/>
          <w:szCs w:val="22"/>
        </w:rPr>
        <w:t>. Mediation</w:t>
      </w:r>
    </w:p>
  </w:footnote>
  <w:footnote w:id="34">
    <w:p>
      <w:pPr>
        <w:pStyle w:val="FootnoteText"/>
        <w:bidi w:val="0"/>
        <w:spacing w:lineRule="auto" w:line="240" w:before="0" w:after="0"/>
        <w:jc w:val="left"/>
        <w:rPr/>
      </w:pPr>
      <w:r>
        <w:rPr>
          <w:rStyle w:val="FootnoteCharacters"/>
        </w:rPr>
        <w:footnoteRef/>
      </w:r>
      <w:r>
        <w:rPr>
          <w:rFonts w:cs="Times New Roman"/>
          <w:sz w:val="22"/>
          <w:szCs w:val="22"/>
        </w:rPr>
        <w:t>. Bootstrapping</w:t>
      </w:r>
    </w:p>
  </w:footnote>
  <w:footnote w:id="35">
    <w:p>
      <w:pPr>
        <w:pStyle w:val="FootnoteText"/>
        <w:bidi w:val="0"/>
        <w:spacing w:lineRule="auto" w:line="240" w:before="0" w:after="0"/>
        <w:jc w:val="left"/>
        <w:rPr/>
      </w:pPr>
      <w:r>
        <w:rPr>
          <w:rStyle w:val="FootnoteCharacters"/>
        </w:rPr>
        <w:footnoteRef/>
      </w:r>
      <w:r>
        <w:rPr>
          <w:rFonts w:cs="Times New Roman"/>
          <w:sz w:val="22"/>
          <w:szCs w:val="22"/>
        </w:rPr>
        <w:t>. Preacher &amp; Hayes</w:t>
      </w:r>
    </w:p>
  </w:footnote>
  <w:footnote w:id="36">
    <w:p>
      <w:pPr>
        <w:pStyle w:val="FootnoteText"/>
        <w:bidi w:val="0"/>
        <w:spacing w:lineRule="auto" w:line="240" w:before="0" w:after="0"/>
        <w:jc w:val="left"/>
        <w:rPr/>
      </w:pPr>
      <w:r>
        <w:rPr>
          <w:rStyle w:val="FootnoteCharacters"/>
        </w:rPr>
        <w:footnoteRef/>
      </w:r>
      <w:r>
        <w:rPr>
          <w:rFonts w:cs="Times New Roman"/>
          <w:sz w:val="22"/>
          <w:szCs w:val="22"/>
        </w:rPr>
        <w:t>. Taylor et al.</w:t>
      </w:r>
    </w:p>
  </w:footnote>
  <w:footnote w:id="37">
    <w:p>
      <w:pPr>
        <w:pStyle w:val="FootnoteText"/>
        <w:bidi w:val="0"/>
        <w:spacing w:lineRule="auto" w:line="240" w:before="0" w:after="0"/>
        <w:jc w:val="left"/>
        <w:rPr/>
      </w:pPr>
      <w:r>
        <w:rPr>
          <w:rStyle w:val="FootnoteCharacters"/>
        </w:rPr>
        <w:footnoteRef/>
      </w:r>
      <w:r>
        <w:rPr>
          <w:rFonts w:cs="Times New Roman"/>
          <w:sz w:val="22"/>
          <w:szCs w:val="22"/>
        </w:rPr>
        <w:t>. Ball &amp; Brown</w:t>
      </w:r>
    </w:p>
  </w:footnote>
  <w:footnote w:id="38">
    <w:p>
      <w:pPr>
        <w:pStyle w:val="FootnoteText"/>
        <w:bidi w:val="0"/>
        <w:spacing w:lineRule="auto" w:line="240" w:before="0" w:after="0"/>
        <w:jc w:val="left"/>
        <w:rPr/>
      </w:pPr>
      <w:r>
        <w:rPr>
          <w:rStyle w:val="FootnoteCharacters"/>
        </w:rPr>
        <w:footnoteRef/>
      </w:r>
      <w:r>
        <w:rPr>
          <w:rFonts w:cs="Times New Roman"/>
          <w:sz w:val="22"/>
          <w:szCs w:val="22"/>
        </w:rPr>
        <w:t>. Beaver</w:t>
      </w:r>
    </w:p>
  </w:footnote>
  <w:footnote w:id="39">
    <w:p>
      <w:pPr>
        <w:pStyle w:val="FootnoteText"/>
        <w:bidi w:val="0"/>
        <w:spacing w:lineRule="auto" w:line="240" w:before="0" w:after="0"/>
        <w:jc w:val="left"/>
        <w:rPr/>
      </w:pPr>
      <w:r>
        <w:rPr>
          <w:rStyle w:val="FootnoteCharacters"/>
        </w:rPr>
        <w:footnoteRef/>
      </w:r>
      <w:r>
        <w:rPr>
          <w:rFonts w:cs="Times New Roman"/>
          <w:sz w:val="22"/>
          <w:szCs w:val="22"/>
        </w:rPr>
        <w:t>. Lawrence</w:t>
      </w:r>
    </w:p>
  </w:footnote>
  <w:footnote w:id="40">
    <w:p>
      <w:pPr>
        <w:pStyle w:val="FootnoteText"/>
        <w:bidi w:val="0"/>
        <w:spacing w:lineRule="auto" w:line="240" w:before="0" w:after="0"/>
        <w:jc w:val="left"/>
        <w:rPr/>
      </w:pPr>
      <w:r>
        <w:rPr>
          <w:rStyle w:val="FootnoteCharacters"/>
        </w:rPr>
        <w:footnoteRef/>
      </w:r>
      <w:r>
        <w:rPr>
          <w:rFonts w:cs="Times New Roman"/>
          <w:sz w:val="22"/>
          <w:szCs w:val="22"/>
        </w:rPr>
        <w:t>. Miller &amp; Skinner</w:t>
      </w:r>
    </w:p>
  </w:footnote>
  <w:footnote w:id="41">
    <w:p>
      <w:pPr>
        <w:pStyle w:val="FootnoteText"/>
        <w:bidi w:val="0"/>
        <w:spacing w:lineRule="auto" w:line="240" w:before="0" w:after="0"/>
        <w:jc w:val="left"/>
        <w:rPr/>
      </w:pPr>
      <w:r>
        <w:rPr>
          <w:rStyle w:val="FootnoteCharacters"/>
        </w:rPr>
        <w:footnoteRef/>
      </w:r>
      <w:r>
        <w:rPr>
          <w:rFonts w:cs="Times New Roman"/>
          <w:sz w:val="22"/>
          <w:szCs w:val="22"/>
        </w:rPr>
        <w:t>. Blankespoor et al.</w:t>
      </w:r>
    </w:p>
  </w:footnote>
  <w:footnote w:id="42">
    <w:p>
      <w:pPr>
        <w:pStyle w:val="FootnoteText"/>
        <w:bidi w:val="0"/>
        <w:spacing w:lineRule="auto" w:line="240" w:before="0" w:after="0"/>
        <w:jc w:val="left"/>
        <w:rPr/>
      </w:pPr>
      <w:r>
        <w:rPr>
          <w:rStyle w:val="FootnoteCharacters"/>
        </w:rPr>
        <w:footnoteRef/>
      </w:r>
      <w:r>
        <w:rPr>
          <w:rFonts w:cs="Times New Roman"/>
          <w:sz w:val="22"/>
          <w:szCs w:val="22"/>
        </w:rPr>
        <w:t>. Bartov et al.</w:t>
      </w:r>
    </w:p>
  </w:footnote>
  <w:footnote w:id="43">
    <w:p>
      <w:pPr>
        <w:pStyle w:val="FootnoteText"/>
        <w:bidi w:val="0"/>
        <w:spacing w:lineRule="auto" w:line="240" w:before="0" w:after="0"/>
        <w:jc w:val="left"/>
        <w:rPr/>
      </w:pPr>
      <w:r>
        <w:rPr>
          <w:rStyle w:val="FootnoteCharacters"/>
        </w:rPr>
        <w:footnoteRef/>
      </w:r>
      <w:r>
        <w:rPr>
          <w:rFonts w:cs="Times New Roman"/>
          <w:sz w:val="22"/>
          <w:szCs w:val="22"/>
        </w:rPr>
        <w:t>. Elliott et al.</w:t>
      </w:r>
    </w:p>
  </w:footnote>
  <w:footnote w:id="44">
    <w:p>
      <w:pPr>
        <w:pStyle w:val="FootnoteText"/>
        <w:bidi w:val="0"/>
        <w:spacing w:lineRule="auto" w:line="240" w:before="0" w:after="0"/>
        <w:jc w:val="left"/>
        <w:rPr/>
      </w:pPr>
      <w:r>
        <w:rPr>
          <w:rStyle w:val="FootnoteCharacters"/>
        </w:rPr>
        <w:footnoteRef/>
      </w:r>
      <w:r>
        <w:rPr>
          <w:rFonts w:cs="Times New Roman"/>
          <w:sz w:val="22"/>
          <w:szCs w:val="22"/>
        </w:rPr>
        <w:t>. Moderation</w:t>
      </w:r>
    </w:p>
  </w:footnote>
  <w:footnote w:id="45">
    <w:p>
      <w:pPr>
        <w:pStyle w:val="FootnoteText"/>
        <w:bidi w:val="0"/>
        <w:spacing w:lineRule="auto" w:line="240" w:before="0" w:after="0"/>
        <w:jc w:val="left"/>
        <w:rPr/>
      </w:pPr>
      <w:r>
        <w:rPr>
          <w:rStyle w:val="FootnoteCharacters"/>
        </w:rPr>
        <w:footnoteRef/>
      </w:r>
      <w:r>
        <w:rPr>
          <w:rFonts w:cs="Times New Roman"/>
          <w:sz w:val="22"/>
          <w:szCs w:val="22"/>
        </w:rPr>
        <w:t>. Moderated mediation</w:t>
      </w:r>
    </w:p>
  </w:footnote>
  <w:footnote w:id="46">
    <w:p>
      <w:pPr>
        <w:pStyle w:val="FootnoteText"/>
        <w:bidi w:val="0"/>
        <w:spacing w:lineRule="auto" w:line="240" w:before="0" w:after="0"/>
        <w:jc w:val="left"/>
        <w:rPr/>
      </w:pPr>
      <w:r>
        <w:rPr>
          <w:rStyle w:val="FootnoteCharacters"/>
        </w:rPr>
        <w:footnoteRef/>
      </w:r>
      <w:r>
        <w:rPr>
          <w:rFonts w:cs="Times New Roman"/>
          <w:sz w:val="22"/>
          <w:szCs w:val="22"/>
        </w:rPr>
        <w:t>. Preacher et al.</w:t>
      </w:r>
    </w:p>
  </w:footnote>
  <w:footnote w:id="47">
    <w:p>
      <w:pPr>
        <w:pStyle w:val="FootnoteText"/>
        <w:bidi w:val="0"/>
        <w:spacing w:lineRule="auto" w:line="240" w:before="0" w:after="0"/>
        <w:jc w:val="left"/>
        <w:rPr/>
      </w:pPr>
      <w:r>
        <w:rPr>
          <w:rStyle w:val="FootnoteCharacters"/>
        </w:rPr>
        <w:footnoteRef/>
      </w:r>
      <w:r>
        <w:rPr>
          <w:rFonts w:cs="Times New Roman"/>
          <w:sz w:val="22"/>
          <w:szCs w:val="22"/>
        </w:rPr>
        <w:t>. Structural Equation Modeling</w:t>
      </w:r>
    </w:p>
  </w:footnote>
  <w:footnote w:id="48">
    <w:p>
      <w:pPr>
        <w:pStyle w:val="FootnoteText"/>
        <w:bidi w:val="0"/>
        <w:spacing w:lineRule="auto" w:line="240" w:before="0" w:after="0"/>
        <w:jc w:val="left"/>
        <w:rPr/>
      </w:pPr>
      <w:r>
        <w:rPr>
          <w:rStyle w:val="FootnoteCharacters"/>
        </w:rPr>
        <w:footnoteRef/>
      </w:r>
      <w:r>
        <w:rPr>
          <w:rFonts w:cs="Times New Roman"/>
          <w:sz w:val="22"/>
          <w:szCs w:val="22"/>
        </w:rPr>
        <w:t>. Wolf et al.</w:t>
      </w:r>
    </w:p>
  </w:footnote>
  <w:footnote w:id="49">
    <w:p>
      <w:pPr>
        <w:pStyle w:val="FootnoteText"/>
        <w:bidi w:val="0"/>
        <w:spacing w:lineRule="auto" w:line="240" w:before="0" w:after="0"/>
        <w:jc w:val="left"/>
        <w:rPr/>
      </w:pPr>
      <w:r>
        <w:rPr>
          <w:rStyle w:val="FootnoteCharacters"/>
        </w:rPr>
        <w:footnoteRef/>
      </w:r>
      <w:r>
        <w:rPr>
          <w:rFonts w:cs="Times New Roman"/>
          <w:sz w:val="22"/>
          <w:szCs w:val="22"/>
        </w:rPr>
        <w:t>. Kline</w:t>
      </w:r>
    </w:p>
  </w:footnote>
  <w:footnote w:id="50">
    <w:p>
      <w:pPr>
        <w:pStyle w:val="FootnoteText"/>
        <w:bidi w:val="0"/>
        <w:spacing w:lineRule="auto" w:line="240" w:before="0" w:after="0"/>
        <w:jc w:val="left"/>
        <w:rPr/>
      </w:pPr>
      <w:r>
        <w:rPr>
          <w:rStyle w:val="FootnoteCharacters"/>
        </w:rPr>
        <w:footnoteRef/>
      </w:r>
      <w:r>
        <w:rPr>
          <w:rFonts w:cs="Times New Roman"/>
          <w:sz w:val="22"/>
          <w:szCs w:val="22"/>
        </w:rPr>
        <w:t>. MacCallum et al.</w:t>
      </w:r>
    </w:p>
  </w:footnote>
  <w:footnote w:id="51">
    <w:p>
      <w:pPr>
        <w:pStyle w:val="FootnoteText"/>
        <w:bidi w:val="0"/>
        <w:spacing w:lineRule="auto" w:line="240" w:before="0" w:after="0"/>
        <w:jc w:val="left"/>
        <w:rPr/>
      </w:pPr>
      <w:r>
        <w:rPr>
          <w:rStyle w:val="FootnoteCharacters"/>
        </w:rPr>
        <w:footnoteRef/>
      </w:r>
      <w:r>
        <w:rPr>
          <w:rFonts w:cs="Times New Roman"/>
          <w:sz w:val="22"/>
          <w:szCs w:val="22"/>
        </w:rPr>
        <w:t>. Igolkina &amp; Meshcheryakov</w:t>
      </w:r>
    </w:p>
  </w:footnote>
  <w:footnote w:id="52">
    <w:p>
      <w:pPr>
        <w:pStyle w:val="FootnoteText"/>
        <w:bidi w:val="0"/>
        <w:spacing w:lineRule="auto" w:line="240" w:before="0" w:after="0"/>
        <w:jc w:val="left"/>
        <w:rPr/>
      </w:pPr>
      <w:r>
        <w:rPr>
          <w:rStyle w:val="FootnoteCharacters"/>
        </w:rPr>
        <w:footnoteRef/>
      </w:r>
      <w:r>
        <w:rPr>
          <w:rFonts w:cs="Times New Roman"/>
          <w:sz w:val="22"/>
          <w:szCs w:val="22"/>
        </w:rPr>
        <w:t>. Mardia</w:t>
      </w:r>
    </w:p>
  </w:footnote>
  <w:footnote w:id="53">
    <w:p>
      <w:pPr>
        <w:pStyle w:val="FootnoteText"/>
        <w:bidi w:val="0"/>
        <w:spacing w:lineRule="auto" w:line="240" w:before="0" w:after="0"/>
        <w:jc w:val="left"/>
        <w:rPr/>
      </w:pPr>
      <w:r>
        <w:rPr>
          <w:rStyle w:val="FootnoteCharacters"/>
        </w:rPr>
        <w:footnoteRef/>
      </w:r>
      <w:r>
        <w:rPr>
          <w:rFonts w:cs="Times New Roman"/>
          <w:sz w:val="22"/>
          <w:szCs w:val="22"/>
        </w:rPr>
        <w:t>. Maximum likelihood estimation</w:t>
      </w:r>
    </w:p>
  </w:footnote>
  <w:footnote w:id="54">
    <w:p>
      <w:pPr>
        <w:pStyle w:val="FootnoteText"/>
        <w:bidi w:val="0"/>
        <w:spacing w:lineRule="auto" w:line="240" w:before="0" w:after="0"/>
        <w:jc w:val="left"/>
        <w:rPr/>
      </w:pPr>
      <w:r>
        <w:rPr>
          <w:rStyle w:val="FootnoteCharacters"/>
        </w:rPr>
        <w:footnoteRef/>
      </w:r>
      <w:r>
        <w:rPr>
          <w:rFonts w:cs="Times New Roman"/>
          <w:sz w:val="22"/>
          <w:szCs w:val="22"/>
        </w:rPr>
        <w:t>. Rhemtulla et al.</w:t>
      </w:r>
    </w:p>
  </w:footnote>
  <w:footnote w:id="55">
    <w:p>
      <w:pPr>
        <w:pStyle w:val="FootnoteText"/>
        <w:bidi w:val="0"/>
        <w:spacing w:lineRule="auto" w:line="240" w:before="0" w:after="0"/>
        <w:jc w:val="left"/>
        <w:rPr/>
      </w:pPr>
      <w:r>
        <w:rPr>
          <w:rStyle w:val="FootnoteCharacters"/>
        </w:rPr>
        <w:footnoteRef/>
      </w:r>
      <w:r>
        <w:rPr>
          <w:rFonts w:cs="Times New Roman"/>
          <w:sz w:val="22"/>
          <w:szCs w:val="22"/>
        </w:rPr>
        <w:t>. Diagonally weighted least squares</w:t>
      </w:r>
    </w:p>
  </w:footnote>
  <w:footnote w:id="56">
    <w:p>
      <w:pPr>
        <w:pStyle w:val="FootnoteText"/>
        <w:bidi w:val="0"/>
        <w:spacing w:lineRule="auto" w:line="240" w:before="0" w:after="0"/>
        <w:jc w:val="left"/>
        <w:rPr/>
      </w:pPr>
      <w:r>
        <w:rPr>
          <w:rStyle w:val="FootnoteCharacters"/>
        </w:rPr>
        <w:footnoteRef/>
      </w:r>
      <w:r>
        <w:rPr>
          <w:rFonts w:cs="Times New Roman"/>
          <w:sz w:val="22"/>
          <w:szCs w:val="22"/>
        </w:rPr>
        <w:t>. Li</w:t>
      </w:r>
    </w:p>
  </w:footnote>
  <w:footnote w:id="57">
    <w:p>
      <w:pPr>
        <w:pStyle w:val="FootnoteText"/>
        <w:bidi w:val="0"/>
        <w:spacing w:lineRule="auto" w:line="240" w:before="0" w:after="0"/>
        <w:jc w:val="left"/>
        <w:rPr/>
      </w:pPr>
      <w:r>
        <w:rPr>
          <w:rStyle w:val="FootnoteCharacters"/>
        </w:rPr>
        <w:footnoteRef/>
      </w:r>
      <w:r>
        <w:rPr>
          <w:rFonts w:cs="Times New Roman"/>
          <w:sz w:val="22"/>
          <w:szCs w:val="22"/>
        </w:rPr>
        <w:t>. Confirmatory factor analysis</w:t>
      </w:r>
    </w:p>
  </w:footnote>
  <w:footnote w:id="58">
    <w:p>
      <w:pPr>
        <w:pStyle w:val="FootnoteText"/>
        <w:bidi w:val="0"/>
        <w:spacing w:lineRule="auto" w:line="240" w:before="0" w:after="0"/>
        <w:jc w:val="left"/>
        <w:rPr/>
      </w:pPr>
      <w:r>
        <w:rPr>
          <w:rStyle w:val="FootnoteCharacters"/>
        </w:rPr>
        <w:footnoteRef/>
      </w:r>
      <w:r>
        <w:rPr>
          <w:rFonts w:cs="Times New Roman"/>
          <w:sz w:val="22"/>
          <w:szCs w:val="22"/>
        </w:rPr>
        <w:t>. Composite reliability</w:t>
      </w:r>
    </w:p>
  </w:footnote>
  <w:footnote w:id="59">
    <w:p>
      <w:pPr>
        <w:pStyle w:val="FootnoteText"/>
        <w:bidi w:val="0"/>
        <w:spacing w:lineRule="auto" w:line="240" w:before="0" w:after="0"/>
        <w:jc w:val="left"/>
        <w:rPr/>
      </w:pPr>
      <w:r>
        <w:rPr>
          <w:rStyle w:val="FootnoteCharacters"/>
        </w:rPr>
        <w:footnoteRef/>
      </w:r>
      <w:r>
        <w:rPr>
          <w:rFonts w:cs="Times New Roman"/>
          <w:sz w:val="22"/>
          <w:szCs w:val="22"/>
        </w:rPr>
        <w:t>. Convergent validity</w:t>
      </w:r>
    </w:p>
  </w:footnote>
  <w:footnote w:id="60">
    <w:p>
      <w:pPr>
        <w:pStyle w:val="FootnoteText"/>
        <w:bidi w:val="0"/>
        <w:spacing w:lineRule="auto" w:line="240" w:before="0" w:after="0"/>
        <w:jc w:val="left"/>
        <w:rPr/>
      </w:pPr>
      <w:r>
        <w:rPr>
          <w:rStyle w:val="FootnoteCharacters"/>
        </w:rPr>
        <w:footnoteRef/>
      </w:r>
      <w:r>
        <w:rPr>
          <w:rFonts w:cs="Times New Roman"/>
          <w:sz w:val="22"/>
          <w:szCs w:val="22"/>
        </w:rPr>
        <w:t>. Discriminant validity</w:t>
      </w:r>
    </w:p>
  </w:footnote>
  <w:footnote w:id="61">
    <w:p>
      <w:pPr>
        <w:pStyle w:val="FootnoteText"/>
        <w:bidi w:val="0"/>
        <w:spacing w:lineRule="auto" w:line="240" w:before="0" w:after="0"/>
        <w:jc w:val="left"/>
        <w:rPr/>
      </w:pPr>
      <w:r>
        <w:rPr>
          <w:rStyle w:val="FootnoteCharacters"/>
        </w:rPr>
        <w:footnoteRef/>
      </w:r>
      <w:r>
        <w:rPr>
          <w:rFonts w:cs="Times New Roman"/>
          <w:sz w:val="22"/>
          <w:szCs w:val="22"/>
        </w:rPr>
        <w:t>. Fornell &amp; Larcker</w:t>
      </w:r>
    </w:p>
  </w:footnote>
  <w:footnote w:id="62">
    <w:p>
      <w:pPr>
        <w:pStyle w:val="FootnoteText"/>
        <w:bidi w:val="0"/>
        <w:spacing w:lineRule="auto" w:line="240" w:before="0" w:after="0"/>
        <w:jc w:val="left"/>
        <w:rPr/>
      </w:pPr>
      <w:r>
        <w:rPr>
          <w:rStyle w:val="FootnoteCharacters"/>
        </w:rPr>
        <w:footnoteRef/>
      </w:r>
      <w:r>
        <w:rPr>
          <w:rFonts w:cs="Times New Roman"/>
          <w:sz w:val="22"/>
          <w:szCs w:val="22"/>
        </w:rPr>
        <w:t>. Henseler et al.</w:t>
      </w:r>
    </w:p>
  </w:footnote>
  <w:footnote w:id="63">
    <w:p>
      <w:pPr>
        <w:pStyle w:val="FootnoteText"/>
        <w:bidi w:val="0"/>
        <w:spacing w:lineRule="auto" w:line="240" w:before="0" w:after="0"/>
        <w:jc w:val="left"/>
        <w:rPr/>
      </w:pPr>
      <w:r>
        <w:rPr>
          <w:rStyle w:val="FootnoteCharacters"/>
        </w:rPr>
        <w:footnoteRef/>
      </w:r>
      <w:r>
        <w:rPr>
          <w:rFonts w:cs="Times New Roman"/>
          <w:sz w:val="22"/>
          <w:szCs w:val="22"/>
        </w:rPr>
        <w:t>. Podsakoff et al.</w:t>
      </w:r>
    </w:p>
  </w:footnote>
  <w:footnote w:id="64">
    <w:p>
      <w:pPr>
        <w:pStyle w:val="FootnoteText"/>
        <w:bidi w:val="0"/>
        <w:spacing w:lineRule="auto" w:line="240" w:before="0" w:after="0"/>
        <w:jc w:val="left"/>
        <w:rPr/>
      </w:pPr>
      <w:r>
        <w:rPr>
          <w:rStyle w:val="FootnoteCharacters"/>
        </w:rPr>
        <w:footnoteRef/>
      </w:r>
      <w:r>
        <w:rPr>
          <w:rFonts w:cs="Times New Roman"/>
          <w:sz w:val="22"/>
          <w:szCs w:val="22"/>
        </w:rPr>
        <w:t>. Hu &amp; Bentler</w:t>
      </w:r>
    </w:p>
  </w:footnote>
  <w:footnote w:id="65">
    <w:p>
      <w:pPr>
        <w:pStyle w:val="FootnoteText"/>
        <w:bidi w:val="0"/>
        <w:spacing w:lineRule="auto" w:line="240" w:before="0" w:after="0"/>
        <w:jc w:val="left"/>
        <w:rPr/>
      </w:pPr>
      <w:r>
        <w:rPr>
          <w:rStyle w:val="FootnoteCharacters"/>
        </w:rPr>
        <w:footnoteRef/>
      </w:r>
      <w:r>
        <w:rPr>
          <w:rFonts w:cs="Times New Roman"/>
          <w:sz w:val="22"/>
          <w:szCs w:val="22"/>
        </w:rPr>
        <w:t>. Marsh et al.</w:t>
      </w:r>
    </w:p>
  </w:footnote>
  <w:footnote w:id="66">
    <w:p>
      <w:pPr>
        <w:pStyle w:val="FootnoteText"/>
        <w:bidi w:val="0"/>
        <w:spacing w:lineRule="auto" w:line="240" w:before="0" w:after="0"/>
        <w:jc w:val="left"/>
        <w:rPr/>
      </w:pPr>
      <w:r>
        <w:rPr>
          <w:rStyle w:val="FootnoteCharacters"/>
        </w:rPr>
        <w:footnoteRef/>
      </w:r>
      <w:r>
        <w:rPr>
          <w:rFonts w:cs="Times New Roman"/>
          <w:sz w:val="22"/>
          <w:szCs w:val="22"/>
        </w:rPr>
        <w:t>. Little et al.</w:t>
      </w:r>
    </w:p>
  </w:footnote>
  <w:footnote w:id="67">
    <w:p>
      <w:pPr>
        <w:pStyle w:val="FootnoteText"/>
        <w:bidi w:val="0"/>
        <w:spacing w:lineRule="auto" w:line="240" w:before="0" w:after="0"/>
        <w:jc w:val="left"/>
        <w:rPr/>
      </w:pPr>
      <w:r>
        <w:rPr>
          <w:rStyle w:val="FootnoteCharacters"/>
        </w:rPr>
        <w:footnoteRef/>
      </w:r>
      <w:r>
        <w:rPr>
          <w:rFonts w:cs="Times New Roman"/>
          <w:sz w:val="22"/>
          <w:szCs w:val="22"/>
        </w:rPr>
        <w:t>. Cohen</w:t>
      </w:r>
    </w:p>
  </w:footnote>
</w:footnotes>
</file>

<file path=word/settings.xml><?xml version="1.0" encoding="utf-8"?>
<w:settings xmlns:w="http://schemas.openxmlformats.org/wordprocessingml/2006/main">
  <w:view w:val="print"/>
  <w:zoom w:percent="100"/>
  <w:defaultTabStop w:val="720"/>
  <w:autoHyphenation w:val="true"/>
  <w:footnotePr>
    <w:numFmt w:val="decimal"/>
    <w:footnote w:id="0"/>
    <w:footnote w:id="1"/>
  </w:footnotePr>
  <w:compat>
    <w:compatSetting w:name="compatibilityMode" w:uri="http://schemas.microsoft.com/office/word" w:val="15"/>
  </w:compat>
  <w:themeFontLang w:val="en-US" w:eastAsia="" w:bidi="fa-I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B Nazanin"/>
        <w:sz w:val="26"/>
        <w:szCs w:val="26"/>
        <w:lang w:val="en-US" w:eastAsia="zh-CN" w:bidi="fa-IR"/>
      </w:rPr>
    </w:rPrDefault>
    <w:pPrDefault>
      <w:pPr>
        <w:suppressAutoHyphens w:val="true"/>
      </w:pPr>
    </w:pPrDefault>
  </w:docDefaults>
  <w:style w:type="paragraph" w:styleId="Normal" w:default="1">
    <w:name w:val="Normal"/>
    <w:qFormat/>
    <w:pPr>
      <w:widowControl/>
      <w:bidi w:val="1"/>
      <w:spacing w:before="0" w:after="0"/>
      <w:jc w:val="left"/>
    </w:pPr>
    <w:rPr>
      <w:rFonts w:ascii="Times New Roman" w:hAnsi="Times New Roman" w:eastAsia="WenQuanYi Zen Hei" w:cs="B Nazanin"/>
      <w:color w:val="auto"/>
      <w:kern w:val="0"/>
      <w:sz w:val="26"/>
      <w:szCs w:val="26"/>
      <w:lang w:val="en-US" w:eastAsia="zh-CN" w:bidi="fa-IR"/>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pacing w:lineRule="auto" w:line="240" w:before="0" w:after="0"/>
    </w:pPr>
    <w:rPr>
      <w:sz w:val="18"/>
      <w:szCs w:val="18"/>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fa-IR</dc:language>
  <cp:lastModifiedBy/>
  <cp:revision>0</cp:revision>
  <dc:subject/>
  <dc:title>Article</dc:title>
</cp:coreProperties>
</file>