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60"/>
        <w:jc w:val="center"/>
        <w:rPr/>
      </w:pPr>
      <w:r>
        <w:rPr>
          <w:rFonts w:eastAsia="Times New Roman" w:cs="Times New Roman"/>
          <w:b/>
          <w:bCs/>
          <w:sz w:val="32"/>
          <w:szCs w:val="32"/>
          <w:lang w:val="en-US" w:bidi="fa-IR"/>
        </w:rPr>
        <w:t>Questionnaire for Paper 3: Generative-AI Use, Competence Illusion and Investment Decision Quality</w:t>
      </w:r>
    </w:p>
    <w:p>
      <w:pPr>
        <w:pStyle w:val="Normal"/>
        <w:spacing w:lineRule="auto" w:line="276" w:before="0" w:after="80"/>
        <w:jc w:val="both"/>
        <w:rPr/>
      </w:pPr>
      <w:r>
        <w:rPr>
          <w:rFonts w:eastAsia="Times New Roman" w:cs="Times New Roman"/>
          <w:b/>
          <w:bCs/>
          <w:sz w:val="24"/>
          <w:szCs w:val="24"/>
          <w:lang w:val="en-US" w:bidi="fa-IR"/>
        </w:rPr>
        <w:t>Status.</w:t>
      </w:r>
      <w:r>
        <w:rPr>
          <w:rFonts w:eastAsia="Times New Roman" w:cs="Times New Roman"/>
          <w:sz w:val="24"/>
          <w:szCs w:val="24"/>
          <w:lang w:val="en-US" w:bidi="fa-IR"/>
        </w:rPr>
        <w:t xml:space="preserve"> Draft instrument for a planned survey of individual investors. None of the multi-item scales below is a published, validated instrument in this exact form. Each variable is classified as </w:t>
      </w:r>
      <w:r>
        <w:rPr>
          <w:rFonts w:eastAsia="Times New Roman" w:cs="Times New Roman"/>
          <w:i/>
          <w:iCs/>
          <w:sz w:val="24"/>
          <w:szCs w:val="24"/>
          <w:lang w:val="en-US" w:bidi="fa-IR"/>
        </w:rPr>
        <w:t>research-based (adapted)</w:t>
      </w:r>
      <w:r>
        <w:rPr>
          <w:rFonts w:eastAsia="Times New Roman" w:cs="Times New Roman"/>
          <w:sz w:val="24"/>
          <w:szCs w:val="24"/>
          <w:lang w:val="en-US" w:bidi="fa-IR"/>
        </w:rPr>
        <w:t xml:space="preserve">, </w:t>
      </w:r>
      <w:r>
        <w:rPr>
          <w:rFonts w:eastAsia="Times New Roman" w:cs="Times New Roman"/>
          <w:i/>
          <w:iCs/>
          <w:sz w:val="24"/>
          <w:szCs w:val="24"/>
          <w:lang w:val="en-US" w:bidi="fa-IR"/>
        </w:rPr>
        <w:t>researcher-made (theory-derived)</w:t>
      </w:r>
      <w:r>
        <w:rPr>
          <w:rFonts w:eastAsia="Times New Roman" w:cs="Times New Roman"/>
          <w:sz w:val="24"/>
          <w:szCs w:val="24"/>
          <w:lang w:val="en-US" w:bidi="fa-IR"/>
        </w:rPr>
        <w:t xml:space="preserve"> or </w:t>
      </w:r>
      <w:r>
        <w:rPr>
          <w:rFonts w:eastAsia="Times New Roman" w:cs="Times New Roman"/>
          <w:i/>
          <w:iCs/>
          <w:sz w:val="24"/>
          <w:szCs w:val="24"/>
          <w:lang w:val="en-US" w:bidi="fa-IR"/>
        </w:rPr>
        <w:t>mixed</w:t>
      </w:r>
      <w:r>
        <w:rPr>
          <w:rFonts w:eastAsia="Times New Roman" w:cs="Times New Roman"/>
          <w:sz w:val="24"/>
          <w:szCs w:val="24"/>
          <w:lang w:val="en-US" w:bidi="fa-IR"/>
        </w:rPr>
        <w:t>; the reference list for each variable gives the sources of the construct definition and (where applicable) of the item wording. Before real data collection, run the validation protocol in Section 3. Check every DOI in Crossref before citing.</w:t>
      </w:r>
    </w:p>
    <w:p>
      <w:pPr>
        <w:pStyle w:val="Normal"/>
        <w:keepNext w:val="true"/>
        <w:spacing w:lineRule="auto" w:line="276" w:before="200" w:after="80"/>
        <w:jc w:val="left"/>
        <w:rPr/>
      </w:pPr>
      <w:r>
        <w:rPr>
          <w:rFonts w:eastAsia="Times New Roman" w:cs="Times New Roman"/>
          <w:b/>
          <w:bCs/>
          <w:sz w:val="26"/>
          <w:szCs w:val="26"/>
          <w:lang w:val="en-US" w:bidi="fa-IR"/>
        </w:rPr>
        <w:t>1. Overview: origin of each scale</w:t>
      </w:r>
    </w:p>
    <w:p>
      <w:pPr>
        <w:pStyle w:val="Normal"/>
        <w:keepNext w:val="true"/>
        <w:spacing w:lineRule="auto" w:line="276" w:before="140" w:after="60"/>
        <w:jc w:val="left"/>
        <w:rPr/>
      </w:pPr>
      <w:r>
        <w:rPr>
          <w:rFonts w:eastAsia="Times New Roman" w:cs="Times New Roman"/>
          <w:b/>
          <w:bCs/>
          <w:sz w:val="22"/>
          <w:szCs w:val="22"/>
          <w:lang w:val="en-US" w:bidi="fa-IR"/>
        </w:rPr>
        <w:t>Table 1. Variables, origin classification and principal references</w:t>
      </w:r>
    </w:p>
    <w:tbl>
      <w:tblPr>
        <w:tblW w:w="9300" w:type="dxa"/>
        <w:jc w:val="center"/>
        <w:tblInd w:w="0" w:type="dxa"/>
        <w:tblLayout w:type="fixed"/>
        <w:tblCellMar>
          <w:top w:w="0" w:type="dxa"/>
          <w:left w:w="60" w:type="dxa"/>
          <w:bottom w:w="0" w:type="dxa"/>
          <w:right w:w="60" w:type="dxa"/>
        </w:tblCellMar>
      </w:tblPr>
      <w:tblGrid>
        <w:gridCol w:w="599"/>
        <w:gridCol w:w="2700"/>
        <w:gridCol w:w="601"/>
        <w:gridCol w:w="1999"/>
        <w:gridCol w:w="3401"/>
      </w:tblGrid>
      <w:tr>
        <w:trPr>
          <w:tblHeader w:val="true"/>
        </w:trPr>
        <w:tc>
          <w:tcPr>
            <w:tcW w:w="5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27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Construct</w:t>
            </w:r>
          </w:p>
        </w:tc>
        <w:tc>
          <w:tcPr>
            <w:tcW w:w="601"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Items</w:t>
            </w:r>
          </w:p>
        </w:tc>
        <w:tc>
          <w:tcPr>
            <w:tcW w:w="1999"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Origin</w:t>
            </w:r>
          </w:p>
        </w:tc>
        <w:tc>
          <w:tcPr>
            <w:tcW w:w="3401"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References</w:t>
            </w:r>
          </w:p>
        </w:tc>
      </w:tr>
      <w:tr>
        <w:trPr>
          <w:cantSplit w:val="true"/>
        </w:trPr>
        <w:tc>
          <w:tcPr>
            <w:tcW w:w="599" w:type="dxa"/>
            <w:tcBorders/>
            <w:vAlign w:val="center"/>
          </w:tcPr>
          <w:p>
            <w:pPr>
              <w:pStyle w:val="Normal"/>
              <w:spacing w:lineRule="auto" w:line="240" w:before="30" w:after="30"/>
              <w:jc w:val="left"/>
              <w:rPr/>
            </w:pPr>
            <w:r>
              <w:rPr>
                <w:rFonts w:eastAsia="Times New Roman" w:cs="Times New Roman"/>
                <w:sz w:val="20"/>
                <w:szCs w:val="20"/>
                <w:lang w:val="en-US" w:bidi="fa-IR"/>
              </w:rPr>
              <w:t>GUI</w:t>
            </w:r>
          </w:p>
        </w:tc>
        <w:tc>
          <w:tcPr>
            <w:tcW w:w="2700" w:type="dxa"/>
            <w:tcBorders/>
            <w:vAlign w:val="center"/>
          </w:tcPr>
          <w:p>
            <w:pPr>
              <w:pStyle w:val="Normal"/>
              <w:spacing w:lineRule="auto" w:line="240" w:before="30" w:after="30"/>
              <w:jc w:val="center"/>
              <w:rPr/>
            </w:pPr>
            <w:r>
              <w:rPr>
                <w:rFonts w:eastAsia="Times New Roman" w:cs="Times New Roman"/>
                <w:sz w:val="20"/>
                <w:szCs w:val="20"/>
                <w:lang w:val="en-US" w:bidi="fa-IR"/>
              </w:rPr>
              <w:t>Generative-AI use for investing</w:t>
            </w:r>
          </w:p>
        </w:tc>
        <w:tc>
          <w:tcPr>
            <w:tcW w:w="601" w:type="dxa"/>
            <w:tcBorders/>
            <w:vAlign w:val="center"/>
          </w:tcPr>
          <w:p>
            <w:pPr>
              <w:pStyle w:val="Normal"/>
              <w:spacing w:lineRule="auto" w:line="240" w:before="30" w:after="30"/>
              <w:jc w:val="center"/>
              <w:rPr/>
            </w:pPr>
            <w:r>
              <w:rPr>
                <w:rFonts w:eastAsia="Times New Roman" w:cs="Times New Roman"/>
                <w:sz w:val="20"/>
                <w:szCs w:val="20"/>
                <w:lang w:val="en-US" w:bidi="fa-IR"/>
              </w:rPr>
              <w:t>4</w:t>
            </w:r>
          </w:p>
        </w:tc>
        <w:tc>
          <w:tcPr>
            <w:tcW w:w="1999" w:type="dxa"/>
            <w:tcBorders/>
            <w:vAlign w:val="center"/>
          </w:tcPr>
          <w:p>
            <w:pPr>
              <w:pStyle w:val="Normal"/>
              <w:spacing w:lineRule="auto" w:line="240" w:before="30" w:after="30"/>
              <w:jc w:val="center"/>
              <w:rPr/>
            </w:pPr>
            <w:r>
              <w:rPr>
                <w:rFonts w:eastAsia="Times New Roman" w:cs="Times New Roman"/>
                <w:sz w:val="20"/>
                <w:szCs w:val="20"/>
                <w:lang w:val="en-US" w:bidi="fa-IR"/>
              </w:rPr>
              <w:t>Researcher-made (theory-derived)</w:t>
            </w:r>
          </w:p>
        </w:tc>
        <w:tc>
          <w:tcPr>
            <w:tcW w:w="3401" w:type="dxa"/>
            <w:tcBorders/>
            <w:vAlign w:val="center"/>
          </w:tcPr>
          <w:p>
            <w:pPr>
              <w:pStyle w:val="Normal"/>
              <w:spacing w:lineRule="auto" w:line="240" w:before="30" w:after="30"/>
              <w:jc w:val="center"/>
              <w:rPr/>
            </w:pPr>
            <w:r>
              <w:rPr>
                <w:rFonts w:eastAsia="Times New Roman" w:cs="Times New Roman"/>
                <w:sz w:val="20"/>
                <w:szCs w:val="20"/>
                <w:lang w:val="en-US" w:bidi="fa-IR"/>
              </w:rPr>
              <w:t>Venkatesh (2012)</w:t>
            </w:r>
          </w:p>
        </w:tc>
      </w:tr>
      <w:tr>
        <w:trPr>
          <w:cantSplit w:val="true"/>
        </w:trPr>
        <w:tc>
          <w:tcPr>
            <w:tcW w:w="599" w:type="dxa"/>
            <w:tcBorders/>
            <w:vAlign w:val="center"/>
          </w:tcPr>
          <w:p>
            <w:pPr>
              <w:pStyle w:val="Normal"/>
              <w:spacing w:lineRule="auto" w:line="240" w:before="30" w:after="30"/>
              <w:jc w:val="left"/>
              <w:rPr/>
            </w:pPr>
            <w:r>
              <w:rPr>
                <w:rFonts w:eastAsia="Times New Roman" w:cs="Times New Roman"/>
                <w:sz w:val="20"/>
                <w:szCs w:val="20"/>
                <w:lang w:val="en-US" w:bidi="fa-IR"/>
              </w:rPr>
              <w:t>FK</w:t>
            </w:r>
          </w:p>
        </w:tc>
        <w:tc>
          <w:tcPr>
            <w:tcW w:w="2700" w:type="dxa"/>
            <w:tcBorders/>
            <w:vAlign w:val="center"/>
          </w:tcPr>
          <w:p>
            <w:pPr>
              <w:pStyle w:val="Normal"/>
              <w:spacing w:lineRule="auto" w:line="240" w:before="30" w:after="30"/>
              <w:jc w:val="center"/>
              <w:rPr/>
            </w:pPr>
            <w:r>
              <w:rPr>
                <w:rFonts w:eastAsia="Times New Roman" w:cs="Times New Roman"/>
                <w:sz w:val="20"/>
                <w:szCs w:val="20"/>
                <w:lang w:val="en-US" w:bidi="fa-IR"/>
              </w:rPr>
              <w:t>Objective financial/accounting knowledge test (8 items, scored 0/1)</w:t>
            </w:r>
          </w:p>
        </w:tc>
        <w:tc>
          <w:tcPr>
            <w:tcW w:w="601" w:type="dxa"/>
            <w:tcBorders/>
            <w:vAlign w:val="center"/>
          </w:tcPr>
          <w:p>
            <w:pPr>
              <w:pStyle w:val="Normal"/>
              <w:spacing w:lineRule="auto" w:line="240" w:before="30" w:after="30"/>
              <w:jc w:val="center"/>
              <w:rPr/>
            </w:pPr>
            <w:r>
              <w:rPr>
                <w:rFonts w:eastAsia="Times New Roman" w:cs="Times New Roman"/>
                <w:sz w:val="20"/>
                <w:szCs w:val="20"/>
                <w:lang w:val="en-US" w:bidi="fa-IR"/>
              </w:rPr>
              <w:t>8</w:t>
            </w:r>
          </w:p>
        </w:tc>
        <w:tc>
          <w:tcPr>
            <w:tcW w:w="1999" w:type="dxa"/>
            <w:tcBorders/>
            <w:vAlign w:val="center"/>
          </w:tcPr>
          <w:p>
            <w:pPr>
              <w:pStyle w:val="Normal"/>
              <w:spacing w:lineRule="auto" w:line="240" w:before="30" w:after="30"/>
              <w:jc w:val="center"/>
              <w:rPr/>
            </w:pPr>
            <w:r>
              <w:rPr>
                <w:rFonts w:eastAsia="Times New Roman" w:cs="Times New Roman"/>
                <w:sz w:val="20"/>
                <w:szCs w:val="20"/>
                <w:lang w:val="en-US" w:bidi="fa-IR"/>
              </w:rPr>
              <w:t>Mixed: adapted + researcher-made</w:t>
            </w:r>
          </w:p>
        </w:tc>
        <w:tc>
          <w:tcPr>
            <w:tcW w:w="3401" w:type="dxa"/>
            <w:tcBorders/>
            <w:vAlign w:val="center"/>
          </w:tcPr>
          <w:p>
            <w:pPr>
              <w:pStyle w:val="Normal"/>
              <w:spacing w:lineRule="auto" w:line="240" w:before="30" w:after="30"/>
              <w:jc w:val="center"/>
              <w:rPr/>
            </w:pPr>
            <w:r>
              <w:rPr>
                <w:rFonts w:eastAsia="Times New Roman" w:cs="Times New Roman"/>
                <w:sz w:val="20"/>
                <w:szCs w:val="20"/>
                <w:lang w:val="en-US" w:bidi="fa-IR"/>
              </w:rPr>
              <w:t>Lusardi (2014); Van Rooij (2011)</w:t>
            </w:r>
          </w:p>
        </w:tc>
      </w:tr>
      <w:tr>
        <w:trPr>
          <w:cantSplit w:val="true"/>
        </w:trPr>
        <w:tc>
          <w:tcPr>
            <w:tcW w:w="599" w:type="dxa"/>
            <w:tcBorders/>
            <w:vAlign w:val="center"/>
          </w:tcPr>
          <w:p>
            <w:pPr>
              <w:pStyle w:val="Normal"/>
              <w:spacing w:lineRule="auto" w:line="240" w:before="30" w:after="30"/>
              <w:jc w:val="left"/>
              <w:rPr/>
            </w:pPr>
            <w:r>
              <w:rPr>
                <w:rFonts w:eastAsia="Times New Roman" w:cs="Times New Roman"/>
                <w:sz w:val="20"/>
                <w:szCs w:val="20"/>
                <w:lang w:val="en-US" w:bidi="fa-IR"/>
              </w:rPr>
              <w:t>CG</w:t>
            </w:r>
          </w:p>
        </w:tc>
        <w:tc>
          <w:tcPr>
            <w:tcW w:w="2700" w:type="dxa"/>
            <w:tcBorders/>
            <w:vAlign w:val="center"/>
          </w:tcPr>
          <w:p>
            <w:pPr>
              <w:pStyle w:val="Normal"/>
              <w:spacing w:lineRule="auto" w:line="240" w:before="30" w:after="30"/>
              <w:jc w:val="center"/>
              <w:rPr/>
            </w:pPr>
            <w:r>
              <w:rPr>
                <w:rFonts w:eastAsia="Times New Roman" w:cs="Times New Roman"/>
                <w:sz w:val="20"/>
                <w:szCs w:val="20"/>
                <w:lang w:val="en-US" w:bidi="fa-IR"/>
              </w:rPr>
              <w:t>Calibration gap (overestimation): predicted minus actual test score</w:t>
            </w:r>
          </w:p>
        </w:tc>
        <w:tc>
          <w:tcPr>
            <w:tcW w:w="601" w:type="dxa"/>
            <w:tcBorders/>
            <w:vAlign w:val="center"/>
          </w:tcPr>
          <w:p>
            <w:pPr>
              <w:pStyle w:val="Normal"/>
              <w:spacing w:lineRule="auto" w:line="240" w:before="30" w:after="30"/>
              <w:jc w:val="center"/>
              <w:rPr/>
            </w:pPr>
            <w:r>
              <w:rPr>
                <w:rFonts w:eastAsia="Times New Roman" w:cs="Times New Roman"/>
                <w:sz w:val="20"/>
                <w:szCs w:val="20"/>
                <w:lang w:val="en-US" w:bidi="fa-IR"/>
              </w:rPr>
              <w:t>2</w:t>
            </w:r>
          </w:p>
        </w:tc>
        <w:tc>
          <w:tcPr>
            <w:tcW w:w="1999" w:type="dxa"/>
            <w:tcBorders/>
            <w:vAlign w:val="center"/>
          </w:tcPr>
          <w:p>
            <w:pPr>
              <w:pStyle w:val="Normal"/>
              <w:spacing w:lineRule="auto" w:line="240" w:before="30" w:after="30"/>
              <w:jc w:val="center"/>
              <w:rPr/>
            </w:pPr>
            <w:r>
              <w:rPr>
                <w:rFonts w:eastAsia="Times New Roman" w:cs="Times New Roman"/>
                <w:sz w:val="20"/>
                <w:szCs w:val="20"/>
                <w:lang w:val="en-US" w:bidi="fa-IR"/>
              </w:rPr>
              <w:t>Research-based (adapted)</w:t>
            </w:r>
          </w:p>
        </w:tc>
        <w:tc>
          <w:tcPr>
            <w:tcW w:w="3401" w:type="dxa"/>
            <w:tcBorders/>
            <w:vAlign w:val="center"/>
          </w:tcPr>
          <w:p>
            <w:pPr>
              <w:pStyle w:val="Normal"/>
              <w:spacing w:lineRule="auto" w:line="240" w:before="30" w:after="30"/>
              <w:jc w:val="center"/>
              <w:rPr/>
            </w:pPr>
            <w:r>
              <w:rPr>
                <w:rFonts w:eastAsia="Times New Roman" w:cs="Times New Roman"/>
                <w:sz w:val="20"/>
                <w:szCs w:val="20"/>
                <w:lang w:val="en-US" w:bidi="fa-IR"/>
              </w:rPr>
              <w:t>Kruger (1999); Moore (2008); Ehrlinger (2008)</w:t>
            </w:r>
          </w:p>
        </w:tc>
      </w:tr>
      <w:tr>
        <w:trPr>
          <w:cantSplit w:val="true"/>
        </w:trPr>
        <w:tc>
          <w:tcPr>
            <w:tcW w:w="599" w:type="dxa"/>
            <w:tcBorders/>
            <w:vAlign w:val="center"/>
          </w:tcPr>
          <w:p>
            <w:pPr>
              <w:pStyle w:val="Normal"/>
              <w:spacing w:lineRule="auto" w:line="240" w:before="30" w:after="30"/>
              <w:jc w:val="left"/>
              <w:rPr/>
            </w:pPr>
            <w:r>
              <w:rPr>
                <w:rFonts w:eastAsia="Times New Roman" w:cs="Times New Roman"/>
                <w:sz w:val="20"/>
                <w:szCs w:val="20"/>
                <w:lang w:val="en-US" w:bidi="fa-IR"/>
              </w:rPr>
              <w:t>PCA</w:t>
            </w:r>
          </w:p>
        </w:tc>
        <w:tc>
          <w:tcPr>
            <w:tcW w:w="2700" w:type="dxa"/>
            <w:tcBorders/>
            <w:vAlign w:val="center"/>
          </w:tcPr>
          <w:p>
            <w:pPr>
              <w:pStyle w:val="Normal"/>
              <w:spacing w:lineRule="auto" w:line="240" w:before="30" w:after="30"/>
              <w:jc w:val="center"/>
              <w:rPr/>
            </w:pPr>
            <w:r>
              <w:rPr>
                <w:rFonts w:eastAsia="Times New Roman" w:cs="Times New Roman"/>
                <w:sz w:val="20"/>
                <w:szCs w:val="20"/>
                <w:lang w:val="en-US" w:bidi="fa-IR"/>
              </w:rPr>
              <w:t>Perceived competence with AI (the 'illusion' facet)</w:t>
            </w:r>
          </w:p>
        </w:tc>
        <w:tc>
          <w:tcPr>
            <w:tcW w:w="601" w:type="dxa"/>
            <w:tcBorders/>
            <w:vAlign w:val="center"/>
          </w:tcPr>
          <w:p>
            <w:pPr>
              <w:pStyle w:val="Normal"/>
              <w:spacing w:lineRule="auto" w:line="240" w:before="30" w:after="30"/>
              <w:jc w:val="center"/>
              <w:rPr/>
            </w:pPr>
            <w:r>
              <w:rPr>
                <w:rFonts w:eastAsia="Times New Roman" w:cs="Times New Roman"/>
                <w:sz w:val="20"/>
                <w:szCs w:val="20"/>
                <w:lang w:val="en-US" w:bidi="fa-IR"/>
              </w:rPr>
              <w:t>4</w:t>
            </w:r>
          </w:p>
        </w:tc>
        <w:tc>
          <w:tcPr>
            <w:tcW w:w="1999" w:type="dxa"/>
            <w:tcBorders/>
            <w:vAlign w:val="center"/>
          </w:tcPr>
          <w:p>
            <w:pPr>
              <w:pStyle w:val="Normal"/>
              <w:spacing w:lineRule="auto" w:line="240" w:before="30" w:after="30"/>
              <w:jc w:val="center"/>
              <w:rPr/>
            </w:pPr>
            <w:r>
              <w:rPr>
                <w:rFonts w:eastAsia="Times New Roman" w:cs="Times New Roman"/>
                <w:sz w:val="20"/>
                <w:szCs w:val="20"/>
                <w:lang w:val="en-US" w:bidi="fa-IR"/>
              </w:rPr>
              <w:t>Researcher-made (theory-derived)</w:t>
            </w:r>
          </w:p>
        </w:tc>
        <w:tc>
          <w:tcPr>
            <w:tcW w:w="3401" w:type="dxa"/>
            <w:tcBorders/>
            <w:vAlign w:val="center"/>
          </w:tcPr>
          <w:p>
            <w:pPr>
              <w:pStyle w:val="Normal"/>
              <w:spacing w:lineRule="auto" w:line="240" w:before="30" w:after="30"/>
              <w:jc w:val="center"/>
              <w:rPr/>
            </w:pPr>
            <w:r>
              <w:rPr>
                <w:rFonts w:eastAsia="Times New Roman" w:cs="Times New Roman"/>
                <w:sz w:val="20"/>
                <w:szCs w:val="20"/>
                <w:lang w:val="en-US" w:bidi="fa-IR"/>
              </w:rPr>
              <w:t>Moore (2008); Barber (2001); Grinblatt (2009); Glaser (2007)</w:t>
            </w:r>
          </w:p>
        </w:tc>
      </w:tr>
      <w:tr>
        <w:trPr>
          <w:cantSplit w:val="true"/>
        </w:trPr>
        <w:tc>
          <w:tcPr>
            <w:tcW w:w="599" w:type="dxa"/>
            <w:tcBorders/>
            <w:vAlign w:val="center"/>
          </w:tcPr>
          <w:p>
            <w:pPr>
              <w:pStyle w:val="Normal"/>
              <w:spacing w:lineRule="auto" w:line="240" w:before="30" w:after="30"/>
              <w:jc w:val="left"/>
              <w:rPr/>
            </w:pPr>
            <w:r>
              <w:rPr>
                <w:rFonts w:eastAsia="Times New Roman" w:cs="Times New Roman"/>
                <w:sz w:val="20"/>
                <w:szCs w:val="20"/>
                <w:lang w:val="en-US" w:bidi="fa-IR"/>
              </w:rPr>
              <w:t>UR</w:t>
            </w:r>
          </w:p>
        </w:tc>
        <w:tc>
          <w:tcPr>
            <w:tcW w:w="2700" w:type="dxa"/>
            <w:tcBorders/>
            <w:vAlign w:val="center"/>
          </w:tcPr>
          <w:p>
            <w:pPr>
              <w:pStyle w:val="Normal"/>
              <w:spacing w:lineRule="auto" w:line="240" w:before="30" w:after="30"/>
              <w:jc w:val="center"/>
              <w:rPr/>
            </w:pPr>
            <w:r>
              <w:rPr>
                <w:rFonts w:eastAsia="Times New Roman" w:cs="Times New Roman"/>
                <w:sz w:val="20"/>
                <w:szCs w:val="20"/>
                <w:lang w:val="en-US" w:bidi="fa-IR"/>
              </w:rPr>
              <w:t>Uncritical reliance on AI output (automation-bias tendency)</w:t>
            </w:r>
          </w:p>
        </w:tc>
        <w:tc>
          <w:tcPr>
            <w:tcW w:w="601" w:type="dxa"/>
            <w:tcBorders/>
            <w:vAlign w:val="center"/>
          </w:tcPr>
          <w:p>
            <w:pPr>
              <w:pStyle w:val="Normal"/>
              <w:spacing w:lineRule="auto" w:line="240" w:before="30" w:after="30"/>
              <w:jc w:val="center"/>
              <w:rPr/>
            </w:pPr>
            <w:r>
              <w:rPr>
                <w:rFonts w:eastAsia="Times New Roman" w:cs="Times New Roman"/>
                <w:sz w:val="20"/>
                <w:szCs w:val="20"/>
                <w:lang w:val="en-US" w:bidi="fa-IR"/>
              </w:rPr>
              <w:t>4</w:t>
            </w:r>
          </w:p>
        </w:tc>
        <w:tc>
          <w:tcPr>
            <w:tcW w:w="1999" w:type="dxa"/>
            <w:tcBorders/>
            <w:vAlign w:val="center"/>
          </w:tcPr>
          <w:p>
            <w:pPr>
              <w:pStyle w:val="Normal"/>
              <w:spacing w:lineRule="auto" w:line="240" w:before="30" w:after="30"/>
              <w:jc w:val="center"/>
              <w:rPr/>
            </w:pPr>
            <w:r>
              <w:rPr>
                <w:rFonts w:eastAsia="Times New Roman" w:cs="Times New Roman"/>
                <w:sz w:val="20"/>
                <w:szCs w:val="20"/>
                <w:lang w:val="en-US" w:bidi="fa-IR"/>
              </w:rPr>
              <w:t>Researcher-made (theory-derived)</w:t>
            </w:r>
          </w:p>
        </w:tc>
        <w:tc>
          <w:tcPr>
            <w:tcW w:w="3401" w:type="dxa"/>
            <w:tcBorders/>
            <w:vAlign w:val="center"/>
          </w:tcPr>
          <w:p>
            <w:pPr>
              <w:pStyle w:val="Normal"/>
              <w:spacing w:lineRule="auto" w:line="240" w:before="30" w:after="30"/>
              <w:jc w:val="center"/>
              <w:rPr/>
            </w:pPr>
            <w:r>
              <w:rPr>
                <w:rFonts w:eastAsia="Times New Roman" w:cs="Times New Roman"/>
                <w:sz w:val="20"/>
                <w:szCs w:val="20"/>
                <w:lang w:val="en-US" w:bidi="fa-IR"/>
              </w:rPr>
              <w:t>Parasuraman (2010); Goddard (2012); Skitka (1999); Lee (2004); Jian (2000); Dietvorst (2015); Logg (2019)</w:t>
            </w:r>
          </w:p>
        </w:tc>
      </w:tr>
      <w:tr>
        <w:trPr>
          <w:cantSplit w:val="true"/>
        </w:trPr>
        <w:tc>
          <w:tcPr>
            <w:tcW w:w="599" w:type="dxa"/>
            <w:tcBorders/>
            <w:vAlign w:val="center"/>
          </w:tcPr>
          <w:p>
            <w:pPr>
              <w:pStyle w:val="Normal"/>
              <w:spacing w:lineRule="auto" w:line="240" w:before="30" w:after="30"/>
              <w:jc w:val="left"/>
              <w:rPr/>
            </w:pPr>
            <w:r>
              <w:rPr>
                <w:rFonts w:eastAsia="Times New Roman" w:cs="Times New Roman"/>
                <w:sz w:val="20"/>
                <w:szCs w:val="20"/>
                <w:lang w:val="en-US" w:bidi="fa-IR"/>
              </w:rPr>
              <w:t>VER</w:t>
            </w:r>
          </w:p>
        </w:tc>
        <w:tc>
          <w:tcPr>
            <w:tcW w:w="2700" w:type="dxa"/>
            <w:tcBorders/>
            <w:vAlign w:val="center"/>
          </w:tcPr>
          <w:p>
            <w:pPr>
              <w:pStyle w:val="Normal"/>
              <w:spacing w:lineRule="auto" w:line="240" w:before="30" w:after="30"/>
              <w:jc w:val="center"/>
              <w:rPr/>
            </w:pPr>
            <w:r>
              <w:rPr>
                <w:rFonts w:eastAsia="Times New Roman" w:cs="Times New Roman"/>
                <w:sz w:val="20"/>
                <w:szCs w:val="20"/>
                <w:lang w:val="en-US" w:bidi="fa-IR"/>
              </w:rPr>
              <w:t>Verification behaviour (calibrated reliance)</w:t>
            </w:r>
          </w:p>
        </w:tc>
        <w:tc>
          <w:tcPr>
            <w:tcW w:w="601" w:type="dxa"/>
            <w:tcBorders/>
            <w:vAlign w:val="center"/>
          </w:tcPr>
          <w:p>
            <w:pPr>
              <w:pStyle w:val="Normal"/>
              <w:spacing w:lineRule="auto" w:line="240" w:before="30" w:after="30"/>
              <w:jc w:val="center"/>
              <w:rPr/>
            </w:pPr>
            <w:r>
              <w:rPr>
                <w:rFonts w:eastAsia="Times New Roman" w:cs="Times New Roman"/>
                <w:sz w:val="20"/>
                <w:szCs w:val="20"/>
                <w:lang w:val="en-US" w:bidi="fa-IR"/>
              </w:rPr>
              <w:t>4</w:t>
            </w:r>
          </w:p>
        </w:tc>
        <w:tc>
          <w:tcPr>
            <w:tcW w:w="1999" w:type="dxa"/>
            <w:tcBorders/>
            <w:vAlign w:val="center"/>
          </w:tcPr>
          <w:p>
            <w:pPr>
              <w:pStyle w:val="Normal"/>
              <w:spacing w:lineRule="auto" w:line="240" w:before="30" w:after="30"/>
              <w:jc w:val="center"/>
              <w:rPr/>
            </w:pPr>
            <w:r>
              <w:rPr>
                <w:rFonts w:eastAsia="Times New Roman" w:cs="Times New Roman"/>
                <w:sz w:val="20"/>
                <w:szCs w:val="20"/>
                <w:lang w:val="en-US" w:bidi="fa-IR"/>
              </w:rPr>
              <w:t>Researcher-made (theory-derived)</w:t>
            </w:r>
          </w:p>
        </w:tc>
        <w:tc>
          <w:tcPr>
            <w:tcW w:w="3401" w:type="dxa"/>
            <w:tcBorders/>
            <w:vAlign w:val="center"/>
          </w:tcPr>
          <w:p>
            <w:pPr>
              <w:pStyle w:val="Normal"/>
              <w:spacing w:lineRule="auto" w:line="240" w:before="30" w:after="30"/>
              <w:jc w:val="center"/>
              <w:rPr/>
            </w:pPr>
            <w:r>
              <w:rPr>
                <w:rFonts w:eastAsia="Times New Roman" w:cs="Times New Roman"/>
                <w:sz w:val="20"/>
                <w:szCs w:val="20"/>
                <w:lang w:val="en-US" w:bidi="fa-IR"/>
              </w:rPr>
              <w:t>Lee (2004); Hoff (2015); Pennycook (2019); Ji (2023)</w:t>
            </w:r>
          </w:p>
        </w:tc>
      </w:tr>
      <w:tr>
        <w:trPr>
          <w:cantSplit w:val="true"/>
        </w:trPr>
        <w:tc>
          <w:tcPr>
            <w:tcW w:w="599" w:type="dxa"/>
            <w:tcBorders/>
            <w:vAlign w:val="center"/>
          </w:tcPr>
          <w:p>
            <w:pPr>
              <w:pStyle w:val="Normal"/>
              <w:spacing w:lineRule="auto" w:line="240" w:before="30" w:after="30"/>
              <w:jc w:val="left"/>
              <w:rPr/>
            </w:pPr>
            <w:r>
              <w:rPr>
                <w:rFonts w:eastAsia="Times New Roman" w:cs="Times New Roman"/>
                <w:sz w:val="20"/>
                <w:szCs w:val="20"/>
                <w:lang w:val="en-US" w:bidi="fa-IR"/>
              </w:rPr>
              <w:t>AIL</w:t>
            </w:r>
          </w:p>
        </w:tc>
        <w:tc>
          <w:tcPr>
            <w:tcW w:w="2700" w:type="dxa"/>
            <w:tcBorders/>
            <w:vAlign w:val="center"/>
          </w:tcPr>
          <w:p>
            <w:pPr>
              <w:pStyle w:val="Normal"/>
              <w:spacing w:lineRule="auto" w:line="240" w:before="30" w:after="30"/>
              <w:jc w:val="center"/>
              <w:rPr/>
            </w:pPr>
            <w:r>
              <w:rPr>
                <w:rFonts w:eastAsia="Times New Roman" w:cs="Times New Roman"/>
                <w:sz w:val="20"/>
                <w:szCs w:val="20"/>
                <w:lang w:val="en-US" w:bidi="fa-IR"/>
              </w:rPr>
              <w:t>AI literacy</w:t>
            </w:r>
          </w:p>
        </w:tc>
        <w:tc>
          <w:tcPr>
            <w:tcW w:w="601" w:type="dxa"/>
            <w:tcBorders/>
            <w:vAlign w:val="center"/>
          </w:tcPr>
          <w:p>
            <w:pPr>
              <w:pStyle w:val="Normal"/>
              <w:spacing w:lineRule="auto" w:line="240" w:before="30" w:after="30"/>
              <w:jc w:val="center"/>
              <w:rPr/>
            </w:pPr>
            <w:r>
              <w:rPr>
                <w:rFonts w:eastAsia="Times New Roman" w:cs="Times New Roman"/>
                <w:sz w:val="20"/>
                <w:szCs w:val="20"/>
                <w:lang w:val="en-US" w:bidi="fa-IR"/>
              </w:rPr>
              <w:t>6</w:t>
            </w:r>
          </w:p>
        </w:tc>
        <w:tc>
          <w:tcPr>
            <w:tcW w:w="1999" w:type="dxa"/>
            <w:tcBorders/>
            <w:vAlign w:val="center"/>
          </w:tcPr>
          <w:p>
            <w:pPr>
              <w:pStyle w:val="Normal"/>
              <w:spacing w:lineRule="auto" w:line="240" w:before="30" w:after="30"/>
              <w:jc w:val="center"/>
              <w:rPr/>
            </w:pPr>
            <w:r>
              <w:rPr>
                <w:rFonts w:eastAsia="Times New Roman" w:cs="Times New Roman"/>
                <w:sz w:val="20"/>
                <w:szCs w:val="20"/>
                <w:lang w:val="en-US" w:bidi="fa-IR"/>
              </w:rPr>
              <w:t>Research-based (adapted)</w:t>
            </w:r>
          </w:p>
        </w:tc>
        <w:tc>
          <w:tcPr>
            <w:tcW w:w="3401" w:type="dxa"/>
            <w:tcBorders/>
            <w:vAlign w:val="center"/>
          </w:tcPr>
          <w:p>
            <w:pPr>
              <w:pStyle w:val="Normal"/>
              <w:spacing w:lineRule="auto" w:line="240" w:before="30" w:after="30"/>
              <w:jc w:val="center"/>
              <w:rPr/>
            </w:pPr>
            <w:r>
              <w:rPr>
                <w:rFonts w:eastAsia="Times New Roman" w:cs="Times New Roman"/>
                <w:sz w:val="20"/>
                <w:szCs w:val="20"/>
                <w:lang w:val="en-US" w:bidi="fa-IR"/>
              </w:rPr>
              <w:t>Wang (2023); Ng (2021); Long (2020)</w:t>
            </w:r>
          </w:p>
        </w:tc>
      </w:tr>
      <w:tr>
        <w:trPr>
          <w:cantSplit w:val="true"/>
        </w:trPr>
        <w:tc>
          <w:tcPr>
            <w:tcW w:w="599" w:type="dxa"/>
            <w:tcBorders/>
            <w:vAlign w:val="center"/>
          </w:tcPr>
          <w:p>
            <w:pPr>
              <w:pStyle w:val="Normal"/>
              <w:spacing w:lineRule="auto" w:line="240" w:before="30" w:after="30"/>
              <w:jc w:val="left"/>
              <w:rPr/>
            </w:pPr>
            <w:r>
              <w:rPr>
                <w:rFonts w:eastAsia="Times New Roman" w:cs="Times New Roman"/>
                <w:sz w:val="20"/>
                <w:szCs w:val="20"/>
                <w:lang w:val="en-US" w:bidi="fa-IR"/>
              </w:rPr>
              <w:t>IDQ</w:t>
            </w:r>
          </w:p>
        </w:tc>
        <w:tc>
          <w:tcPr>
            <w:tcW w:w="2700" w:type="dxa"/>
            <w:tcBorders/>
            <w:vAlign w:val="center"/>
          </w:tcPr>
          <w:p>
            <w:pPr>
              <w:pStyle w:val="Normal"/>
              <w:spacing w:lineRule="auto" w:line="240" w:before="30" w:after="30"/>
              <w:jc w:val="center"/>
              <w:rPr/>
            </w:pPr>
            <w:r>
              <w:rPr>
                <w:rFonts w:eastAsia="Times New Roman" w:cs="Times New Roman"/>
                <w:sz w:val="20"/>
                <w:szCs w:val="20"/>
                <w:lang w:val="en-US" w:bidi="fa-IR"/>
              </w:rPr>
              <w:t>Investment decision quality</w:t>
            </w:r>
          </w:p>
        </w:tc>
        <w:tc>
          <w:tcPr>
            <w:tcW w:w="601" w:type="dxa"/>
            <w:tcBorders/>
            <w:vAlign w:val="center"/>
          </w:tcPr>
          <w:p>
            <w:pPr>
              <w:pStyle w:val="Normal"/>
              <w:spacing w:lineRule="auto" w:line="240" w:before="30" w:after="30"/>
              <w:jc w:val="center"/>
              <w:rPr/>
            </w:pPr>
            <w:r>
              <w:rPr>
                <w:rFonts w:eastAsia="Times New Roman" w:cs="Times New Roman"/>
                <w:sz w:val="20"/>
                <w:szCs w:val="20"/>
                <w:lang w:val="en-US" w:bidi="fa-IR"/>
              </w:rPr>
              <w:t>5</w:t>
            </w:r>
          </w:p>
        </w:tc>
        <w:tc>
          <w:tcPr>
            <w:tcW w:w="1999" w:type="dxa"/>
            <w:tcBorders/>
            <w:vAlign w:val="center"/>
          </w:tcPr>
          <w:p>
            <w:pPr>
              <w:pStyle w:val="Normal"/>
              <w:spacing w:lineRule="auto" w:line="240" w:before="30" w:after="30"/>
              <w:jc w:val="center"/>
              <w:rPr/>
            </w:pPr>
            <w:r>
              <w:rPr>
                <w:rFonts w:eastAsia="Times New Roman" w:cs="Times New Roman"/>
                <w:sz w:val="20"/>
                <w:szCs w:val="20"/>
                <w:lang w:val="en-US" w:bidi="fa-IR"/>
              </w:rPr>
              <w:t>Mixed: adapted + researcher-made</w:t>
            </w:r>
          </w:p>
        </w:tc>
        <w:tc>
          <w:tcPr>
            <w:tcW w:w="3401" w:type="dxa"/>
            <w:tcBorders/>
            <w:vAlign w:val="center"/>
          </w:tcPr>
          <w:p>
            <w:pPr>
              <w:pStyle w:val="Normal"/>
              <w:spacing w:lineRule="auto" w:line="240" w:before="30" w:after="30"/>
              <w:jc w:val="center"/>
              <w:rPr/>
            </w:pPr>
            <w:r>
              <w:rPr>
                <w:rFonts w:eastAsia="Times New Roman" w:cs="Times New Roman"/>
                <w:sz w:val="20"/>
                <w:szCs w:val="20"/>
                <w:lang w:val="en-US" w:bidi="fa-IR"/>
              </w:rPr>
              <w:t>Parker (2005); Bruine de Bruin (2007)</w:t>
            </w:r>
          </w:p>
        </w:tc>
      </w:tr>
      <w:tr>
        <w:trPr>
          <w:cantSplit w:val="true"/>
        </w:trPr>
        <w:tc>
          <w:tcPr>
            <w:tcW w:w="5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VIG</w:t>
            </w:r>
          </w:p>
        </w:tc>
        <w:tc>
          <w:tcPr>
            <w:tcW w:w="27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Vignette task: acceptance of incorrect AI advice (behavioural criterion)</w:t>
            </w:r>
          </w:p>
        </w:tc>
        <w:tc>
          <w:tcPr>
            <w:tcW w:w="601"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4</w:t>
            </w:r>
          </w:p>
        </w:tc>
        <w:tc>
          <w:tcPr>
            <w:tcW w:w="1999"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Researcher-made (theory-derived)</w:t>
            </w:r>
          </w:p>
        </w:tc>
        <w:tc>
          <w:tcPr>
            <w:tcW w:w="3401"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Dietvorst (2015); Logg (2019); D'Acunto (2019)</w:t>
            </w:r>
          </w:p>
        </w:tc>
      </w:tr>
    </w:tbl>
    <w:p>
      <w:pPr>
        <w:pStyle w:val="Normal"/>
        <w:spacing w:lineRule="auto" w:line="276" w:before="0" w:after="100"/>
        <w:ind w:firstLine="425"/>
        <w:jc w:val="both"/>
        <w:rPr/>
      </w:pPr>
      <w:r>
        <w:rPr/>
      </w:r>
    </w:p>
    <w:p>
      <w:pPr>
        <w:pStyle w:val="Normal"/>
        <w:spacing w:lineRule="auto" w:line="276" w:before="0" w:after="80"/>
        <w:jc w:val="both"/>
        <w:rPr/>
      </w:pPr>
      <w:r>
        <w:rPr>
          <w:rFonts w:eastAsia="Times New Roman" w:cs="Times New Roman"/>
          <w:sz w:val="24"/>
          <w:szCs w:val="24"/>
          <w:lang w:val="en-US" w:bidi="fa-IR"/>
        </w:rPr>
        <w:t xml:space="preserve">Reading guide. </w:t>
      </w:r>
      <w:r>
        <w:rPr>
          <w:rFonts w:eastAsia="Times New Roman" w:cs="Times New Roman"/>
          <w:i/>
          <w:iCs/>
          <w:sz w:val="24"/>
          <w:szCs w:val="24"/>
          <w:lang w:val="en-US" w:bidi="fa-IR"/>
        </w:rPr>
        <w:t>Research-based</w:t>
      </w:r>
      <w:r>
        <w:rPr>
          <w:rFonts w:eastAsia="Times New Roman" w:cs="Times New Roman"/>
          <w:sz w:val="24"/>
          <w:szCs w:val="24"/>
          <w:lang w:val="en-US" w:bidi="fa-IR"/>
        </w:rPr>
        <w:t xml:space="preserve"> = the construct and its item logic come from a published instrument or an established measurement method and were adapted (translated, re-worded, shortened) without changing the construct. </w:t>
      </w:r>
      <w:r>
        <w:rPr>
          <w:rFonts w:eastAsia="Times New Roman" w:cs="Times New Roman"/>
          <w:i/>
          <w:iCs/>
          <w:sz w:val="24"/>
          <w:szCs w:val="24"/>
          <w:lang w:val="en-US" w:bidi="fa-IR"/>
        </w:rPr>
        <w:t>Researcher-made</w:t>
      </w:r>
      <w:r>
        <w:rPr>
          <w:rFonts w:eastAsia="Times New Roman" w:cs="Times New Roman"/>
          <w:sz w:val="24"/>
          <w:szCs w:val="24"/>
          <w:lang w:val="en-US" w:bidi="fa-IR"/>
        </w:rPr>
        <w:t xml:space="preserve"> = no published scale fits the construct; items were written by the authors from theory and require full validation. All Likert items are 5-point; higher scores mean more of the construct. Latent variables are never summed or averaged: every item is attached to its own latent variable in the SEM.</w:t>
      </w:r>
    </w:p>
    <w:p>
      <w:pPr>
        <w:pStyle w:val="Normal"/>
        <w:keepNext w:val="true"/>
        <w:spacing w:lineRule="auto" w:line="276" w:before="200" w:after="80"/>
        <w:jc w:val="left"/>
        <w:rPr/>
      </w:pPr>
      <w:r>
        <w:rPr>
          <w:rFonts w:eastAsia="Times New Roman" w:cs="Times New Roman"/>
          <w:b/>
          <w:bCs/>
          <w:sz w:val="26"/>
          <w:szCs w:val="26"/>
          <w:lang w:val="en-US" w:bidi="fa-IR"/>
        </w:rPr>
        <w:t>2. Instrument by variable</w:t>
      </w:r>
    </w:p>
    <w:p>
      <w:pPr>
        <w:pStyle w:val="Normal"/>
        <w:keepNext w:val="true"/>
        <w:spacing w:lineRule="auto" w:line="276" w:before="140" w:after="60"/>
        <w:jc w:val="left"/>
        <w:rPr/>
      </w:pPr>
      <w:r>
        <w:rPr>
          <w:rFonts w:eastAsia="Times New Roman" w:cs="Times New Roman"/>
          <w:b/>
          <w:bCs/>
          <w:sz w:val="24"/>
          <w:szCs w:val="24"/>
          <w:lang w:val="en-US" w:bidi="fa-IR"/>
        </w:rPr>
        <w:t>2.1 Generative-AI use for investing (GUI)</w:t>
      </w:r>
    </w:p>
    <w:p>
      <w:pPr>
        <w:pStyle w:val="Normal"/>
        <w:spacing w:lineRule="auto" w:line="276" w:before="0" w:after="80"/>
        <w:jc w:val="both"/>
        <w:rPr/>
      </w:pPr>
      <w:r>
        <w:rPr>
          <w:rFonts w:eastAsia="Times New Roman" w:cs="Times New Roman"/>
          <w:b/>
          <w:bCs/>
          <w:sz w:val="24"/>
          <w:szCs w:val="24"/>
          <w:lang w:val="en-US" w:bidi="fa-IR"/>
        </w:rPr>
        <w:t>Origin:</w:t>
      </w:r>
      <w:r>
        <w:rPr>
          <w:rFonts w:eastAsia="Times New Roman" w:cs="Times New Roman"/>
          <w:sz w:val="24"/>
          <w:szCs w:val="24"/>
          <w:lang w:val="en-US" w:bidi="fa-IR"/>
        </w:rPr>
        <w:t xml:space="preserve"> Researcher-made (theory-derived).  </w:t>
      </w:r>
      <w:r>
        <w:rPr>
          <w:rFonts w:eastAsia="Times New Roman" w:cs="Times New Roman"/>
          <w:b/>
          <w:bCs/>
          <w:sz w:val="24"/>
          <w:szCs w:val="24"/>
          <w:lang w:val="en-US" w:bidi="fa-IR"/>
        </w:rPr>
        <w:t>Response format:</w:t>
      </w:r>
      <w:r>
        <w:rPr>
          <w:rFonts w:eastAsia="Times New Roman" w:cs="Times New Roman"/>
          <w:sz w:val="24"/>
          <w:szCs w:val="24"/>
          <w:lang w:val="en-US" w:bidi="fa-IR"/>
        </w:rPr>
        <w:t xml:space="preserve"> 1 = never … 5 = always.  </w:t>
      </w:r>
      <w:r>
        <w:rPr>
          <w:rFonts w:eastAsia="Times New Roman" w:cs="Times New Roman"/>
          <w:b/>
          <w:bCs/>
          <w:sz w:val="24"/>
          <w:szCs w:val="24"/>
          <w:lang w:val="en-US" w:bidi="fa-IR"/>
        </w:rPr>
        <w:t>Role in the model:</w:t>
      </w:r>
      <w:r>
        <w:rPr>
          <w:rFonts w:eastAsia="Times New Roman" w:cs="Times New Roman"/>
          <w:sz w:val="24"/>
          <w:szCs w:val="24"/>
          <w:lang w:val="en-US" w:bidi="fa-IR"/>
        </w:rPr>
        <w:t xml:space="preserve"> Exogenous latent (reflective).</w:t>
      </w:r>
    </w:p>
    <w:p>
      <w:pPr>
        <w:pStyle w:val="Normal"/>
        <w:spacing w:lineRule="auto" w:line="276" w:before="0" w:after="80"/>
        <w:jc w:val="both"/>
        <w:rPr/>
      </w:pPr>
      <w:r>
        <w:rPr>
          <w:rFonts w:eastAsia="Times New Roman" w:cs="Times New Roman"/>
          <w:b/>
          <w:bCs/>
          <w:sz w:val="24"/>
          <w:szCs w:val="24"/>
          <w:lang w:val="en-US" w:bidi="fa-IR"/>
        </w:rPr>
        <w:t>Basis and status.</w:t>
      </w:r>
      <w:r>
        <w:rPr>
          <w:rFonts w:eastAsia="Times New Roman" w:cs="Times New Roman"/>
          <w:sz w:val="24"/>
          <w:szCs w:val="24"/>
          <w:lang w:val="en-US" w:bidi="fa-IR"/>
        </w:rPr>
        <w:t xml:space="preserve"> No validated scale exists for investor use of generative AI. Items were written by the authors; only the frequency/intensity format follows the use-behaviour logic of UTAUT2 (Venkatesh et al., 2012). Status: researcher-made, to be validated (CVR/CVI, pilot, EFA/CFA).</w:t>
      </w:r>
    </w:p>
    <w:p>
      <w:pPr>
        <w:pStyle w:val="Normal"/>
        <w:keepNext w:val="true"/>
        <w:spacing w:lineRule="auto" w:line="276" w:before="140" w:after="60"/>
        <w:jc w:val="left"/>
        <w:rPr/>
      </w:pPr>
      <w:r>
        <w:rPr>
          <w:rFonts w:eastAsia="Times New Roman" w:cs="Times New Roman"/>
          <w:b/>
          <w:bCs/>
          <w:sz w:val="22"/>
          <w:szCs w:val="22"/>
          <w:lang w:val="en-US" w:bidi="fa-IR"/>
        </w:rPr>
        <w:t>Table 2.1. Items of GUI</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GUI1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use generative-AI tools (e.g., ChatGPT, Gemini, Copilot, DeepSeek) to analyse stocks or other investment options.</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GUI2</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Generative AI supplies a substantial share of the information I need for my investment decisions.</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GUI3</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Before buying or selling a stock I usually ask a generative-AI tool for its view.</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GUI4</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Using generative AI has become part of my routine investment analysis.</w:t>
            </w:r>
          </w:p>
        </w:tc>
      </w:tr>
    </w:tbl>
    <w:p>
      <w:pPr>
        <w:pStyle w:val="Normal"/>
        <w:spacing w:lineRule="auto" w:line="276" w:before="0" w:after="100"/>
        <w:ind w:firstLine="425"/>
        <w:jc w:val="both"/>
        <w:rPr/>
      </w:pPr>
      <w:r>
        <w:rPr/>
      </w:r>
    </w:p>
    <w:p>
      <w:pPr>
        <w:pStyle w:val="Normal"/>
        <w:spacing w:lineRule="auto" w:line="276" w:before="0" w:after="30"/>
        <w:jc w:val="both"/>
        <w:rPr/>
      </w:pPr>
      <w:r>
        <w:rPr>
          <w:rFonts w:eastAsia="Times New Roman" w:cs="Times New Roman"/>
          <w:b/>
          <w:bCs/>
          <w:sz w:val="24"/>
          <w:szCs w:val="24"/>
          <w:lang w:val="en-US" w:bidi="fa-IR"/>
        </w:rPr>
        <w:t>References for this variable</w:t>
      </w:r>
    </w:p>
    <w:p>
      <w:pPr>
        <w:pStyle w:val="Normal"/>
        <w:spacing w:lineRule="auto" w:line="240" w:before="0" w:after="60"/>
        <w:ind w:hanging="567" w:left="567"/>
        <w:jc w:val="left"/>
        <w:rPr/>
      </w:pPr>
      <w:r>
        <w:rPr>
          <w:rFonts w:eastAsia="Times New Roman" w:cs="Times New Roman"/>
          <w:sz w:val="22"/>
          <w:szCs w:val="22"/>
          <w:lang w:val="en-US" w:bidi="fa-IR"/>
        </w:rPr>
        <w:t xml:space="preserve">Venkatesh, V., Thong, J. Y. L., &amp; Xu, X. (2012). Consumer acceptance and use of information technology: Extending the unified theory of acceptance and use of technology. </w:t>
      </w:r>
      <w:r>
        <w:rPr>
          <w:rFonts w:eastAsia="Times New Roman" w:cs="Times New Roman"/>
          <w:i/>
          <w:iCs/>
          <w:sz w:val="22"/>
          <w:szCs w:val="22"/>
          <w:lang w:val="en-US" w:bidi="fa-IR"/>
        </w:rPr>
        <w:t>MIS Quarterly, 36</w:t>
      </w:r>
      <w:r>
        <w:rPr>
          <w:rFonts w:eastAsia="Times New Roman" w:cs="Times New Roman"/>
          <w:sz w:val="22"/>
          <w:szCs w:val="22"/>
          <w:lang w:val="en-US" w:bidi="fa-IR"/>
        </w:rPr>
        <w:t>(1), 157–178. https://doi.org/10.2307/41410412</w:t>
      </w:r>
    </w:p>
    <w:p>
      <w:pPr>
        <w:pStyle w:val="Normal"/>
        <w:keepNext w:val="true"/>
        <w:spacing w:lineRule="auto" w:line="276" w:before="140" w:after="60"/>
        <w:jc w:val="left"/>
        <w:rPr/>
      </w:pPr>
      <w:r>
        <w:rPr>
          <w:rFonts w:eastAsia="Times New Roman" w:cs="Times New Roman"/>
          <w:b/>
          <w:bCs/>
          <w:sz w:val="24"/>
          <w:szCs w:val="24"/>
          <w:lang w:val="en-US" w:bidi="fa-IR"/>
        </w:rPr>
        <w:t>2.2 Objective financial/accounting knowledge test (8 items, scored 0/1) (FK)</w:t>
      </w:r>
    </w:p>
    <w:p>
      <w:pPr>
        <w:pStyle w:val="Normal"/>
        <w:spacing w:lineRule="auto" w:line="276" w:before="0" w:after="80"/>
        <w:jc w:val="both"/>
        <w:rPr/>
      </w:pPr>
      <w:r>
        <w:rPr>
          <w:rFonts w:eastAsia="Times New Roman" w:cs="Times New Roman"/>
          <w:b/>
          <w:bCs/>
          <w:sz w:val="24"/>
          <w:szCs w:val="24"/>
          <w:lang w:val="en-US" w:bidi="fa-IR"/>
        </w:rPr>
        <w:t>Origin:</w:t>
      </w:r>
      <w:r>
        <w:rPr>
          <w:rFonts w:eastAsia="Times New Roman" w:cs="Times New Roman"/>
          <w:sz w:val="24"/>
          <w:szCs w:val="24"/>
          <w:lang w:val="en-US" w:bidi="fa-IR"/>
        </w:rPr>
        <w:t xml:space="preserve"> Mixed: adapted + researcher-made.  </w:t>
      </w:r>
      <w:r>
        <w:rPr>
          <w:rFonts w:eastAsia="Times New Roman" w:cs="Times New Roman"/>
          <w:b/>
          <w:bCs/>
          <w:sz w:val="24"/>
          <w:szCs w:val="24"/>
          <w:lang w:val="en-US" w:bidi="fa-IR"/>
        </w:rPr>
        <w:t>Response format:</w:t>
      </w:r>
      <w:r>
        <w:rPr>
          <w:rFonts w:eastAsia="Times New Roman" w:cs="Times New Roman"/>
          <w:sz w:val="24"/>
          <w:szCs w:val="24"/>
          <w:lang w:val="en-US" w:bidi="fa-IR"/>
        </w:rPr>
        <w:t xml:space="preserve"> Multiple choice / true–false–don't know; correct = 1.  </w:t>
      </w:r>
      <w:r>
        <w:rPr>
          <w:rFonts w:eastAsia="Times New Roman" w:cs="Times New Roman"/>
          <w:b/>
          <w:bCs/>
          <w:sz w:val="24"/>
          <w:szCs w:val="24"/>
          <w:lang w:val="en-US" w:bidi="fa-IR"/>
        </w:rPr>
        <w:t>Role in the model:</w:t>
      </w:r>
      <w:r>
        <w:rPr>
          <w:rFonts w:eastAsia="Times New Roman" w:cs="Times New Roman"/>
          <w:sz w:val="24"/>
          <w:szCs w:val="24"/>
          <w:lang w:val="en-US" w:bidi="fa-IR"/>
        </w:rPr>
        <w:t xml:space="preserve"> Latent 'knowledge' (KR-20) – the moderator is modelled through the standardized test score.</w:t>
      </w:r>
    </w:p>
    <w:p>
      <w:pPr>
        <w:pStyle w:val="Normal"/>
        <w:spacing w:lineRule="auto" w:line="276" w:before="0" w:after="80"/>
        <w:jc w:val="both"/>
        <w:rPr/>
      </w:pPr>
      <w:r>
        <w:rPr>
          <w:rFonts w:eastAsia="Times New Roman" w:cs="Times New Roman"/>
          <w:b/>
          <w:bCs/>
          <w:sz w:val="24"/>
          <w:szCs w:val="24"/>
          <w:lang w:val="en-US" w:bidi="fa-IR"/>
        </w:rPr>
        <w:t>Basis and status.</w:t>
      </w:r>
      <w:r>
        <w:rPr>
          <w:rFonts w:eastAsia="Times New Roman" w:cs="Times New Roman"/>
          <w:sz w:val="24"/>
          <w:szCs w:val="24"/>
          <w:lang w:val="en-US" w:bidi="fa-IR"/>
        </w:rPr>
        <w:t xml:space="preserve"> FK1, FK2, FK7, FK8 follow the logic of the 'Big Three' / OECD-style questions (inflation, risk diversification, compounding) of Lusardi &amp; Mitchell (2014) and Van Rooij et al. (2011), rewritten with local numbers; FK3–FK6 (P/E, EPS, cash-flow vs. profit, audit opinion) are researcher-made accounting items. Status: partly research-based, partly researcher-made.</w:t>
      </w:r>
    </w:p>
    <w:p>
      <w:pPr>
        <w:pStyle w:val="Normal"/>
        <w:keepNext w:val="true"/>
        <w:spacing w:lineRule="auto" w:line="276" w:before="140" w:after="60"/>
        <w:jc w:val="left"/>
        <w:rPr/>
      </w:pPr>
      <w:r>
        <w:rPr>
          <w:rFonts w:eastAsia="Times New Roman" w:cs="Times New Roman"/>
          <w:b/>
          <w:bCs/>
          <w:sz w:val="22"/>
          <w:szCs w:val="22"/>
          <w:lang w:val="en-US" w:bidi="fa-IR"/>
        </w:rPr>
        <w:t>Table 2.2. Items of FK</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FK1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Your deposit earns 20% per year and inflation is 35% per year. After one year, the purchasing power of the deposit will: (a) increase (b) decrease* (c) stay the same (d) don't know</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FK2</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'Buying the shares of a single company is usually less risky than buying a diversified fund.' True / False* / Don't know</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FK3</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Share price 2,000 and earnings per share 200. The P/E ratio is: (a) 0.1 (b) 10* (c) 20 (d) 400,000</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FK4</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Net income 500 bn and 500 m shares outstanding. EPS is: (a) 1 (b) 100 (c) 1,000* (d) 10,000 (currency units)</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FK5</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 xml:space="preserve">'Accounting profit always equals operating cash flow.' True / False* </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FK6</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'An unqualified audit opinion guarantees the firm's future profitability.' True / False*</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FK7</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'An investment with a higher expected return usually carries higher risk.' True* / False</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FK8</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100 m invested at a fixed 10% p.a. grows after two years to: (a) 110 (b) 120 (c) 121* (d) 100</w:t>
            </w:r>
          </w:p>
        </w:tc>
      </w:tr>
    </w:tbl>
    <w:p>
      <w:pPr>
        <w:pStyle w:val="Normal"/>
        <w:spacing w:lineRule="auto" w:line="276" w:before="0" w:after="100"/>
        <w:ind w:firstLine="425"/>
        <w:jc w:val="both"/>
        <w:rPr/>
      </w:pPr>
      <w:r>
        <w:rPr/>
      </w:r>
    </w:p>
    <w:p>
      <w:pPr>
        <w:pStyle w:val="Normal"/>
        <w:spacing w:lineRule="auto" w:line="276" w:before="0" w:after="30"/>
        <w:jc w:val="both"/>
        <w:rPr/>
      </w:pPr>
      <w:r>
        <w:rPr>
          <w:rFonts w:eastAsia="Times New Roman" w:cs="Times New Roman"/>
          <w:b/>
          <w:bCs/>
          <w:sz w:val="24"/>
          <w:szCs w:val="24"/>
          <w:lang w:val="en-US" w:bidi="fa-IR"/>
        </w:rPr>
        <w:t>References for this variable</w:t>
      </w:r>
    </w:p>
    <w:p>
      <w:pPr>
        <w:pStyle w:val="Normal"/>
        <w:spacing w:lineRule="auto" w:line="240" w:before="0" w:after="60"/>
        <w:ind w:hanging="567" w:left="567"/>
        <w:jc w:val="left"/>
        <w:rPr/>
      </w:pPr>
      <w:r>
        <w:rPr>
          <w:rFonts w:eastAsia="Times New Roman" w:cs="Times New Roman"/>
          <w:sz w:val="22"/>
          <w:szCs w:val="22"/>
          <w:lang w:val="en-US" w:bidi="fa-IR"/>
        </w:rPr>
        <w:t xml:space="preserve">Lusardi, A., &amp; Mitchell, O. S. (2014). The economic importance of financial literacy: Theory and evidence. </w:t>
      </w:r>
      <w:r>
        <w:rPr>
          <w:rFonts w:eastAsia="Times New Roman" w:cs="Times New Roman"/>
          <w:i/>
          <w:iCs/>
          <w:sz w:val="22"/>
          <w:szCs w:val="22"/>
          <w:lang w:val="en-US" w:bidi="fa-IR"/>
        </w:rPr>
        <w:t>Journal of Economic Literature, 52</w:t>
      </w:r>
      <w:r>
        <w:rPr>
          <w:rFonts w:eastAsia="Times New Roman" w:cs="Times New Roman"/>
          <w:sz w:val="22"/>
          <w:szCs w:val="22"/>
          <w:lang w:val="en-US" w:bidi="fa-IR"/>
        </w:rPr>
        <w:t>(1), 5–44. https://doi.org/10.1257/jel.52.1.5</w:t>
      </w:r>
    </w:p>
    <w:p>
      <w:pPr>
        <w:pStyle w:val="Normal"/>
        <w:spacing w:lineRule="auto" w:line="240" w:before="0" w:after="60"/>
        <w:ind w:hanging="567" w:left="567"/>
        <w:jc w:val="left"/>
        <w:rPr/>
      </w:pPr>
      <w:r>
        <w:rPr>
          <w:rFonts w:eastAsia="Times New Roman" w:cs="Times New Roman"/>
          <w:sz w:val="22"/>
          <w:szCs w:val="22"/>
          <w:lang w:val="en-US" w:bidi="fa-IR"/>
        </w:rPr>
        <w:t xml:space="preserve">Van Rooij, M., Lusardi, A., &amp; Alessie, R. (2011). Financial literacy and stock market participation. </w:t>
      </w:r>
      <w:r>
        <w:rPr>
          <w:rFonts w:eastAsia="Times New Roman" w:cs="Times New Roman"/>
          <w:i/>
          <w:iCs/>
          <w:sz w:val="22"/>
          <w:szCs w:val="22"/>
          <w:lang w:val="en-US" w:bidi="fa-IR"/>
        </w:rPr>
        <w:t>Journal of Financial Economics, 101</w:t>
      </w:r>
      <w:r>
        <w:rPr>
          <w:rFonts w:eastAsia="Times New Roman" w:cs="Times New Roman"/>
          <w:sz w:val="22"/>
          <w:szCs w:val="22"/>
          <w:lang w:val="en-US" w:bidi="fa-IR"/>
        </w:rPr>
        <w:t>(2), 449–472. https://doi.org/10.1016/j.jfineco.2011.03.006</w:t>
      </w:r>
    </w:p>
    <w:p>
      <w:pPr>
        <w:pStyle w:val="Normal"/>
        <w:keepNext w:val="true"/>
        <w:spacing w:lineRule="auto" w:line="276" w:before="140" w:after="60"/>
        <w:jc w:val="left"/>
        <w:rPr/>
      </w:pPr>
      <w:r>
        <w:rPr>
          <w:rFonts w:eastAsia="Times New Roman" w:cs="Times New Roman"/>
          <w:b/>
          <w:bCs/>
          <w:sz w:val="24"/>
          <w:szCs w:val="24"/>
          <w:lang w:val="en-US" w:bidi="fa-IR"/>
        </w:rPr>
        <w:t>2.3 Calibration gap (overestimation): predicted minus actual test score (CG)</w:t>
      </w:r>
    </w:p>
    <w:p>
      <w:pPr>
        <w:pStyle w:val="Normal"/>
        <w:spacing w:lineRule="auto" w:line="276" w:before="0" w:after="80"/>
        <w:jc w:val="both"/>
        <w:rPr/>
      </w:pPr>
      <w:r>
        <w:rPr>
          <w:rFonts w:eastAsia="Times New Roman" w:cs="Times New Roman"/>
          <w:b/>
          <w:bCs/>
          <w:sz w:val="24"/>
          <w:szCs w:val="24"/>
          <w:lang w:val="en-US" w:bidi="fa-IR"/>
        </w:rPr>
        <w:t>Origin:</w:t>
      </w:r>
      <w:r>
        <w:rPr>
          <w:rFonts w:eastAsia="Times New Roman" w:cs="Times New Roman"/>
          <w:sz w:val="24"/>
          <w:szCs w:val="24"/>
          <w:lang w:val="en-US" w:bidi="fa-IR"/>
        </w:rPr>
        <w:t xml:space="preserve"> Research-based (adapted).  </w:t>
      </w:r>
      <w:r>
        <w:rPr>
          <w:rFonts w:eastAsia="Times New Roman" w:cs="Times New Roman"/>
          <w:b/>
          <w:bCs/>
          <w:sz w:val="24"/>
          <w:szCs w:val="24"/>
          <w:lang w:val="en-US" w:bidi="fa-IR"/>
        </w:rPr>
        <w:t>Response format:</w:t>
      </w:r>
      <w:r>
        <w:rPr>
          <w:rFonts w:eastAsia="Times New Roman" w:cs="Times New Roman"/>
          <w:sz w:val="24"/>
          <w:szCs w:val="24"/>
          <w:lang w:val="en-US" w:bidi="fa-IR"/>
        </w:rPr>
        <w:t xml:space="preserve"> C1: 0–8 integer; C2: rank 1–100.  </w:t>
      </w:r>
      <w:r>
        <w:rPr>
          <w:rFonts w:eastAsia="Times New Roman" w:cs="Times New Roman"/>
          <w:b/>
          <w:bCs/>
          <w:sz w:val="24"/>
          <w:szCs w:val="24"/>
          <w:lang w:val="en-US" w:bidi="fa-IR"/>
        </w:rPr>
        <w:t>Role in the model:</w:t>
      </w:r>
      <w:r>
        <w:rPr>
          <w:rFonts w:eastAsia="Times New Roman" w:cs="Times New Roman"/>
          <w:sz w:val="24"/>
          <w:szCs w:val="24"/>
          <w:lang w:val="en-US" w:bidi="fa-IR"/>
        </w:rPr>
        <w:t xml:space="preserve"> Behavioural/performance-based indicator (not a Likert scale).</w:t>
      </w:r>
    </w:p>
    <w:p>
      <w:pPr>
        <w:pStyle w:val="Normal"/>
        <w:spacing w:lineRule="auto" w:line="276" w:before="0" w:after="80"/>
        <w:jc w:val="both"/>
        <w:rPr/>
      </w:pPr>
      <w:r>
        <w:rPr>
          <w:rFonts w:eastAsia="Times New Roman" w:cs="Times New Roman"/>
          <w:b/>
          <w:bCs/>
          <w:sz w:val="24"/>
          <w:szCs w:val="24"/>
          <w:lang w:val="en-US" w:bidi="fa-IR"/>
        </w:rPr>
        <w:t>Basis and status.</w:t>
      </w:r>
      <w:r>
        <w:rPr>
          <w:rFonts w:eastAsia="Times New Roman" w:cs="Times New Roman"/>
          <w:sz w:val="24"/>
          <w:szCs w:val="24"/>
          <w:lang w:val="en-US" w:bidi="fa-IR"/>
        </w:rPr>
        <w:t xml:space="preserve"> Method-based: the calibration/over-placement logic of Kruger &amp; Dunning (1999) and Moore &amp; Healy (2008) is applied directly (CG = C1 − actual score; CP = C2 − actual rank). The questions themselves are generic. Status: research-based method.</w:t>
      </w:r>
    </w:p>
    <w:p>
      <w:pPr>
        <w:pStyle w:val="Normal"/>
        <w:keepNext w:val="true"/>
        <w:spacing w:lineRule="auto" w:line="276" w:before="140" w:after="60"/>
        <w:jc w:val="left"/>
        <w:rPr/>
      </w:pPr>
      <w:r>
        <w:rPr>
          <w:rFonts w:eastAsia="Times New Roman" w:cs="Times New Roman"/>
          <w:b/>
          <w:bCs/>
          <w:sz w:val="22"/>
          <w:szCs w:val="22"/>
          <w:lang w:val="en-US" w:bidi="fa-IR"/>
        </w:rPr>
        <w:t>Table 2.3. Items of CG</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C1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How many of the 8 questions above do you think you answered correctly? (0–8)</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C2</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Compared with 100 other active investors, what is your rank in financial knowledge? (1 = lowest, 100 = highest)</w:t>
            </w:r>
          </w:p>
        </w:tc>
      </w:tr>
    </w:tbl>
    <w:p>
      <w:pPr>
        <w:pStyle w:val="Normal"/>
        <w:spacing w:lineRule="auto" w:line="276" w:before="0" w:after="100"/>
        <w:ind w:firstLine="425"/>
        <w:jc w:val="both"/>
        <w:rPr/>
      </w:pPr>
      <w:r>
        <w:rPr/>
      </w:r>
    </w:p>
    <w:p>
      <w:pPr>
        <w:pStyle w:val="Normal"/>
        <w:spacing w:lineRule="auto" w:line="276" w:before="0" w:after="30"/>
        <w:jc w:val="both"/>
        <w:rPr/>
      </w:pPr>
      <w:r>
        <w:rPr>
          <w:rFonts w:eastAsia="Times New Roman" w:cs="Times New Roman"/>
          <w:b/>
          <w:bCs/>
          <w:sz w:val="24"/>
          <w:szCs w:val="24"/>
          <w:lang w:val="en-US" w:bidi="fa-IR"/>
        </w:rPr>
        <w:t>References for this variable</w:t>
      </w:r>
    </w:p>
    <w:p>
      <w:pPr>
        <w:pStyle w:val="Normal"/>
        <w:spacing w:lineRule="auto" w:line="240" w:before="0" w:after="60"/>
        <w:ind w:hanging="567" w:left="567"/>
        <w:jc w:val="left"/>
        <w:rPr/>
      </w:pPr>
      <w:r>
        <w:rPr>
          <w:rFonts w:eastAsia="Times New Roman" w:cs="Times New Roman"/>
          <w:sz w:val="22"/>
          <w:szCs w:val="22"/>
          <w:lang w:val="en-US" w:bidi="fa-IR"/>
        </w:rPr>
        <w:t xml:space="preserve">Kruger, J., &amp; Dunning, D. (1999). Unskilled and unaware of it: How difficulties in recognizing one's own incompetence lead to inflated self-assessments. </w:t>
      </w:r>
      <w:r>
        <w:rPr>
          <w:rFonts w:eastAsia="Times New Roman" w:cs="Times New Roman"/>
          <w:i/>
          <w:iCs/>
          <w:sz w:val="22"/>
          <w:szCs w:val="22"/>
          <w:lang w:val="en-US" w:bidi="fa-IR"/>
        </w:rPr>
        <w:t>Journal of Personality and Social Psychology, 77</w:t>
      </w:r>
      <w:r>
        <w:rPr>
          <w:rFonts w:eastAsia="Times New Roman" w:cs="Times New Roman"/>
          <w:sz w:val="22"/>
          <w:szCs w:val="22"/>
          <w:lang w:val="en-US" w:bidi="fa-IR"/>
        </w:rPr>
        <w:t>(6), 1121–1134. https://doi.org/10.1037/0022-3514.77.6.1121</w:t>
      </w:r>
    </w:p>
    <w:p>
      <w:pPr>
        <w:pStyle w:val="Normal"/>
        <w:spacing w:lineRule="auto" w:line="240" w:before="0" w:after="60"/>
        <w:ind w:hanging="567" w:left="567"/>
        <w:jc w:val="left"/>
        <w:rPr/>
      </w:pPr>
      <w:r>
        <w:rPr>
          <w:rFonts w:eastAsia="Times New Roman" w:cs="Times New Roman"/>
          <w:sz w:val="22"/>
          <w:szCs w:val="22"/>
          <w:lang w:val="en-US" w:bidi="fa-IR"/>
        </w:rPr>
        <w:t xml:space="preserve">Moore, D. A., &amp; Healy, P. J. (2008). The trouble with overconfidence. </w:t>
      </w:r>
      <w:r>
        <w:rPr>
          <w:rFonts w:eastAsia="Times New Roman" w:cs="Times New Roman"/>
          <w:i/>
          <w:iCs/>
          <w:sz w:val="22"/>
          <w:szCs w:val="22"/>
          <w:lang w:val="en-US" w:bidi="fa-IR"/>
        </w:rPr>
        <w:t>Psychological Review, 115</w:t>
      </w:r>
      <w:r>
        <w:rPr>
          <w:rFonts w:eastAsia="Times New Roman" w:cs="Times New Roman"/>
          <w:sz w:val="22"/>
          <w:szCs w:val="22"/>
          <w:lang w:val="en-US" w:bidi="fa-IR"/>
        </w:rPr>
        <w:t>(2), 502–517. https://doi.org/10.1037/0033-295X.115.2.502</w:t>
      </w:r>
    </w:p>
    <w:p>
      <w:pPr>
        <w:pStyle w:val="Normal"/>
        <w:spacing w:lineRule="auto" w:line="240" w:before="0" w:after="60"/>
        <w:ind w:hanging="567" w:left="567"/>
        <w:jc w:val="left"/>
        <w:rPr/>
      </w:pPr>
      <w:r>
        <w:rPr>
          <w:rFonts w:eastAsia="Times New Roman" w:cs="Times New Roman"/>
          <w:sz w:val="22"/>
          <w:szCs w:val="22"/>
          <w:lang w:val="en-US" w:bidi="fa-IR"/>
        </w:rPr>
        <w:t xml:space="preserve">Ehrlinger, J., Johnson, K., Banner, M., Dunning, D., &amp; Kruger, J. (2008). Why the unskilled are unaware: Further explorations of (absent) self-insight among the incompetent. </w:t>
      </w:r>
      <w:r>
        <w:rPr>
          <w:rFonts w:eastAsia="Times New Roman" w:cs="Times New Roman"/>
          <w:i/>
          <w:iCs/>
          <w:sz w:val="22"/>
          <w:szCs w:val="22"/>
          <w:lang w:val="en-US" w:bidi="fa-IR"/>
        </w:rPr>
        <w:t>Organizational Behavior and Human Decision Processes, 105</w:t>
      </w:r>
      <w:r>
        <w:rPr>
          <w:rFonts w:eastAsia="Times New Roman" w:cs="Times New Roman"/>
          <w:sz w:val="22"/>
          <w:szCs w:val="22"/>
          <w:lang w:val="en-US" w:bidi="fa-IR"/>
        </w:rPr>
        <w:t>(1), 98–121. https://doi.org/10.1016/j.obhdp.2007.05.002</w:t>
      </w:r>
    </w:p>
    <w:p>
      <w:pPr>
        <w:pStyle w:val="Normal"/>
        <w:keepNext w:val="true"/>
        <w:spacing w:lineRule="auto" w:line="276" w:before="140" w:after="60"/>
        <w:jc w:val="left"/>
        <w:rPr/>
      </w:pPr>
      <w:r>
        <w:rPr>
          <w:rFonts w:eastAsia="Times New Roman" w:cs="Times New Roman"/>
          <w:b/>
          <w:bCs/>
          <w:sz w:val="24"/>
          <w:szCs w:val="24"/>
          <w:lang w:val="en-US" w:bidi="fa-IR"/>
        </w:rPr>
        <w:t>2.4 Perceived competence with AI (the 'illusion' facet) (PCA)</w:t>
      </w:r>
    </w:p>
    <w:p>
      <w:pPr>
        <w:pStyle w:val="Normal"/>
        <w:spacing w:lineRule="auto" w:line="276" w:before="0" w:after="80"/>
        <w:jc w:val="both"/>
        <w:rPr/>
      </w:pPr>
      <w:r>
        <w:rPr>
          <w:rFonts w:eastAsia="Times New Roman" w:cs="Times New Roman"/>
          <w:b/>
          <w:bCs/>
          <w:sz w:val="24"/>
          <w:szCs w:val="24"/>
          <w:lang w:val="en-US" w:bidi="fa-IR"/>
        </w:rPr>
        <w:t>Origin:</w:t>
      </w:r>
      <w:r>
        <w:rPr>
          <w:rFonts w:eastAsia="Times New Roman" w:cs="Times New Roman"/>
          <w:sz w:val="24"/>
          <w:szCs w:val="24"/>
          <w:lang w:val="en-US" w:bidi="fa-IR"/>
        </w:rPr>
        <w:t xml:space="preserve"> Researcher-made (theory-derived).  </w:t>
      </w:r>
      <w:r>
        <w:rPr>
          <w:rFonts w:eastAsia="Times New Roman" w:cs="Times New Roman"/>
          <w:b/>
          <w:bCs/>
          <w:sz w:val="24"/>
          <w:szCs w:val="24"/>
          <w:lang w:val="en-US" w:bidi="fa-IR"/>
        </w:rPr>
        <w:t>Response format:</w:t>
      </w:r>
      <w:r>
        <w:rPr>
          <w:rFonts w:eastAsia="Times New Roman" w:cs="Times New Roman"/>
          <w:sz w:val="24"/>
          <w:szCs w:val="24"/>
          <w:lang w:val="en-US" w:bidi="fa-IR"/>
        </w:rPr>
        <w:t xml:space="preserve"> 1 = strongly disagree … 5 = strongly agree.  </w:t>
      </w:r>
      <w:r>
        <w:rPr>
          <w:rFonts w:eastAsia="Times New Roman" w:cs="Times New Roman"/>
          <w:b/>
          <w:bCs/>
          <w:sz w:val="24"/>
          <w:szCs w:val="24"/>
          <w:lang w:val="en-US" w:bidi="fa-IR"/>
        </w:rPr>
        <w:t>Role in the model:</w:t>
      </w:r>
      <w:r>
        <w:rPr>
          <w:rFonts w:eastAsia="Times New Roman" w:cs="Times New Roman"/>
          <w:sz w:val="24"/>
          <w:szCs w:val="24"/>
          <w:lang w:val="en-US" w:bidi="fa-IR"/>
        </w:rPr>
        <w:t xml:space="preserve"> Mediator (reflective latent).</w:t>
      </w:r>
    </w:p>
    <w:p>
      <w:pPr>
        <w:pStyle w:val="Normal"/>
        <w:spacing w:lineRule="auto" w:line="276" w:before="0" w:after="80"/>
        <w:jc w:val="both"/>
        <w:rPr/>
      </w:pPr>
      <w:r>
        <w:rPr>
          <w:rFonts w:eastAsia="Times New Roman" w:cs="Times New Roman"/>
          <w:b/>
          <w:bCs/>
          <w:sz w:val="24"/>
          <w:szCs w:val="24"/>
          <w:lang w:val="en-US" w:bidi="fa-IR"/>
        </w:rPr>
        <w:t>Basis and status.</w:t>
      </w:r>
      <w:r>
        <w:rPr>
          <w:rFonts w:eastAsia="Times New Roman" w:cs="Times New Roman"/>
          <w:sz w:val="24"/>
          <w:szCs w:val="24"/>
          <w:lang w:val="en-US" w:bidi="fa-IR"/>
        </w:rPr>
        <w:t xml:space="preserve"> Overconfidence/perceived-ability constructs are established (Barber &amp; Odean, 2001; Glaser &amp; Weber, 2007; Grinblatt &amp; Keloharju, 2009), but no scale targets AI-assisted competence; the four items are new wordings of better-than-average, forecast-confidence and self-sufficiency facets. Status: researcher-made, theory-derived.</w:t>
      </w:r>
    </w:p>
    <w:p>
      <w:pPr>
        <w:pStyle w:val="Normal"/>
        <w:keepNext w:val="true"/>
        <w:spacing w:lineRule="auto" w:line="276" w:before="140" w:after="60"/>
        <w:jc w:val="left"/>
        <w:rPr/>
      </w:pPr>
      <w:r>
        <w:rPr>
          <w:rFonts w:eastAsia="Times New Roman" w:cs="Times New Roman"/>
          <w:b/>
          <w:bCs/>
          <w:sz w:val="22"/>
          <w:szCs w:val="22"/>
          <w:lang w:val="en-US" w:bidi="fa-IR"/>
        </w:rPr>
        <w:t>Table 2.4. Items of PCA</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PCA1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With the help of AI, my analysis of the stock market is better than that of most other investors.</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PCA2</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With AI, I am confident that my price-trend forecasts will turn out correct.</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PCA3</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With AI, I feel I understand financial statements better than before.</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PCA4</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With AI, I no longer need much help from a financial professional.</w:t>
            </w:r>
          </w:p>
        </w:tc>
      </w:tr>
    </w:tbl>
    <w:p>
      <w:pPr>
        <w:pStyle w:val="Normal"/>
        <w:spacing w:lineRule="auto" w:line="276" w:before="0" w:after="100"/>
        <w:ind w:firstLine="425"/>
        <w:jc w:val="both"/>
        <w:rPr/>
      </w:pPr>
      <w:r>
        <w:rPr/>
      </w:r>
    </w:p>
    <w:p>
      <w:pPr>
        <w:pStyle w:val="Normal"/>
        <w:spacing w:lineRule="auto" w:line="276" w:before="0" w:after="30"/>
        <w:jc w:val="both"/>
        <w:rPr/>
      </w:pPr>
      <w:r>
        <w:rPr>
          <w:rFonts w:eastAsia="Times New Roman" w:cs="Times New Roman"/>
          <w:b/>
          <w:bCs/>
          <w:sz w:val="24"/>
          <w:szCs w:val="24"/>
          <w:lang w:val="en-US" w:bidi="fa-IR"/>
        </w:rPr>
        <w:t>References for this variable</w:t>
      </w:r>
    </w:p>
    <w:p>
      <w:pPr>
        <w:pStyle w:val="Normal"/>
        <w:spacing w:lineRule="auto" w:line="240" w:before="0" w:after="60"/>
        <w:ind w:hanging="567" w:left="567"/>
        <w:jc w:val="left"/>
        <w:rPr/>
      </w:pPr>
      <w:r>
        <w:rPr>
          <w:rFonts w:eastAsia="Times New Roman" w:cs="Times New Roman"/>
          <w:sz w:val="22"/>
          <w:szCs w:val="22"/>
          <w:lang w:val="en-US" w:bidi="fa-IR"/>
        </w:rPr>
        <w:t xml:space="preserve">Moore, D. A., &amp; Healy, P. J. (2008). The trouble with overconfidence. </w:t>
      </w:r>
      <w:r>
        <w:rPr>
          <w:rFonts w:eastAsia="Times New Roman" w:cs="Times New Roman"/>
          <w:i/>
          <w:iCs/>
          <w:sz w:val="22"/>
          <w:szCs w:val="22"/>
          <w:lang w:val="en-US" w:bidi="fa-IR"/>
        </w:rPr>
        <w:t>Psychological Review, 115</w:t>
      </w:r>
      <w:r>
        <w:rPr>
          <w:rFonts w:eastAsia="Times New Roman" w:cs="Times New Roman"/>
          <w:sz w:val="22"/>
          <w:szCs w:val="22"/>
          <w:lang w:val="en-US" w:bidi="fa-IR"/>
        </w:rPr>
        <w:t>(2), 502–517. https://doi.org/10.1037/0033-295X.115.2.502</w:t>
      </w:r>
    </w:p>
    <w:p>
      <w:pPr>
        <w:pStyle w:val="Normal"/>
        <w:spacing w:lineRule="auto" w:line="240" w:before="0" w:after="60"/>
        <w:ind w:hanging="567" w:left="567"/>
        <w:jc w:val="left"/>
        <w:rPr/>
      </w:pPr>
      <w:r>
        <w:rPr>
          <w:rFonts w:eastAsia="Times New Roman" w:cs="Times New Roman"/>
          <w:sz w:val="22"/>
          <w:szCs w:val="22"/>
          <w:lang w:val="en-US" w:bidi="fa-IR"/>
        </w:rPr>
        <w:t xml:space="preserve">Barber, B. M., &amp; Odean, T. (2001). Boys will be boys: Gender, overconfidence, and common stock investment. </w:t>
      </w:r>
      <w:r>
        <w:rPr>
          <w:rFonts w:eastAsia="Times New Roman" w:cs="Times New Roman"/>
          <w:i/>
          <w:iCs/>
          <w:sz w:val="22"/>
          <w:szCs w:val="22"/>
          <w:lang w:val="en-US" w:bidi="fa-IR"/>
        </w:rPr>
        <w:t>The Quarterly Journal of Economics, 116</w:t>
      </w:r>
      <w:r>
        <w:rPr>
          <w:rFonts w:eastAsia="Times New Roman" w:cs="Times New Roman"/>
          <w:sz w:val="22"/>
          <w:szCs w:val="22"/>
          <w:lang w:val="en-US" w:bidi="fa-IR"/>
        </w:rPr>
        <w:t>(1), 261–292. https://doi.org/10.1162/003355301556400</w:t>
      </w:r>
    </w:p>
    <w:p>
      <w:pPr>
        <w:pStyle w:val="Normal"/>
        <w:spacing w:lineRule="auto" w:line="240" w:before="0" w:after="60"/>
        <w:ind w:hanging="567" w:left="567"/>
        <w:jc w:val="left"/>
        <w:rPr/>
      </w:pPr>
      <w:r>
        <w:rPr>
          <w:rFonts w:eastAsia="Times New Roman" w:cs="Times New Roman"/>
          <w:sz w:val="22"/>
          <w:szCs w:val="22"/>
          <w:lang w:val="en-US" w:bidi="fa-IR"/>
        </w:rPr>
        <w:t xml:space="preserve">Grinblatt, M., &amp; Keloharju, M. (2009). Sensation seeking, overconfidence, and trading activity. </w:t>
      </w:r>
      <w:r>
        <w:rPr>
          <w:rFonts w:eastAsia="Times New Roman" w:cs="Times New Roman"/>
          <w:i/>
          <w:iCs/>
          <w:sz w:val="22"/>
          <w:szCs w:val="22"/>
          <w:lang w:val="en-US" w:bidi="fa-IR"/>
        </w:rPr>
        <w:t>The Journal of Finance, 64</w:t>
      </w:r>
      <w:r>
        <w:rPr>
          <w:rFonts w:eastAsia="Times New Roman" w:cs="Times New Roman"/>
          <w:sz w:val="22"/>
          <w:szCs w:val="22"/>
          <w:lang w:val="en-US" w:bidi="fa-IR"/>
        </w:rPr>
        <w:t>(2), 549–578. https://doi.org/10.1111/j.1540-6261.2009.01443.x</w:t>
      </w:r>
    </w:p>
    <w:p>
      <w:pPr>
        <w:pStyle w:val="Normal"/>
        <w:spacing w:lineRule="auto" w:line="240" w:before="0" w:after="60"/>
        <w:ind w:hanging="567" w:left="567"/>
        <w:jc w:val="left"/>
        <w:rPr/>
      </w:pPr>
      <w:r>
        <w:rPr>
          <w:rFonts w:eastAsia="Times New Roman" w:cs="Times New Roman"/>
          <w:sz w:val="22"/>
          <w:szCs w:val="22"/>
          <w:lang w:val="en-US" w:bidi="fa-IR"/>
        </w:rPr>
        <w:t xml:space="preserve">Glaser, M., &amp; Weber, M. (2007). Overconfidence and trading volume. </w:t>
      </w:r>
      <w:r>
        <w:rPr>
          <w:rFonts w:eastAsia="Times New Roman" w:cs="Times New Roman"/>
          <w:i/>
          <w:iCs/>
          <w:sz w:val="22"/>
          <w:szCs w:val="22"/>
          <w:lang w:val="en-US" w:bidi="fa-IR"/>
        </w:rPr>
        <w:t>The Geneva Risk and Insurance Review, 32</w:t>
      </w:r>
      <w:r>
        <w:rPr>
          <w:rFonts w:eastAsia="Times New Roman" w:cs="Times New Roman"/>
          <w:sz w:val="22"/>
          <w:szCs w:val="22"/>
          <w:lang w:val="en-US" w:bidi="fa-IR"/>
        </w:rPr>
        <w:t>(1), 1–36. https://doi.org/10.1007/s10713-007-0003-3</w:t>
      </w:r>
    </w:p>
    <w:p>
      <w:pPr>
        <w:pStyle w:val="Normal"/>
        <w:keepNext w:val="true"/>
        <w:spacing w:lineRule="auto" w:line="276" w:before="140" w:after="60"/>
        <w:jc w:val="left"/>
        <w:rPr/>
      </w:pPr>
      <w:r>
        <w:rPr>
          <w:rFonts w:eastAsia="Times New Roman" w:cs="Times New Roman"/>
          <w:b/>
          <w:bCs/>
          <w:sz w:val="24"/>
          <w:szCs w:val="24"/>
          <w:lang w:val="en-US" w:bidi="fa-IR"/>
        </w:rPr>
        <w:t>2.5 Uncritical reliance on AI output (automation-bias tendency) (UR)</w:t>
      </w:r>
    </w:p>
    <w:p>
      <w:pPr>
        <w:pStyle w:val="Normal"/>
        <w:spacing w:lineRule="auto" w:line="276" w:before="0" w:after="80"/>
        <w:jc w:val="both"/>
        <w:rPr/>
      </w:pPr>
      <w:r>
        <w:rPr>
          <w:rFonts w:eastAsia="Times New Roman" w:cs="Times New Roman"/>
          <w:b/>
          <w:bCs/>
          <w:sz w:val="24"/>
          <w:szCs w:val="24"/>
          <w:lang w:val="en-US" w:bidi="fa-IR"/>
        </w:rPr>
        <w:t>Origin:</w:t>
      </w:r>
      <w:r>
        <w:rPr>
          <w:rFonts w:eastAsia="Times New Roman" w:cs="Times New Roman"/>
          <w:sz w:val="24"/>
          <w:szCs w:val="24"/>
          <w:lang w:val="en-US" w:bidi="fa-IR"/>
        </w:rPr>
        <w:t xml:space="preserve"> Researcher-made (theory-derived).  </w:t>
      </w:r>
      <w:r>
        <w:rPr>
          <w:rFonts w:eastAsia="Times New Roman" w:cs="Times New Roman"/>
          <w:b/>
          <w:bCs/>
          <w:sz w:val="24"/>
          <w:szCs w:val="24"/>
          <w:lang w:val="en-US" w:bidi="fa-IR"/>
        </w:rPr>
        <w:t>Response format:</w:t>
      </w:r>
      <w:r>
        <w:rPr>
          <w:rFonts w:eastAsia="Times New Roman" w:cs="Times New Roman"/>
          <w:sz w:val="24"/>
          <w:szCs w:val="24"/>
          <w:lang w:val="en-US" w:bidi="fa-IR"/>
        </w:rPr>
        <w:t xml:space="preserve"> 1 = strongly disagree … 5 = strongly agree.  </w:t>
      </w:r>
      <w:r>
        <w:rPr>
          <w:rFonts w:eastAsia="Times New Roman" w:cs="Times New Roman"/>
          <w:b/>
          <w:bCs/>
          <w:sz w:val="24"/>
          <w:szCs w:val="24"/>
          <w:lang w:val="en-US" w:bidi="fa-IR"/>
        </w:rPr>
        <w:t>Role in the model:</w:t>
      </w:r>
      <w:r>
        <w:rPr>
          <w:rFonts w:eastAsia="Times New Roman" w:cs="Times New Roman"/>
          <w:sz w:val="24"/>
          <w:szCs w:val="24"/>
          <w:lang w:val="en-US" w:bidi="fa-IR"/>
        </w:rPr>
        <w:t xml:space="preserve"> Mediator (reflective latent).</w:t>
      </w:r>
    </w:p>
    <w:p>
      <w:pPr>
        <w:pStyle w:val="Normal"/>
        <w:spacing w:lineRule="auto" w:line="276" w:before="0" w:after="80"/>
        <w:jc w:val="both"/>
        <w:rPr/>
      </w:pPr>
      <w:r>
        <w:rPr>
          <w:rFonts w:eastAsia="Times New Roman" w:cs="Times New Roman"/>
          <w:b/>
          <w:bCs/>
          <w:sz w:val="24"/>
          <w:szCs w:val="24"/>
          <w:lang w:val="en-US" w:bidi="fa-IR"/>
        </w:rPr>
        <w:t>Basis and status.</w:t>
      </w:r>
      <w:r>
        <w:rPr>
          <w:rFonts w:eastAsia="Times New Roman" w:cs="Times New Roman"/>
          <w:sz w:val="24"/>
          <w:szCs w:val="24"/>
          <w:lang w:val="en-US" w:bidi="fa-IR"/>
        </w:rPr>
        <w:t xml:space="preserve"> Automation bias/complacency is defined by Parasuraman &amp; Manzey (2010), Goddard et al. (2012) and Skitka et al. (1999); the trust-scale tradition (Jian et al., 2000) offers wording ideas only. Items are original, investment-specific. Status: researcher-made, theory-derived.</w:t>
      </w:r>
    </w:p>
    <w:p>
      <w:pPr>
        <w:pStyle w:val="Normal"/>
        <w:keepNext w:val="true"/>
        <w:spacing w:lineRule="auto" w:line="276" w:before="140" w:after="60"/>
        <w:jc w:val="left"/>
        <w:rPr/>
      </w:pPr>
      <w:r>
        <w:rPr>
          <w:rFonts w:eastAsia="Times New Roman" w:cs="Times New Roman"/>
          <w:b/>
          <w:bCs/>
          <w:sz w:val="22"/>
          <w:szCs w:val="22"/>
          <w:lang w:val="en-US" w:bidi="fa-IR"/>
        </w:rPr>
        <w:t>Table 2.5. Items of UR</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UR1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usually accept an AI answer without checking it again.</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UR2</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If the AI's view differs from my own analysis, I tend to trust the AI.</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UR3</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Because AI summarises for me, I read financial statements directly less often.</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UR4</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I find fluent, confident AI answers more correct than hesitant ones.</w:t>
            </w:r>
          </w:p>
        </w:tc>
      </w:tr>
    </w:tbl>
    <w:p>
      <w:pPr>
        <w:pStyle w:val="Normal"/>
        <w:spacing w:lineRule="auto" w:line="276" w:before="0" w:after="100"/>
        <w:ind w:firstLine="425"/>
        <w:jc w:val="both"/>
        <w:rPr/>
      </w:pPr>
      <w:r>
        <w:rPr/>
      </w:r>
    </w:p>
    <w:p>
      <w:pPr>
        <w:pStyle w:val="Normal"/>
        <w:spacing w:lineRule="auto" w:line="276" w:before="0" w:after="30"/>
        <w:jc w:val="both"/>
        <w:rPr/>
      </w:pPr>
      <w:r>
        <w:rPr>
          <w:rFonts w:eastAsia="Times New Roman" w:cs="Times New Roman"/>
          <w:b/>
          <w:bCs/>
          <w:sz w:val="24"/>
          <w:szCs w:val="24"/>
          <w:lang w:val="en-US" w:bidi="fa-IR"/>
        </w:rPr>
        <w:t>References for this variable</w:t>
      </w:r>
    </w:p>
    <w:p>
      <w:pPr>
        <w:pStyle w:val="Normal"/>
        <w:spacing w:lineRule="auto" w:line="240" w:before="0" w:after="60"/>
        <w:ind w:hanging="567" w:left="567"/>
        <w:jc w:val="left"/>
        <w:rPr/>
      </w:pPr>
      <w:r>
        <w:rPr>
          <w:rFonts w:eastAsia="Times New Roman" w:cs="Times New Roman"/>
          <w:sz w:val="22"/>
          <w:szCs w:val="22"/>
          <w:lang w:val="en-US" w:bidi="fa-IR"/>
        </w:rPr>
        <w:t xml:space="preserve">Parasuraman, R., &amp; Manzey, D. H. (2010). Complacency and bias in human use of automation: An attentional integration. </w:t>
      </w:r>
      <w:r>
        <w:rPr>
          <w:rFonts w:eastAsia="Times New Roman" w:cs="Times New Roman"/>
          <w:i/>
          <w:iCs/>
          <w:sz w:val="22"/>
          <w:szCs w:val="22"/>
          <w:lang w:val="en-US" w:bidi="fa-IR"/>
        </w:rPr>
        <w:t>Human Factors, 52</w:t>
      </w:r>
      <w:r>
        <w:rPr>
          <w:rFonts w:eastAsia="Times New Roman" w:cs="Times New Roman"/>
          <w:sz w:val="22"/>
          <w:szCs w:val="22"/>
          <w:lang w:val="en-US" w:bidi="fa-IR"/>
        </w:rPr>
        <w:t>(3), 381–410. https://doi.org/10.1177/0018720810376055</w:t>
      </w:r>
    </w:p>
    <w:p>
      <w:pPr>
        <w:pStyle w:val="Normal"/>
        <w:spacing w:lineRule="auto" w:line="240" w:before="0" w:after="60"/>
        <w:ind w:hanging="567" w:left="567"/>
        <w:jc w:val="left"/>
        <w:rPr/>
      </w:pPr>
      <w:r>
        <w:rPr>
          <w:rFonts w:eastAsia="Times New Roman" w:cs="Times New Roman"/>
          <w:sz w:val="22"/>
          <w:szCs w:val="22"/>
          <w:lang w:val="en-US" w:bidi="fa-IR"/>
        </w:rPr>
        <w:t xml:space="preserve">Goddard, K., Roudsari, A., &amp; Wyatt, J. C. (2012). Automation bias: A systematic review of frequency, effect mediators, and mitigators. </w:t>
      </w:r>
      <w:r>
        <w:rPr>
          <w:rFonts w:eastAsia="Times New Roman" w:cs="Times New Roman"/>
          <w:i/>
          <w:iCs/>
          <w:sz w:val="22"/>
          <w:szCs w:val="22"/>
          <w:lang w:val="en-US" w:bidi="fa-IR"/>
        </w:rPr>
        <w:t>Journal of the American Medical Informatics Association, 19</w:t>
      </w:r>
      <w:r>
        <w:rPr>
          <w:rFonts w:eastAsia="Times New Roman" w:cs="Times New Roman"/>
          <w:sz w:val="22"/>
          <w:szCs w:val="22"/>
          <w:lang w:val="en-US" w:bidi="fa-IR"/>
        </w:rPr>
        <w:t>(1), 121–127. https://doi.org/10.1136/amiajnl-2011-000089</w:t>
      </w:r>
    </w:p>
    <w:p>
      <w:pPr>
        <w:pStyle w:val="Normal"/>
        <w:spacing w:lineRule="auto" w:line="240" w:before="0" w:after="60"/>
        <w:ind w:hanging="567" w:left="567"/>
        <w:jc w:val="left"/>
        <w:rPr/>
      </w:pPr>
      <w:r>
        <w:rPr>
          <w:rFonts w:eastAsia="Times New Roman" w:cs="Times New Roman"/>
          <w:sz w:val="22"/>
          <w:szCs w:val="22"/>
          <w:lang w:val="en-US" w:bidi="fa-IR"/>
        </w:rPr>
        <w:t xml:space="preserve">Skitka, L. J., Mosier, K. L., &amp; Burdick, M. (1999). Does automation bias decision-making? </w:t>
      </w:r>
      <w:r>
        <w:rPr>
          <w:rFonts w:eastAsia="Times New Roman" w:cs="Times New Roman"/>
          <w:i/>
          <w:iCs/>
          <w:sz w:val="22"/>
          <w:szCs w:val="22"/>
          <w:lang w:val="en-US" w:bidi="fa-IR"/>
        </w:rPr>
        <w:t>International Journal of Human-Computer Studies, 51</w:t>
      </w:r>
      <w:r>
        <w:rPr>
          <w:rFonts w:eastAsia="Times New Roman" w:cs="Times New Roman"/>
          <w:sz w:val="22"/>
          <w:szCs w:val="22"/>
          <w:lang w:val="en-US" w:bidi="fa-IR"/>
        </w:rPr>
        <w:t>(5), 991–1006. https://doi.org/10.1006/ijhc.1999.0252</w:t>
      </w:r>
    </w:p>
    <w:p>
      <w:pPr>
        <w:pStyle w:val="Normal"/>
        <w:spacing w:lineRule="auto" w:line="240" w:before="0" w:after="60"/>
        <w:ind w:hanging="567" w:left="567"/>
        <w:jc w:val="left"/>
        <w:rPr/>
      </w:pPr>
      <w:r>
        <w:rPr>
          <w:rFonts w:eastAsia="Times New Roman" w:cs="Times New Roman"/>
          <w:sz w:val="22"/>
          <w:szCs w:val="22"/>
          <w:lang w:val="en-US" w:bidi="fa-IR"/>
        </w:rPr>
        <w:t xml:space="preserve">Lee, J. D., &amp; See, K. A. (2004). Trust in automation: Designing for appropriate reliance. </w:t>
      </w:r>
      <w:r>
        <w:rPr>
          <w:rFonts w:eastAsia="Times New Roman" w:cs="Times New Roman"/>
          <w:i/>
          <w:iCs/>
          <w:sz w:val="22"/>
          <w:szCs w:val="22"/>
          <w:lang w:val="en-US" w:bidi="fa-IR"/>
        </w:rPr>
        <w:t>Human Factors, 46</w:t>
      </w:r>
      <w:r>
        <w:rPr>
          <w:rFonts w:eastAsia="Times New Roman" w:cs="Times New Roman"/>
          <w:sz w:val="22"/>
          <w:szCs w:val="22"/>
          <w:lang w:val="en-US" w:bidi="fa-IR"/>
        </w:rPr>
        <w:t>(1), 50–80. https://doi.org/10.1518/hfes.46.1.50_30392</w:t>
      </w:r>
    </w:p>
    <w:p>
      <w:pPr>
        <w:pStyle w:val="Normal"/>
        <w:spacing w:lineRule="auto" w:line="240" w:before="0" w:after="60"/>
        <w:ind w:hanging="567" w:left="567"/>
        <w:jc w:val="left"/>
        <w:rPr/>
      </w:pPr>
      <w:r>
        <w:rPr>
          <w:rFonts w:eastAsia="Times New Roman" w:cs="Times New Roman"/>
          <w:sz w:val="22"/>
          <w:szCs w:val="22"/>
          <w:lang w:val="en-US" w:bidi="fa-IR"/>
        </w:rPr>
        <w:t xml:space="preserve">Jian, J.-Y., Bisantz, A. M., &amp; Drury, C. G. (2000). Foundations for an empirically determined scale of trust in automated systems. </w:t>
      </w:r>
      <w:r>
        <w:rPr>
          <w:rFonts w:eastAsia="Times New Roman" w:cs="Times New Roman"/>
          <w:i/>
          <w:iCs/>
          <w:sz w:val="22"/>
          <w:szCs w:val="22"/>
          <w:lang w:val="en-US" w:bidi="fa-IR"/>
        </w:rPr>
        <w:t>International Journal of Cognitive Ergonomics, 4</w:t>
      </w:r>
      <w:r>
        <w:rPr>
          <w:rFonts w:eastAsia="Times New Roman" w:cs="Times New Roman"/>
          <w:sz w:val="22"/>
          <w:szCs w:val="22"/>
          <w:lang w:val="en-US" w:bidi="fa-IR"/>
        </w:rPr>
        <w:t>(1), 53–71. https://doi.org/10.1207/S15327566IJCE0401_04</w:t>
      </w:r>
    </w:p>
    <w:p>
      <w:pPr>
        <w:pStyle w:val="Normal"/>
        <w:spacing w:lineRule="auto" w:line="240" w:before="0" w:after="60"/>
        <w:ind w:hanging="567" w:left="567"/>
        <w:jc w:val="left"/>
        <w:rPr/>
      </w:pPr>
      <w:r>
        <w:rPr>
          <w:rFonts w:eastAsia="Times New Roman" w:cs="Times New Roman"/>
          <w:sz w:val="22"/>
          <w:szCs w:val="22"/>
          <w:lang w:val="en-US" w:bidi="fa-IR"/>
        </w:rPr>
        <w:t xml:space="preserve">Dietvorst, B. J., Simmons, J. P., &amp; Massey, C. (2015). Algorithm aversion: People erroneously avoid algorithms after seeing them err. </w:t>
      </w:r>
      <w:r>
        <w:rPr>
          <w:rFonts w:eastAsia="Times New Roman" w:cs="Times New Roman"/>
          <w:i/>
          <w:iCs/>
          <w:sz w:val="22"/>
          <w:szCs w:val="22"/>
          <w:lang w:val="en-US" w:bidi="fa-IR"/>
        </w:rPr>
        <w:t>Journal of Experimental Psychology: General, 144</w:t>
      </w:r>
      <w:r>
        <w:rPr>
          <w:rFonts w:eastAsia="Times New Roman" w:cs="Times New Roman"/>
          <w:sz w:val="22"/>
          <w:szCs w:val="22"/>
          <w:lang w:val="en-US" w:bidi="fa-IR"/>
        </w:rPr>
        <w:t>(1), 114–126. https://doi.org/10.1037/xge0000033</w:t>
      </w:r>
    </w:p>
    <w:p>
      <w:pPr>
        <w:pStyle w:val="Normal"/>
        <w:spacing w:lineRule="auto" w:line="240" w:before="0" w:after="60"/>
        <w:ind w:hanging="567" w:left="567"/>
        <w:jc w:val="left"/>
        <w:rPr/>
      </w:pPr>
      <w:r>
        <w:rPr>
          <w:rFonts w:eastAsia="Times New Roman" w:cs="Times New Roman"/>
          <w:sz w:val="22"/>
          <w:szCs w:val="22"/>
          <w:lang w:val="en-US" w:bidi="fa-IR"/>
        </w:rPr>
        <w:t xml:space="preserve">Logg, J. M., Minson, J. A., &amp; Moore, D. A. (2019). Algorithm appreciation: People prefer algorithmic to human judgment. </w:t>
      </w:r>
      <w:r>
        <w:rPr>
          <w:rFonts w:eastAsia="Times New Roman" w:cs="Times New Roman"/>
          <w:i/>
          <w:iCs/>
          <w:sz w:val="22"/>
          <w:szCs w:val="22"/>
          <w:lang w:val="en-US" w:bidi="fa-IR"/>
        </w:rPr>
        <w:t>Organizational Behavior and Human Decision Processes, 151</w:t>
      </w:r>
      <w:r>
        <w:rPr>
          <w:rFonts w:eastAsia="Times New Roman" w:cs="Times New Roman"/>
          <w:sz w:val="22"/>
          <w:szCs w:val="22"/>
          <w:lang w:val="en-US" w:bidi="fa-IR"/>
        </w:rPr>
        <w:t>, 90–103. https://doi.org/10.1016/j.obhdp.2018.12.005</w:t>
      </w:r>
    </w:p>
    <w:p>
      <w:pPr>
        <w:pStyle w:val="Normal"/>
        <w:keepNext w:val="true"/>
        <w:spacing w:lineRule="auto" w:line="276" w:before="140" w:after="60"/>
        <w:jc w:val="left"/>
        <w:rPr/>
      </w:pPr>
      <w:r>
        <w:rPr>
          <w:rFonts w:eastAsia="Times New Roman" w:cs="Times New Roman"/>
          <w:b/>
          <w:bCs/>
          <w:sz w:val="24"/>
          <w:szCs w:val="24"/>
          <w:lang w:val="en-US" w:bidi="fa-IR"/>
        </w:rPr>
        <w:t>2.6 Verification behaviour (calibrated reliance) (VER)</w:t>
      </w:r>
    </w:p>
    <w:p>
      <w:pPr>
        <w:pStyle w:val="Normal"/>
        <w:spacing w:lineRule="auto" w:line="276" w:before="0" w:after="80"/>
        <w:jc w:val="both"/>
        <w:rPr/>
      </w:pPr>
      <w:r>
        <w:rPr>
          <w:rFonts w:eastAsia="Times New Roman" w:cs="Times New Roman"/>
          <w:b/>
          <w:bCs/>
          <w:sz w:val="24"/>
          <w:szCs w:val="24"/>
          <w:lang w:val="en-US" w:bidi="fa-IR"/>
        </w:rPr>
        <w:t>Origin:</w:t>
      </w:r>
      <w:r>
        <w:rPr>
          <w:rFonts w:eastAsia="Times New Roman" w:cs="Times New Roman"/>
          <w:sz w:val="24"/>
          <w:szCs w:val="24"/>
          <w:lang w:val="en-US" w:bidi="fa-IR"/>
        </w:rPr>
        <w:t xml:space="preserve"> Researcher-made (theory-derived).  </w:t>
      </w:r>
      <w:r>
        <w:rPr>
          <w:rFonts w:eastAsia="Times New Roman" w:cs="Times New Roman"/>
          <w:b/>
          <w:bCs/>
          <w:sz w:val="24"/>
          <w:szCs w:val="24"/>
          <w:lang w:val="en-US" w:bidi="fa-IR"/>
        </w:rPr>
        <w:t>Response format:</w:t>
      </w:r>
      <w:r>
        <w:rPr>
          <w:rFonts w:eastAsia="Times New Roman" w:cs="Times New Roman"/>
          <w:sz w:val="24"/>
          <w:szCs w:val="24"/>
          <w:lang w:val="en-US" w:bidi="fa-IR"/>
        </w:rPr>
        <w:t xml:space="preserve"> 1 = never … 5 = always.  </w:t>
      </w:r>
      <w:r>
        <w:rPr>
          <w:rFonts w:eastAsia="Times New Roman" w:cs="Times New Roman"/>
          <w:b/>
          <w:bCs/>
          <w:sz w:val="24"/>
          <w:szCs w:val="24"/>
          <w:lang w:val="en-US" w:bidi="fa-IR"/>
        </w:rPr>
        <w:t>Role in the model:</w:t>
      </w:r>
      <w:r>
        <w:rPr>
          <w:rFonts w:eastAsia="Times New Roman" w:cs="Times New Roman"/>
          <w:sz w:val="24"/>
          <w:szCs w:val="24"/>
          <w:lang w:val="en-US" w:bidi="fa-IR"/>
        </w:rPr>
        <w:t xml:space="preserve"> Mediator (reflective latent).</w:t>
      </w:r>
    </w:p>
    <w:p>
      <w:pPr>
        <w:pStyle w:val="Normal"/>
        <w:spacing w:lineRule="auto" w:line="276" w:before="0" w:after="80"/>
        <w:jc w:val="both"/>
        <w:rPr/>
      </w:pPr>
      <w:r>
        <w:rPr>
          <w:rFonts w:eastAsia="Times New Roman" w:cs="Times New Roman"/>
          <w:b/>
          <w:bCs/>
          <w:sz w:val="24"/>
          <w:szCs w:val="24"/>
          <w:lang w:val="en-US" w:bidi="fa-IR"/>
        </w:rPr>
        <w:t>Basis and status.</w:t>
      </w:r>
      <w:r>
        <w:rPr>
          <w:rFonts w:eastAsia="Times New Roman" w:cs="Times New Roman"/>
          <w:sz w:val="24"/>
          <w:szCs w:val="24"/>
          <w:lang w:val="en-US" w:bidi="fa-IR"/>
        </w:rPr>
        <w:t xml:space="preserve"> Verification as the behavioural counterpart of appropriate (calibrated) reliance follows Lee &amp; See (2004) and Hoff &amp; Bashir (2015); the need for it follows from hallucination evidence (Ji et al., 2023). Items are original. Status: researcher-made, theory-derived.</w:t>
      </w:r>
    </w:p>
    <w:p>
      <w:pPr>
        <w:pStyle w:val="Normal"/>
        <w:keepNext w:val="true"/>
        <w:spacing w:lineRule="auto" w:line="276" w:before="140" w:after="60"/>
        <w:jc w:val="left"/>
        <w:rPr/>
      </w:pPr>
      <w:r>
        <w:rPr>
          <w:rFonts w:eastAsia="Times New Roman" w:cs="Times New Roman"/>
          <w:b/>
          <w:bCs/>
          <w:sz w:val="22"/>
          <w:szCs w:val="22"/>
          <w:lang w:val="en-US" w:bidi="fa-IR"/>
        </w:rPr>
        <w:t>Table 2.6. Items of VER</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VER1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compare numbers and claims from AI with official filings or financial statements.</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VER2</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confirm AI answers with at least one independent source.</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VER3</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ask the tool for its sources and actually check them.</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VER4</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I redo important calculations myself.</w:t>
            </w:r>
          </w:p>
        </w:tc>
      </w:tr>
    </w:tbl>
    <w:p>
      <w:pPr>
        <w:pStyle w:val="Normal"/>
        <w:spacing w:lineRule="auto" w:line="276" w:before="0" w:after="100"/>
        <w:ind w:firstLine="425"/>
        <w:jc w:val="both"/>
        <w:rPr/>
      </w:pPr>
      <w:r>
        <w:rPr/>
      </w:r>
    </w:p>
    <w:p>
      <w:pPr>
        <w:pStyle w:val="Normal"/>
        <w:spacing w:lineRule="auto" w:line="276" w:before="0" w:after="30"/>
        <w:jc w:val="both"/>
        <w:rPr/>
      </w:pPr>
      <w:r>
        <w:rPr>
          <w:rFonts w:eastAsia="Times New Roman" w:cs="Times New Roman"/>
          <w:b/>
          <w:bCs/>
          <w:sz w:val="24"/>
          <w:szCs w:val="24"/>
          <w:lang w:val="en-US" w:bidi="fa-IR"/>
        </w:rPr>
        <w:t>References for this variable</w:t>
      </w:r>
    </w:p>
    <w:p>
      <w:pPr>
        <w:pStyle w:val="Normal"/>
        <w:spacing w:lineRule="auto" w:line="240" w:before="0" w:after="60"/>
        <w:ind w:hanging="567" w:left="567"/>
        <w:jc w:val="left"/>
        <w:rPr/>
      </w:pPr>
      <w:r>
        <w:rPr>
          <w:rFonts w:eastAsia="Times New Roman" w:cs="Times New Roman"/>
          <w:sz w:val="22"/>
          <w:szCs w:val="22"/>
          <w:lang w:val="en-US" w:bidi="fa-IR"/>
        </w:rPr>
        <w:t xml:space="preserve">Lee, J. D., &amp; See, K. A. (2004). Trust in automation: Designing for appropriate reliance. </w:t>
      </w:r>
      <w:r>
        <w:rPr>
          <w:rFonts w:eastAsia="Times New Roman" w:cs="Times New Roman"/>
          <w:i/>
          <w:iCs/>
          <w:sz w:val="22"/>
          <w:szCs w:val="22"/>
          <w:lang w:val="en-US" w:bidi="fa-IR"/>
        </w:rPr>
        <w:t>Human Factors, 46</w:t>
      </w:r>
      <w:r>
        <w:rPr>
          <w:rFonts w:eastAsia="Times New Roman" w:cs="Times New Roman"/>
          <w:sz w:val="22"/>
          <w:szCs w:val="22"/>
          <w:lang w:val="en-US" w:bidi="fa-IR"/>
        </w:rPr>
        <w:t>(1), 50–80. https://doi.org/10.1518/hfes.46.1.50_30392</w:t>
      </w:r>
    </w:p>
    <w:p>
      <w:pPr>
        <w:pStyle w:val="Normal"/>
        <w:spacing w:lineRule="auto" w:line="240" w:before="0" w:after="60"/>
        <w:ind w:hanging="567" w:left="567"/>
        <w:jc w:val="left"/>
        <w:rPr/>
      </w:pPr>
      <w:r>
        <w:rPr>
          <w:rFonts w:eastAsia="Times New Roman" w:cs="Times New Roman"/>
          <w:sz w:val="22"/>
          <w:szCs w:val="22"/>
          <w:lang w:val="en-US" w:bidi="fa-IR"/>
        </w:rPr>
        <w:t xml:space="preserve">Hoff, K. A., &amp; Bashir, M. (2015). Trust in automation: Integrating empirical evidence on factors that influence trust. </w:t>
      </w:r>
      <w:r>
        <w:rPr>
          <w:rFonts w:eastAsia="Times New Roman" w:cs="Times New Roman"/>
          <w:i/>
          <w:iCs/>
          <w:sz w:val="22"/>
          <w:szCs w:val="22"/>
          <w:lang w:val="en-US" w:bidi="fa-IR"/>
        </w:rPr>
        <w:t>Human Factors, 57</w:t>
      </w:r>
      <w:r>
        <w:rPr>
          <w:rFonts w:eastAsia="Times New Roman" w:cs="Times New Roman"/>
          <w:sz w:val="22"/>
          <w:szCs w:val="22"/>
          <w:lang w:val="en-US" w:bidi="fa-IR"/>
        </w:rPr>
        <w:t>(3), 407–434. https://doi.org/10.1177/0018720814547570</w:t>
      </w:r>
    </w:p>
    <w:p>
      <w:pPr>
        <w:pStyle w:val="Normal"/>
        <w:spacing w:lineRule="auto" w:line="240" w:before="0" w:after="60"/>
        <w:ind w:hanging="567" w:left="567"/>
        <w:jc w:val="left"/>
        <w:rPr/>
      </w:pPr>
      <w:r>
        <w:rPr>
          <w:rFonts w:eastAsia="Times New Roman" w:cs="Times New Roman"/>
          <w:sz w:val="22"/>
          <w:szCs w:val="22"/>
          <w:lang w:val="en-US" w:bidi="fa-IR"/>
        </w:rPr>
        <w:t xml:space="preserve">Pennycook, G., &amp; Rand, D. G. (2019). Lazy, not biased: Susceptibility to partisan fake news is better explained by lack of reasoning than by motivated reasoning. </w:t>
      </w:r>
      <w:r>
        <w:rPr>
          <w:rFonts w:eastAsia="Times New Roman" w:cs="Times New Roman"/>
          <w:i/>
          <w:iCs/>
          <w:sz w:val="22"/>
          <w:szCs w:val="22"/>
          <w:lang w:val="en-US" w:bidi="fa-IR"/>
        </w:rPr>
        <w:t>Cognition, 188</w:t>
      </w:r>
      <w:r>
        <w:rPr>
          <w:rFonts w:eastAsia="Times New Roman" w:cs="Times New Roman"/>
          <w:sz w:val="22"/>
          <w:szCs w:val="22"/>
          <w:lang w:val="en-US" w:bidi="fa-IR"/>
        </w:rPr>
        <w:t>, 39–50. https://doi.org/10.1016/j.cognition.2018.06.011</w:t>
      </w:r>
    </w:p>
    <w:p>
      <w:pPr>
        <w:pStyle w:val="Normal"/>
        <w:spacing w:lineRule="auto" w:line="240" w:before="0" w:after="60"/>
        <w:ind w:hanging="567" w:left="567"/>
        <w:jc w:val="left"/>
        <w:rPr/>
      </w:pPr>
      <w:r>
        <w:rPr>
          <w:rFonts w:eastAsia="Times New Roman" w:cs="Times New Roman"/>
          <w:sz w:val="22"/>
          <w:szCs w:val="22"/>
          <w:lang w:val="en-US" w:bidi="fa-IR"/>
        </w:rPr>
        <w:t xml:space="preserve">Ji, Z., Lee, N., Frieske, R., Yu, T., Su, D., Xu, Y., Ishii, E., Bang, Y. J., Madotto, A., &amp; Fung, P. (2023). Survey of hallucination in natural language generation. </w:t>
      </w:r>
      <w:r>
        <w:rPr>
          <w:rFonts w:eastAsia="Times New Roman" w:cs="Times New Roman"/>
          <w:i/>
          <w:iCs/>
          <w:sz w:val="22"/>
          <w:szCs w:val="22"/>
          <w:lang w:val="en-US" w:bidi="fa-IR"/>
        </w:rPr>
        <w:t>ACM Computing Surveys, 55</w:t>
      </w:r>
      <w:r>
        <w:rPr>
          <w:rFonts w:eastAsia="Times New Roman" w:cs="Times New Roman"/>
          <w:sz w:val="22"/>
          <w:szCs w:val="22"/>
          <w:lang w:val="en-US" w:bidi="fa-IR"/>
        </w:rPr>
        <w:t>(12), Article 248. https://doi.org/10.1145/3571730</w:t>
      </w:r>
    </w:p>
    <w:p>
      <w:pPr>
        <w:pStyle w:val="Normal"/>
        <w:keepNext w:val="true"/>
        <w:spacing w:lineRule="auto" w:line="276" w:before="140" w:after="60"/>
        <w:jc w:val="left"/>
        <w:rPr/>
      </w:pPr>
      <w:r>
        <w:rPr>
          <w:rFonts w:eastAsia="Times New Roman" w:cs="Times New Roman"/>
          <w:b/>
          <w:bCs/>
          <w:sz w:val="24"/>
          <w:szCs w:val="24"/>
          <w:lang w:val="en-US" w:bidi="fa-IR"/>
        </w:rPr>
        <w:t>2.7 AI literacy (AIL)</w:t>
      </w:r>
    </w:p>
    <w:p>
      <w:pPr>
        <w:pStyle w:val="Normal"/>
        <w:spacing w:lineRule="auto" w:line="276" w:before="0" w:after="80"/>
        <w:jc w:val="both"/>
        <w:rPr/>
      </w:pPr>
      <w:r>
        <w:rPr>
          <w:rFonts w:eastAsia="Times New Roman" w:cs="Times New Roman"/>
          <w:b/>
          <w:bCs/>
          <w:sz w:val="24"/>
          <w:szCs w:val="24"/>
          <w:lang w:val="en-US" w:bidi="fa-IR"/>
        </w:rPr>
        <w:t>Origin:</w:t>
      </w:r>
      <w:r>
        <w:rPr>
          <w:rFonts w:eastAsia="Times New Roman" w:cs="Times New Roman"/>
          <w:sz w:val="24"/>
          <w:szCs w:val="24"/>
          <w:lang w:val="en-US" w:bidi="fa-IR"/>
        </w:rPr>
        <w:t xml:space="preserve"> Research-based (adapted).  </w:t>
      </w:r>
      <w:r>
        <w:rPr>
          <w:rFonts w:eastAsia="Times New Roman" w:cs="Times New Roman"/>
          <w:b/>
          <w:bCs/>
          <w:sz w:val="24"/>
          <w:szCs w:val="24"/>
          <w:lang w:val="en-US" w:bidi="fa-IR"/>
        </w:rPr>
        <w:t>Response format:</w:t>
      </w:r>
      <w:r>
        <w:rPr>
          <w:rFonts w:eastAsia="Times New Roman" w:cs="Times New Roman"/>
          <w:sz w:val="24"/>
          <w:szCs w:val="24"/>
          <w:lang w:val="en-US" w:bidi="fa-IR"/>
        </w:rPr>
        <w:t xml:space="preserve"> 1 = strongly disagree … 5 = strongly agree.  </w:t>
      </w:r>
      <w:r>
        <w:rPr>
          <w:rFonts w:eastAsia="Times New Roman" w:cs="Times New Roman"/>
          <w:b/>
          <w:bCs/>
          <w:sz w:val="24"/>
          <w:szCs w:val="24"/>
          <w:lang w:val="en-US" w:bidi="fa-IR"/>
        </w:rPr>
        <w:t>Role in the model:</w:t>
      </w:r>
      <w:r>
        <w:rPr>
          <w:rFonts w:eastAsia="Times New Roman" w:cs="Times New Roman"/>
          <w:sz w:val="24"/>
          <w:szCs w:val="24"/>
          <w:lang w:val="en-US" w:bidi="fa-IR"/>
        </w:rPr>
        <w:t xml:space="preserve"> Moderator (reflective latent).</w:t>
      </w:r>
    </w:p>
    <w:p>
      <w:pPr>
        <w:pStyle w:val="Normal"/>
        <w:spacing w:lineRule="auto" w:line="276" w:before="0" w:after="80"/>
        <w:jc w:val="both"/>
        <w:rPr/>
      </w:pPr>
      <w:r>
        <w:rPr>
          <w:rFonts w:eastAsia="Times New Roman" w:cs="Times New Roman"/>
          <w:b/>
          <w:bCs/>
          <w:sz w:val="24"/>
          <w:szCs w:val="24"/>
          <w:lang w:val="en-US" w:bidi="fa-IR"/>
        </w:rPr>
        <w:t>Basis and status.</w:t>
      </w:r>
      <w:r>
        <w:rPr>
          <w:rFonts w:eastAsia="Times New Roman" w:cs="Times New Roman"/>
          <w:sz w:val="24"/>
          <w:szCs w:val="24"/>
          <w:lang w:val="en-US" w:bidi="fa-IR"/>
        </w:rPr>
        <w:t xml:space="preserve"> Competency domains (awareness, use, evaluation, ethics/limits) follow Wang et al. (2023), Ng et al. (2021) and Long &amp; Magerko (2020); items are paraphrased and re-contextualised to investing, so the original validation does not transfer automatically. Status: research-based (adapted); re-validate in the target population.</w:t>
      </w:r>
    </w:p>
    <w:p>
      <w:pPr>
        <w:pStyle w:val="Normal"/>
        <w:keepNext w:val="true"/>
        <w:spacing w:lineRule="auto" w:line="276" w:before="140" w:after="60"/>
        <w:jc w:val="left"/>
        <w:rPr/>
      </w:pPr>
      <w:r>
        <w:rPr>
          <w:rFonts w:eastAsia="Times New Roman" w:cs="Times New Roman"/>
          <w:b/>
          <w:bCs/>
          <w:sz w:val="22"/>
          <w:szCs w:val="22"/>
          <w:lang w:val="en-US" w:bidi="fa-IR"/>
        </w:rPr>
        <w:t>Table 2.7. Items of AIL</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AIL1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know that generative AI can produce wrong but convincing information.</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AIL2</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know these tools are trained on dated data and may be unaware of current market information.</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AIL3</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can phrase a question so that I get a more accurate answer.</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AIL4</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can evaluate the quality of an AI tool's answer.</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AIL5</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know AI may be biased or use incomplete information.</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AIL6</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I know when I should not rely on AI for a financial decision.</w:t>
            </w:r>
          </w:p>
        </w:tc>
      </w:tr>
    </w:tbl>
    <w:p>
      <w:pPr>
        <w:pStyle w:val="Normal"/>
        <w:spacing w:lineRule="auto" w:line="276" w:before="0" w:after="100"/>
        <w:ind w:firstLine="425"/>
        <w:jc w:val="both"/>
        <w:rPr/>
      </w:pPr>
      <w:r>
        <w:rPr/>
      </w:r>
    </w:p>
    <w:p>
      <w:pPr>
        <w:pStyle w:val="Normal"/>
        <w:spacing w:lineRule="auto" w:line="276" w:before="0" w:after="30"/>
        <w:jc w:val="both"/>
        <w:rPr/>
      </w:pPr>
      <w:r>
        <w:rPr>
          <w:rFonts w:eastAsia="Times New Roman" w:cs="Times New Roman"/>
          <w:b/>
          <w:bCs/>
          <w:sz w:val="24"/>
          <w:szCs w:val="24"/>
          <w:lang w:val="en-US" w:bidi="fa-IR"/>
        </w:rPr>
        <w:t>References for this variable</w:t>
      </w:r>
    </w:p>
    <w:p>
      <w:pPr>
        <w:pStyle w:val="Normal"/>
        <w:spacing w:lineRule="auto" w:line="240" w:before="0" w:after="60"/>
        <w:ind w:hanging="567" w:left="567"/>
        <w:jc w:val="left"/>
        <w:rPr/>
      </w:pPr>
      <w:r>
        <w:rPr>
          <w:rFonts w:eastAsia="Times New Roman" w:cs="Times New Roman"/>
          <w:sz w:val="22"/>
          <w:szCs w:val="22"/>
          <w:lang w:val="en-US" w:bidi="fa-IR"/>
        </w:rPr>
        <w:t xml:space="preserve">Wang, B., Rau, P.-L. P., &amp; Yuan, T. (2023). Measuring user competence in using artificial intelligence: Validity and reliability of artificial intelligence literacy scale. </w:t>
      </w:r>
      <w:r>
        <w:rPr>
          <w:rFonts w:eastAsia="Times New Roman" w:cs="Times New Roman"/>
          <w:i/>
          <w:iCs/>
          <w:sz w:val="22"/>
          <w:szCs w:val="22"/>
          <w:lang w:val="en-US" w:bidi="fa-IR"/>
        </w:rPr>
        <w:t>Behaviour &amp; Information Technology, 42</w:t>
      </w:r>
      <w:r>
        <w:rPr>
          <w:rFonts w:eastAsia="Times New Roman" w:cs="Times New Roman"/>
          <w:sz w:val="22"/>
          <w:szCs w:val="22"/>
          <w:lang w:val="en-US" w:bidi="fa-IR"/>
        </w:rPr>
        <w:t>(9), 1324–1337. https://doi.org/10.1080/0144929X.2022.2072768</w:t>
      </w:r>
    </w:p>
    <w:p>
      <w:pPr>
        <w:pStyle w:val="Normal"/>
        <w:spacing w:lineRule="auto" w:line="240" w:before="0" w:after="60"/>
        <w:ind w:hanging="567" w:left="567"/>
        <w:jc w:val="left"/>
        <w:rPr/>
      </w:pPr>
      <w:r>
        <w:rPr>
          <w:rFonts w:eastAsia="Times New Roman" w:cs="Times New Roman"/>
          <w:sz w:val="22"/>
          <w:szCs w:val="22"/>
          <w:lang w:val="en-US" w:bidi="fa-IR"/>
        </w:rPr>
        <w:t xml:space="preserve">Ng, D. T. K., Leung, J. K. L., Chu, S. K. W., &amp; Qiao, M. S. (2021). Conceptualizing AI literacy: An exploratory review. </w:t>
      </w:r>
      <w:r>
        <w:rPr>
          <w:rFonts w:eastAsia="Times New Roman" w:cs="Times New Roman"/>
          <w:i/>
          <w:iCs/>
          <w:sz w:val="22"/>
          <w:szCs w:val="22"/>
          <w:lang w:val="en-US" w:bidi="fa-IR"/>
        </w:rPr>
        <w:t>Computers and Education: Artificial Intelligence, 2</w:t>
      </w:r>
      <w:r>
        <w:rPr>
          <w:rFonts w:eastAsia="Times New Roman" w:cs="Times New Roman"/>
          <w:sz w:val="22"/>
          <w:szCs w:val="22"/>
          <w:lang w:val="en-US" w:bidi="fa-IR"/>
        </w:rPr>
        <w:t>, 100041. https://doi.org/10.1016/j.caeai.2021.100041</w:t>
      </w:r>
    </w:p>
    <w:p>
      <w:pPr>
        <w:pStyle w:val="Normal"/>
        <w:spacing w:lineRule="auto" w:line="240" w:before="0" w:after="60"/>
        <w:ind w:hanging="567" w:left="567"/>
        <w:jc w:val="left"/>
        <w:rPr/>
      </w:pPr>
      <w:r>
        <w:rPr>
          <w:rFonts w:eastAsia="Times New Roman" w:cs="Times New Roman"/>
          <w:sz w:val="22"/>
          <w:szCs w:val="22"/>
          <w:lang w:val="en-US" w:bidi="fa-IR"/>
        </w:rPr>
        <w:t xml:space="preserve">Long, D., &amp; Magerko, B. (2020). What is AI literacy? Competencies and design considerations. </w:t>
      </w:r>
      <w:r>
        <w:rPr>
          <w:rFonts w:eastAsia="Times New Roman" w:cs="Times New Roman"/>
          <w:i/>
          <w:iCs/>
          <w:sz w:val="22"/>
          <w:szCs w:val="22"/>
          <w:lang w:val="en-US" w:bidi="fa-IR"/>
        </w:rPr>
        <w:t>Proceedings of the 2020 CHI Conference on Human Factors in Computing Systems</w:t>
      </w:r>
      <w:r>
        <w:rPr>
          <w:rFonts w:eastAsia="Times New Roman" w:cs="Times New Roman"/>
          <w:sz w:val="22"/>
          <w:szCs w:val="22"/>
          <w:lang w:val="en-US" w:bidi="fa-IR"/>
        </w:rPr>
        <w:t xml:space="preserve"> (pp. 1–16). ACM. https://doi.org/10.1145/3313831.3376727</w:t>
      </w:r>
    </w:p>
    <w:p>
      <w:pPr>
        <w:pStyle w:val="Normal"/>
        <w:keepNext w:val="true"/>
        <w:spacing w:lineRule="auto" w:line="276" w:before="140" w:after="60"/>
        <w:jc w:val="left"/>
        <w:rPr/>
      </w:pPr>
      <w:r>
        <w:rPr>
          <w:rFonts w:eastAsia="Times New Roman" w:cs="Times New Roman"/>
          <w:b/>
          <w:bCs/>
          <w:sz w:val="24"/>
          <w:szCs w:val="24"/>
          <w:lang w:val="en-US" w:bidi="fa-IR"/>
        </w:rPr>
        <w:t>2.8 Investment decision quality (IDQ)</w:t>
      </w:r>
    </w:p>
    <w:p>
      <w:pPr>
        <w:pStyle w:val="Normal"/>
        <w:spacing w:lineRule="auto" w:line="276" w:before="0" w:after="80"/>
        <w:jc w:val="both"/>
        <w:rPr/>
      </w:pPr>
      <w:r>
        <w:rPr>
          <w:rFonts w:eastAsia="Times New Roman" w:cs="Times New Roman"/>
          <w:b/>
          <w:bCs/>
          <w:sz w:val="24"/>
          <w:szCs w:val="24"/>
          <w:lang w:val="en-US" w:bidi="fa-IR"/>
        </w:rPr>
        <w:t>Origin:</w:t>
      </w:r>
      <w:r>
        <w:rPr>
          <w:rFonts w:eastAsia="Times New Roman" w:cs="Times New Roman"/>
          <w:sz w:val="24"/>
          <w:szCs w:val="24"/>
          <w:lang w:val="en-US" w:bidi="fa-IR"/>
        </w:rPr>
        <w:t xml:space="preserve"> Mixed: adapted + researcher-made.  </w:t>
      </w:r>
      <w:r>
        <w:rPr>
          <w:rFonts w:eastAsia="Times New Roman" w:cs="Times New Roman"/>
          <w:b/>
          <w:bCs/>
          <w:sz w:val="24"/>
          <w:szCs w:val="24"/>
          <w:lang w:val="en-US" w:bidi="fa-IR"/>
        </w:rPr>
        <w:t>Response format:</w:t>
      </w:r>
      <w:r>
        <w:rPr>
          <w:rFonts w:eastAsia="Times New Roman" w:cs="Times New Roman"/>
          <w:sz w:val="24"/>
          <w:szCs w:val="24"/>
          <w:lang w:val="en-US" w:bidi="fa-IR"/>
        </w:rPr>
        <w:t xml:space="preserve"> 1 = strongly disagree … 5 = strongly agree.  </w:t>
      </w:r>
      <w:r>
        <w:rPr>
          <w:rFonts w:eastAsia="Times New Roman" w:cs="Times New Roman"/>
          <w:b/>
          <w:bCs/>
          <w:sz w:val="24"/>
          <w:szCs w:val="24"/>
          <w:lang w:val="en-US" w:bidi="fa-IR"/>
        </w:rPr>
        <w:t>Role in the model:</w:t>
      </w:r>
      <w:r>
        <w:rPr>
          <w:rFonts w:eastAsia="Times New Roman" w:cs="Times New Roman"/>
          <w:sz w:val="24"/>
          <w:szCs w:val="24"/>
          <w:lang w:val="en-US" w:bidi="fa-IR"/>
        </w:rPr>
        <w:t xml:space="preserve"> Outcome (reflective latent).</w:t>
      </w:r>
    </w:p>
    <w:p>
      <w:pPr>
        <w:pStyle w:val="Normal"/>
        <w:spacing w:lineRule="auto" w:line="276" w:before="0" w:after="80"/>
        <w:jc w:val="both"/>
        <w:rPr/>
      </w:pPr>
      <w:r>
        <w:rPr>
          <w:rFonts w:eastAsia="Times New Roman" w:cs="Times New Roman"/>
          <w:b/>
          <w:bCs/>
          <w:sz w:val="24"/>
          <w:szCs w:val="24"/>
          <w:lang w:val="en-US" w:bidi="fa-IR"/>
        </w:rPr>
        <w:t>Basis and status.</w:t>
      </w:r>
      <w:r>
        <w:rPr>
          <w:rFonts w:eastAsia="Times New Roman" w:cs="Times New Roman"/>
          <w:sz w:val="24"/>
          <w:szCs w:val="24"/>
          <w:lang w:val="en-US" w:bidi="fa-IR"/>
        </w:rPr>
        <w:t xml:space="preserve"> Decision competence is conceptualised after Parker &amp; Fischhoff (2005) and Bruine de Bruin et al. (2007), whose instrument measures general decision skills with tasks, not self-report; the five self-report items on process, outcome, goal-fit and regret were written by the authors. Status: researcher-made, theory-derived (shared with Papers 1–2).</w:t>
      </w:r>
    </w:p>
    <w:p>
      <w:pPr>
        <w:pStyle w:val="Normal"/>
        <w:keepNext w:val="true"/>
        <w:spacing w:lineRule="auto" w:line="276" w:before="140" w:after="60"/>
        <w:jc w:val="left"/>
        <w:rPr/>
      </w:pPr>
      <w:r>
        <w:rPr>
          <w:rFonts w:eastAsia="Times New Roman" w:cs="Times New Roman"/>
          <w:b/>
          <w:bCs/>
          <w:sz w:val="22"/>
          <w:szCs w:val="22"/>
          <w:lang w:val="en-US" w:bidi="fa-IR"/>
        </w:rPr>
        <w:t>Table 2.8. Items of IDQ</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IDQ1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My investment decisions are usually based on documented analysis.</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IDQ2</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I am satisfied with the outcome of my investment decisions over the past year.</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IDQ3</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My portfolio return over the past year matched my expectations.</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IDQ4</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My decisions are aligned with my long-term financial goals.</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IDQ5</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I rarely regret my trading decisions.</w:t>
            </w:r>
          </w:p>
        </w:tc>
      </w:tr>
    </w:tbl>
    <w:p>
      <w:pPr>
        <w:pStyle w:val="Normal"/>
        <w:spacing w:lineRule="auto" w:line="276" w:before="0" w:after="100"/>
        <w:ind w:firstLine="425"/>
        <w:jc w:val="both"/>
        <w:rPr/>
      </w:pPr>
      <w:r>
        <w:rPr/>
      </w:r>
    </w:p>
    <w:p>
      <w:pPr>
        <w:pStyle w:val="Normal"/>
        <w:spacing w:lineRule="auto" w:line="276" w:before="0" w:after="30"/>
        <w:jc w:val="both"/>
        <w:rPr/>
      </w:pPr>
      <w:r>
        <w:rPr>
          <w:rFonts w:eastAsia="Times New Roman" w:cs="Times New Roman"/>
          <w:b/>
          <w:bCs/>
          <w:sz w:val="24"/>
          <w:szCs w:val="24"/>
          <w:lang w:val="en-US" w:bidi="fa-IR"/>
        </w:rPr>
        <w:t>References for this variable</w:t>
      </w:r>
    </w:p>
    <w:p>
      <w:pPr>
        <w:pStyle w:val="Normal"/>
        <w:spacing w:lineRule="auto" w:line="240" w:before="0" w:after="60"/>
        <w:ind w:hanging="567" w:left="567"/>
        <w:jc w:val="left"/>
        <w:rPr/>
      </w:pPr>
      <w:r>
        <w:rPr>
          <w:rFonts w:eastAsia="Times New Roman" w:cs="Times New Roman"/>
          <w:sz w:val="22"/>
          <w:szCs w:val="22"/>
          <w:lang w:val="en-US" w:bidi="fa-IR"/>
        </w:rPr>
        <w:t xml:space="preserve">Parker, A. M., &amp; Fischhoff, B. (2005). Decision-making competence: External validation through an individual-differences approach. </w:t>
      </w:r>
      <w:r>
        <w:rPr>
          <w:rFonts w:eastAsia="Times New Roman" w:cs="Times New Roman"/>
          <w:i/>
          <w:iCs/>
          <w:sz w:val="22"/>
          <w:szCs w:val="22"/>
          <w:lang w:val="en-US" w:bidi="fa-IR"/>
        </w:rPr>
        <w:t>Journal of Behavioral Decision Making, 18</w:t>
      </w:r>
      <w:r>
        <w:rPr>
          <w:rFonts w:eastAsia="Times New Roman" w:cs="Times New Roman"/>
          <w:sz w:val="22"/>
          <w:szCs w:val="22"/>
          <w:lang w:val="en-US" w:bidi="fa-IR"/>
        </w:rPr>
        <w:t>(1), 1–27. https://doi.org/10.1002/bdm.481</w:t>
      </w:r>
    </w:p>
    <w:p>
      <w:pPr>
        <w:pStyle w:val="Normal"/>
        <w:spacing w:lineRule="auto" w:line="240" w:before="0" w:after="60"/>
        <w:ind w:hanging="567" w:left="567"/>
        <w:jc w:val="left"/>
        <w:rPr/>
      </w:pPr>
      <w:r>
        <w:rPr>
          <w:rFonts w:eastAsia="Times New Roman" w:cs="Times New Roman"/>
          <w:sz w:val="22"/>
          <w:szCs w:val="22"/>
          <w:lang w:val="en-US" w:bidi="fa-IR"/>
        </w:rPr>
        <w:t xml:space="preserve">Bruine de Bruin, W., Parker, A. M., &amp; Fischhoff, B. (2007). Individual differences in adult decision-making competence. </w:t>
      </w:r>
      <w:r>
        <w:rPr>
          <w:rFonts w:eastAsia="Times New Roman" w:cs="Times New Roman"/>
          <w:i/>
          <w:iCs/>
          <w:sz w:val="22"/>
          <w:szCs w:val="22"/>
          <w:lang w:val="en-US" w:bidi="fa-IR"/>
        </w:rPr>
        <w:t>Journal of Personality and Social Psychology, 92</w:t>
      </w:r>
      <w:r>
        <w:rPr>
          <w:rFonts w:eastAsia="Times New Roman" w:cs="Times New Roman"/>
          <w:sz w:val="22"/>
          <w:szCs w:val="22"/>
          <w:lang w:val="en-US" w:bidi="fa-IR"/>
        </w:rPr>
        <w:t>(5), 938–956. https://doi.org/10.1037/0022-3514.92.5.938</w:t>
      </w:r>
    </w:p>
    <w:p>
      <w:pPr>
        <w:pStyle w:val="Normal"/>
        <w:keepNext w:val="true"/>
        <w:spacing w:lineRule="auto" w:line="276" w:before="140" w:after="60"/>
        <w:jc w:val="left"/>
        <w:rPr/>
      </w:pPr>
      <w:r>
        <w:rPr>
          <w:rFonts w:eastAsia="Times New Roman" w:cs="Times New Roman"/>
          <w:b/>
          <w:bCs/>
          <w:sz w:val="24"/>
          <w:szCs w:val="24"/>
          <w:lang w:val="en-US" w:bidi="fa-IR"/>
        </w:rPr>
        <w:t>2.9 Vignette task: acceptance of incorrect AI advice (behavioural criterion) (VIG)</w:t>
      </w:r>
    </w:p>
    <w:p>
      <w:pPr>
        <w:pStyle w:val="Normal"/>
        <w:spacing w:lineRule="auto" w:line="276" w:before="0" w:after="80"/>
        <w:jc w:val="both"/>
        <w:rPr/>
      </w:pPr>
      <w:r>
        <w:rPr>
          <w:rFonts w:eastAsia="Times New Roman" w:cs="Times New Roman"/>
          <w:b/>
          <w:bCs/>
          <w:sz w:val="24"/>
          <w:szCs w:val="24"/>
          <w:lang w:val="en-US" w:bidi="fa-IR"/>
        </w:rPr>
        <w:t>Origin:</w:t>
      </w:r>
      <w:r>
        <w:rPr>
          <w:rFonts w:eastAsia="Times New Roman" w:cs="Times New Roman"/>
          <w:sz w:val="24"/>
          <w:szCs w:val="24"/>
          <w:lang w:val="en-US" w:bidi="fa-IR"/>
        </w:rPr>
        <w:t xml:space="preserve"> Researcher-made (theory-derived).  </w:t>
      </w:r>
      <w:r>
        <w:rPr>
          <w:rFonts w:eastAsia="Times New Roman" w:cs="Times New Roman"/>
          <w:b/>
          <w:bCs/>
          <w:sz w:val="24"/>
          <w:szCs w:val="24"/>
          <w:lang w:val="en-US" w:bidi="fa-IR"/>
        </w:rPr>
        <w:t>Response format:</w:t>
      </w:r>
      <w:r>
        <w:rPr>
          <w:rFonts w:eastAsia="Times New Roman" w:cs="Times New Roman"/>
          <w:sz w:val="24"/>
          <w:szCs w:val="24"/>
          <w:lang w:val="en-US" w:bidi="fa-IR"/>
        </w:rPr>
        <w:t xml:space="preserve"> Accept / verify first / reject.  </w:t>
      </w:r>
      <w:r>
        <w:rPr>
          <w:rFonts w:eastAsia="Times New Roman" w:cs="Times New Roman"/>
          <w:b/>
          <w:bCs/>
          <w:sz w:val="24"/>
          <w:szCs w:val="24"/>
          <w:lang w:val="en-US" w:bidi="fa-IR"/>
        </w:rPr>
        <w:t>Role in the model:</w:t>
      </w:r>
      <w:r>
        <w:rPr>
          <w:rFonts w:eastAsia="Times New Roman" w:cs="Times New Roman"/>
          <w:sz w:val="24"/>
          <w:szCs w:val="24"/>
          <w:lang w:val="en-US" w:bidi="fa-IR"/>
        </w:rPr>
        <w:t xml:space="preserve"> Criterion measure (VIGERR = number of wrong AI answers accepted, 0–2).</w:t>
      </w:r>
    </w:p>
    <w:p>
      <w:pPr>
        <w:pStyle w:val="Normal"/>
        <w:spacing w:lineRule="auto" w:line="276" w:before="0" w:after="80"/>
        <w:jc w:val="both"/>
        <w:rPr/>
      </w:pPr>
      <w:r>
        <w:rPr>
          <w:rFonts w:eastAsia="Times New Roman" w:cs="Times New Roman"/>
          <w:b/>
          <w:bCs/>
          <w:sz w:val="24"/>
          <w:szCs w:val="24"/>
          <w:lang w:val="en-US" w:bidi="fa-IR"/>
        </w:rPr>
        <w:t>Basis and status.</w:t>
      </w:r>
      <w:r>
        <w:rPr>
          <w:rFonts w:eastAsia="Times New Roman" w:cs="Times New Roman"/>
          <w:sz w:val="24"/>
          <w:szCs w:val="24"/>
          <w:lang w:val="en-US" w:bidi="fa-IR"/>
        </w:rPr>
        <w:t xml:space="preserve"> Researcher-made vignettes with a known answer key; design logic follows the advice-taking literature (Dietvorst et al., 2015; Logg et al., 2019). Status: researcher-made.</w:t>
      </w:r>
    </w:p>
    <w:p>
      <w:pPr>
        <w:pStyle w:val="Normal"/>
        <w:keepNext w:val="true"/>
        <w:spacing w:lineRule="auto" w:line="276" w:before="140" w:after="60"/>
        <w:jc w:val="left"/>
        <w:rPr/>
      </w:pPr>
      <w:r>
        <w:rPr>
          <w:rFonts w:eastAsia="Times New Roman" w:cs="Times New Roman"/>
          <w:b/>
          <w:bCs/>
          <w:sz w:val="22"/>
          <w:szCs w:val="22"/>
          <w:lang w:val="en-US" w:bidi="fa-IR"/>
        </w:rPr>
        <w:t>Table 2.9. Items of VIG</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V1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AI says: 'Firm A has price 1,000 and EPS 200, so P/E = 20 — it is cheap.' (incorrect: P/E = 5)</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V2</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AI says: 'High accounting profit is not necessarily strong cash flow; check operating cash flow too.' (correct)</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V3</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AI says: 'An unqualified audit opinion means the share will rise over the next six months.' (incorrect)</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V4</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AI says: 'Diversification reduces firm-specific risk but cannot remove systematic risk.' (correct)</w:t>
            </w:r>
          </w:p>
        </w:tc>
      </w:tr>
    </w:tbl>
    <w:p>
      <w:pPr>
        <w:pStyle w:val="Normal"/>
        <w:spacing w:lineRule="auto" w:line="276" w:before="0" w:after="100"/>
        <w:ind w:firstLine="425"/>
        <w:jc w:val="both"/>
        <w:rPr/>
      </w:pPr>
      <w:r>
        <w:rPr/>
      </w:r>
    </w:p>
    <w:p>
      <w:pPr>
        <w:pStyle w:val="Normal"/>
        <w:spacing w:lineRule="auto" w:line="276" w:before="0" w:after="30"/>
        <w:jc w:val="both"/>
        <w:rPr/>
      </w:pPr>
      <w:r>
        <w:rPr>
          <w:rFonts w:eastAsia="Times New Roman" w:cs="Times New Roman"/>
          <w:b/>
          <w:bCs/>
          <w:sz w:val="24"/>
          <w:szCs w:val="24"/>
          <w:lang w:val="en-US" w:bidi="fa-IR"/>
        </w:rPr>
        <w:t>References for this variable</w:t>
      </w:r>
    </w:p>
    <w:p>
      <w:pPr>
        <w:pStyle w:val="Normal"/>
        <w:spacing w:lineRule="auto" w:line="240" w:before="0" w:after="60"/>
        <w:ind w:hanging="567" w:left="567"/>
        <w:jc w:val="left"/>
        <w:rPr/>
      </w:pPr>
      <w:r>
        <w:rPr>
          <w:rFonts w:eastAsia="Times New Roman" w:cs="Times New Roman"/>
          <w:sz w:val="22"/>
          <w:szCs w:val="22"/>
          <w:lang w:val="en-US" w:bidi="fa-IR"/>
        </w:rPr>
        <w:t xml:space="preserve">Dietvorst, B. J., Simmons, J. P., &amp; Massey, C. (2015). Algorithm aversion: People erroneously avoid algorithms after seeing them err. </w:t>
      </w:r>
      <w:r>
        <w:rPr>
          <w:rFonts w:eastAsia="Times New Roman" w:cs="Times New Roman"/>
          <w:i/>
          <w:iCs/>
          <w:sz w:val="22"/>
          <w:szCs w:val="22"/>
          <w:lang w:val="en-US" w:bidi="fa-IR"/>
        </w:rPr>
        <w:t>Journal of Experimental Psychology: General, 144</w:t>
      </w:r>
      <w:r>
        <w:rPr>
          <w:rFonts w:eastAsia="Times New Roman" w:cs="Times New Roman"/>
          <w:sz w:val="22"/>
          <w:szCs w:val="22"/>
          <w:lang w:val="en-US" w:bidi="fa-IR"/>
        </w:rPr>
        <w:t>(1), 114–126. https://doi.org/10.1037/xge0000033</w:t>
      </w:r>
    </w:p>
    <w:p>
      <w:pPr>
        <w:pStyle w:val="Normal"/>
        <w:spacing w:lineRule="auto" w:line="240" w:before="0" w:after="60"/>
        <w:ind w:hanging="567" w:left="567"/>
        <w:jc w:val="left"/>
        <w:rPr/>
      </w:pPr>
      <w:r>
        <w:rPr>
          <w:rFonts w:eastAsia="Times New Roman" w:cs="Times New Roman"/>
          <w:sz w:val="22"/>
          <w:szCs w:val="22"/>
          <w:lang w:val="en-US" w:bidi="fa-IR"/>
        </w:rPr>
        <w:t xml:space="preserve">Logg, J. M., Minson, J. A., &amp; Moore, D. A. (2019). Algorithm appreciation: People prefer algorithmic to human judgment. </w:t>
      </w:r>
      <w:r>
        <w:rPr>
          <w:rFonts w:eastAsia="Times New Roman" w:cs="Times New Roman"/>
          <w:i/>
          <w:iCs/>
          <w:sz w:val="22"/>
          <w:szCs w:val="22"/>
          <w:lang w:val="en-US" w:bidi="fa-IR"/>
        </w:rPr>
        <w:t>Organizational Behavior and Human Decision Processes, 151</w:t>
      </w:r>
      <w:r>
        <w:rPr>
          <w:rFonts w:eastAsia="Times New Roman" w:cs="Times New Roman"/>
          <w:sz w:val="22"/>
          <w:szCs w:val="22"/>
          <w:lang w:val="en-US" w:bidi="fa-IR"/>
        </w:rPr>
        <w:t>, 90–103. https://doi.org/10.1016/j.obhdp.2018.12.005</w:t>
      </w:r>
    </w:p>
    <w:p>
      <w:pPr>
        <w:pStyle w:val="Normal"/>
        <w:spacing w:lineRule="auto" w:line="240" w:before="0" w:after="60"/>
        <w:ind w:hanging="567" w:left="567"/>
        <w:jc w:val="left"/>
        <w:rPr/>
      </w:pPr>
      <w:r>
        <w:rPr>
          <w:rFonts w:eastAsia="Times New Roman" w:cs="Times New Roman"/>
          <w:sz w:val="22"/>
          <w:szCs w:val="22"/>
          <w:lang w:val="en-US" w:bidi="fa-IR"/>
        </w:rPr>
        <w:t xml:space="preserve">D'Acunto, F., Prabhala, N., &amp; Rossi, A. G. (2019). The promises and pitfalls of robo-advising. </w:t>
      </w:r>
      <w:r>
        <w:rPr>
          <w:rFonts w:eastAsia="Times New Roman" w:cs="Times New Roman"/>
          <w:i/>
          <w:iCs/>
          <w:sz w:val="22"/>
          <w:szCs w:val="22"/>
          <w:lang w:val="en-US" w:bidi="fa-IR"/>
        </w:rPr>
        <w:t>The Review of Financial Studies, 32</w:t>
      </w:r>
      <w:r>
        <w:rPr>
          <w:rFonts w:eastAsia="Times New Roman" w:cs="Times New Roman"/>
          <w:sz w:val="22"/>
          <w:szCs w:val="22"/>
          <w:lang w:val="en-US" w:bidi="fa-IR"/>
        </w:rPr>
        <w:t>(5), 1983–2020. https://doi.org/10.1093/rfs/hhz014</w:t>
      </w:r>
    </w:p>
    <w:p>
      <w:pPr>
        <w:pStyle w:val="Normal"/>
        <w:keepNext w:val="true"/>
        <w:spacing w:lineRule="auto" w:line="276" w:before="140" w:after="60"/>
        <w:jc w:val="left"/>
        <w:rPr/>
      </w:pPr>
      <w:r>
        <w:rPr>
          <w:rFonts w:eastAsia="Times New Roman" w:cs="Times New Roman"/>
          <w:b/>
          <w:bCs/>
          <w:sz w:val="24"/>
          <w:szCs w:val="24"/>
          <w:lang w:val="en-US" w:bidi="fa-IR"/>
        </w:rPr>
        <w:t>2.10 Demographics and descriptive questions</w:t>
      </w:r>
    </w:p>
    <w:p>
      <w:pPr>
        <w:pStyle w:val="Normal"/>
        <w:keepNext w:val="true"/>
        <w:spacing w:lineRule="auto" w:line="276" w:before="140" w:after="60"/>
        <w:jc w:val="left"/>
        <w:rPr/>
      </w:pPr>
      <w:r>
        <w:rPr>
          <w:rFonts w:eastAsia="Times New Roman" w:cs="Times New Roman"/>
          <w:b/>
          <w:bCs/>
          <w:sz w:val="22"/>
          <w:szCs w:val="22"/>
          <w:lang w:val="en-US" w:bidi="fa-IR"/>
        </w:rPr>
        <w:t>Table 2.10. Demographic items</w:t>
      </w:r>
    </w:p>
    <w:tbl>
      <w:tblPr>
        <w:tblW w:w="9300" w:type="dxa"/>
        <w:jc w:val="center"/>
        <w:tblInd w:w="0" w:type="dxa"/>
        <w:tblLayout w:type="fixed"/>
        <w:tblCellMar>
          <w:top w:w="0" w:type="dxa"/>
          <w:left w:w="60" w:type="dxa"/>
          <w:bottom w:w="0" w:type="dxa"/>
          <w:right w:w="60" w:type="dxa"/>
        </w:tblCellMar>
      </w:tblPr>
      <w:tblGrid>
        <w:gridCol w:w="799"/>
        <w:gridCol w:w="8500"/>
      </w:tblGrid>
      <w:tr>
        <w:trPr>
          <w:tblHeader w:val="true"/>
        </w:trPr>
        <w:tc>
          <w:tcPr>
            <w:tcW w:w="799" w:type="dxa"/>
            <w:tcBorders>
              <w:top w:val="single" w:sz="8" w:space="0" w:color="000000"/>
              <w:bottom w:val="single" w:sz="8" w:space="0" w:color="000000"/>
            </w:tcBorders>
            <w:vAlign w:val="center"/>
          </w:tcPr>
          <w:p>
            <w:pPr>
              <w:pStyle w:val="Normal"/>
              <w:spacing w:lineRule="auto" w:line="240" w:before="30" w:after="30"/>
              <w:jc w:val="left"/>
              <w:rPr/>
            </w:pPr>
            <w:r>
              <w:rPr>
                <w:rFonts w:eastAsia="Times New Roman" w:cs="Times New Roman"/>
                <w:b/>
                <w:bCs/>
                <w:sz w:val="20"/>
                <w:szCs w:val="20"/>
                <w:lang w:val="en-US" w:bidi="fa-IR"/>
              </w:rPr>
              <w:t>Code</w:t>
            </w:r>
          </w:p>
        </w:tc>
        <w:tc>
          <w:tcPr>
            <w:tcW w:w="8500" w:type="dxa"/>
            <w:tcBorders>
              <w:top w:val="single" w:sz="8" w:space="0" w:color="000000"/>
              <w:bottom w:val="single" w:sz="8" w:space="0" w:color="000000"/>
            </w:tcBorders>
            <w:vAlign w:val="center"/>
          </w:tcPr>
          <w:p>
            <w:pPr>
              <w:pStyle w:val="Normal"/>
              <w:spacing w:lineRule="auto" w:line="240" w:before="30" w:after="30"/>
              <w:jc w:val="center"/>
              <w:rPr/>
            </w:pPr>
            <w:r>
              <w:rPr>
                <w:rFonts w:eastAsia="Times New Roman" w:cs="Times New Roman"/>
                <w:b/>
                <w:bCs/>
                <w:sz w:val="20"/>
                <w:szCs w:val="20"/>
                <w:lang w:val="en-US" w:bidi="fa-IR"/>
              </w:rPr>
              <w:t>Item</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D1</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Gender</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D2</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Age (years)</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D3</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Education (diploma / bachelor / master / doctorate)</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D4</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Years of stock-trading experience</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D5</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Approximate portfolio value</w:t>
            </w:r>
          </w:p>
        </w:tc>
      </w:tr>
      <w:tr>
        <w:trPr>
          <w:cantSplit w:val="true"/>
        </w:trPr>
        <w:tc>
          <w:tcPr>
            <w:tcW w:w="799" w:type="dxa"/>
            <w:tcBorders/>
            <w:vAlign w:val="center"/>
          </w:tcPr>
          <w:p>
            <w:pPr>
              <w:pStyle w:val="Normal"/>
              <w:spacing w:lineRule="auto" w:line="240" w:before="30" w:after="30"/>
              <w:jc w:val="left"/>
              <w:rPr/>
            </w:pPr>
            <w:r>
              <w:rPr>
                <w:rFonts w:eastAsia="Times New Roman" w:cs="Times New Roman"/>
                <w:sz w:val="20"/>
                <w:szCs w:val="20"/>
                <w:lang w:val="en-US" w:bidi="fa-IR"/>
              </w:rPr>
              <w:t>D6</w:t>
            </w:r>
          </w:p>
        </w:tc>
        <w:tc>
          <w:tcPr>
            <w:tcW w:w="8500" w:type="dxa"/>
            <w:tcBorders/>
            <w:vAlign w:val="center"/>
          </w:tcPr>
          <w:p>
            <w:pPr>
              <w:pStyle w:val="Normal"/>
              <w:spacing w:lineRule="auto" w:line="240" w:before="30" w:after="30"/>
              <w:jc w:val="center"/>
              <w:rPr/>
            </w:pPr>
            <w:r>
              <w:rPr>
                <w:rFonts w:eastAsia="Times New Roman" w:cs="Times New Roman"/>
                <w:sz w:val="20"/>
                <w:szCs w:val="20"/>
                <w:lang w:val="en-US" w:bidi="fa-IR"/>
              </w:rPr>
              <w:t>Frequency of generative-AI use for investing (never … daily)</w:t>
            </w:r>
          </w:p>
        </w:tc>
      </w:tr>
      <w:tr>
        <w:trPr>
          <w:cantSplit w:val="true"/>
        </w:trPr>
        <w:tc>
          <w:tcPr>
            <w:tcW w:w="799" w:type="dxa"/>
            <w:tcBorders>
              <w:bottom w:val="single" w:sz="8" w:space="0" w:color="000000"/>
            </w:tcBorders>
            <w:vAlign w:val="center"/>
          </w:tcPr>
          <w:p>
            <w:pPr>
              <w:pStyle w:val="Normal"/>
              <w:spacing w:lineRule="auto" w:line="240" w:before="30" w:after="30"/>
              <w:jc w:val="left"/>
              <w:rPr/>
            </w:pPr>
            <w:r>
              <w:rPr>
                <w:rFonts w:eastAsia="Times New Roman" w:cs="Times New Roman"/>
                <w:sz w:val="20"/>
                <w:szCs w:val="20"/>
                <w:lang w:val="en-US" w:bidi="fa-IR"/>
              </w:rPr>
              <w:t>D7</w:t>
            </w:r>
          </w:p>
        </w:tc>
        <w:tc>
          <w:tcPr>
            <w:tcW w:w="8500" w:type="dxa"/>
            <w:tcBorders>
              <w:bottom w:val="single" w:sz="8" w:space="0" w:color="000000"/>
            </w:tcBorders>
            <w:vAlign w:val="center"/>
          </w:tcPr>
          <w:p>
            <w:pPr>
              <w:pStyle w:val="Normal"/>
              <w:spacing w:lineRule="auto" w:line="240" w:before="30" w:after="30"/>
              <w:jc w:val="center"/>
              <w:rPr/>
            </w:pPr>
            <w:r>
              <w:rPr>
                <w:rFonts w:eastAsia="Times New Roman" w:cs="Times New Roman"/>
                <w:sz w:val="20"/>
                <w:szCs w:val="20"/>
                <w:lang w:val="en-US" w:bidi="fa-IR"/>
              </w:rPr>
              <w:t>Main uses (multiple choice): explaining concepts, summarising news, reading filings, fundamental analysis, technical analysis, buy/sell suggestions, calculations</w:t>
            </w:r>
          </w:p>
        </w:tc>
      </w:tr>
    </w:tbl>
    <w:p>
      <w:pPr>
        <w:pStyle w:val="Normal"/>
        <w:spacing w:lineRule="auto" w:line="276" w:before="0" w:after="100"/>
        <w:ind w:firstLine="425"/>
        <w:jc w:val="both"/>
        <w:rPr/>
      </w:pPr>
      <w:r>
        <w:rPr/>
      </w:r>
    </w:p>
    <w:p>
      <w:pPr>
        <w:pStyle w:val="Normal"/>
        <w:keepNext w:val="true"/>
        <w:spacing w:lineRule="auto" w:line="276" w:before="200" w:after="80"/>
        <w:jc w:val="left"/>
        <w:rPr/>
      </w:pPr>
      <w:r>
        <w:rPr>
          <w:rFonts w:eastAsia="Times New Roman" w:cs="Times New Roman"/>
          <w:b/>
          <w:bCs/>
          <w:sz w:val="26"/>
          <w:szCs w:val="26"/>
          <w:lang w:val="en-US" w:bidi="fa-IR"/>
        </w:rPr>
        <w:t>3. Validation protocol before real data collection</w:t>
      </w:r>
    </w:p>
    <w:p>
      <w:pPr>
        <w:pStyle w:val="Normal"/>
        <w:spacing w:lineRule="auto" w:line="276" w:before="0" w:after="80"/>
        <w:jc w:val="both"/>
        <w:rPr/>
      </w:pPr>
      <w:r>
        <w:rPr>
          <w:rFonts w:eastAsia="Times New Roman" w:cs="Times New Roman"/>
          <w:b/>
          <w:bCs/>
          <w:sz w:val="24"/>
          <w:szCs w:val="24"/>
          <w:lang w:val="en-US" w:bidi="fa-IR"/>
        </w:rPr>
        <w:t>Content validity.</w:t>
      </w:r>
      <w:r>
        <w:rPr>
          <w:rFonts w:eastAsia="Times New Roman" w:cs="Times New Roman"/>
          <w:sz w:val="24"/>
          <w:szCs w:val="24"/>
          <w:lang w:val="en-US" w:bidi="fa-IR"/>
        </w:rPr>
        <w:t xml:space="preserve"> Panel of 10–12 experts (behavioural finance, accounting, AI/HCI, psychometrics): Lawshe's CVR (minimum 0.62 for 10 experts), item-level and scale-level CVI (I-CVI ≥ 0.78; S-CVI/Ave ≥ 0.90) (Lawshe, 1975; Polit &amp; Beck, 2006).</w:t>
      </w:r>
    </w:p>
    <w:p>
      <w:pPr>
        <w:pStyle w:val="Normal"/>
        <w:spacing w:lineRule="auto" w:line="276" w:before="0" w:after="80"/>
        <w:jc w:val="both"/>
        <w:rPr/>
      </w:pPr>
      <w:r>
        <w:rPr>
          <w:rFonts w:eastAsia="Times New Roman" w:cs="Times New Roman"/>
          <w:b/>
          <w:bCs/>
          <w:sz w:val="24"/>
          <w:szCs w:val="24"/>
          <w:lang w:val="en-US" w:bidi="fa-IR"/>
        </w:rPr>
        <w:t>Translation.</w:t>
      </w:r>
      <w:r>
        <w:rPr>
          <w:rFonts w:eastAsia="Times New Roman" w:cs="Times New Roman"/>
          <w:sz w:val="24"/>
          <w:szCs w:val="24"/>
          <w:lang w:val="en-US" w:bidi="fa-IR"/>
        </w:rPr>
        <w:t xml:space="preserve"> For items written in Persian and reported in English (or vice versa): forward–backward translation and reconciliation (Brislin, 1970).</w:t>
      </w:r>
    </w:p>
    <w:p>
      <w:pPr>
        <w:pStyle w:val="Normal"/>
        <w:spacing w:lineRule="auto" w:line="276" w:before="0" w:after="80"/>
        <w:jc w:val="both"/>
        <w:rPr/>
      </w:pPr>
      <w:r>
        <w:rPr>
          <w:rFonts w:eastAsia="Times New Roman" w:cs="Times New Roman"/>
          <w:b/>
          <w:bCs/>
          <w:sz w:val="24"/>
          <w:szCs w:val="24"/>
          <w:lang w:val="en-US" w:bidi="fa-IR"/>
        </w:rPr>
        <w:t>Cognitive pretest and pilot.</w:t>
      </w:r>
      <w:r>
        <w:rPr>
          <w:rFonts w:eastAsia="Times New Roman" w:cs="Times New Roman"/>
          <w:sz w:val="24"/>
          <w:szCs w:val="24"/>
          <w:lang w:val="en-US" w:bidi="fa-IR"/>
        </w:rPr>
        <w:t xml:space="preserve"> 8–10 cognitive interviews, then a pilot of 60–100 investors: item distributions, corrected item–total correlations, α/ω, EFA with parallel analysis; item difficulty and discrimination (KR-20, point-biserial) for the knowledge test (Boateng et al., 2018).</w:t>
      </w:r>
    </w:p>
    <w:p>
      <w:pPr>
        <w:pStyle w:val="Normal"/>
        <w:spacing w:lineRule="auto" w:line="276" w:before="0" w:after="80"/>
        <w:jc w:val="both"/>
        <w:rPr/>
      </w:pPr>
      <w:r>
        <w:rPr>
          <w:rFonts w:eastAsia="Times New Roman" w:cs="Times New Roman"/>
          <w:b/>
          <w:bCs/>
          <w:sz w:val="24"/>
          <w:szCs w:val="24"/>
          <w:lang w:val="en-US" w:bidi="fa-IR"/>
        </w:rPr>
        <w:t>Main study.</w:t>
      </w:r>
      <w:r>
        <w:rPr>
          <w:rFonts w:eastAsia="Times New Roman" w:cs="Times New Roman"/>
          <w:sz w:val="24"/>
          <w:szCs w:val="24"/>
          <w:lang w:val="en-US" w:bidi="fa-IR"/>
        </w:rPr>
        <w:t xml:space="preserve"> CFA of the full measurement model with fit judged jointly (CFI/TLI, RMSEA, SRMR; Hu &amp; Bentler, 1999), CR/AVE (Fornell &amp; Larcker, 1981), HTMT &lt; 0.85 (Henseler et al., 2015), common-method checks (Podsakoff et al., 2003). Collect the knowledge test and the predicted score in the same session, with the predictions made </w:t>
      </w:r>
      <w:r>
        <w:rPr>
          <w:rFonts w:eastAsia="Times New Roman" w:cs="Times New Roman"/>
          <w:i/>
          <w:iCs/>
          <w:sz w:val="24"/>
          <w:szCs w:val="24"/>
          <w:lang w:val="en-US" w:bidi="fa-IR"/>
        </w:rPr>
        <w:t>before</w:t>
      </w:r>
      <w:r>
        <w:rPr>
          <w:rFonts w:eastAsia="Times New Roman" w:cs="Times New Roman"/>
          <w:sz w:val="24"/>
          <w:szCs w:val="24"/>
          <w:lang w:val="en-US" w:bidi="fa-IR"/>
        </w:rPr>
        <w:t xml:space="preserve"> feedback.</w:t>
      </w:r>
    </w:p>
    <w:p>
      <w:pPr>
        <w:pStyle w:val="Normal"/>
        <w:spacing w:lineRule="auto" w:line="276" w:before="0" w:after="80"/>
        <w:jc w:val="both"/>
        <w:rPr/>
      </w:pPr>
      <w:r>
        <w:rPr>
          <w:rFonts w:eastAsia="Times New Roman" w:cs="Times New Roman"/>
          <w:b/>
          <w:bCs/>
          <w:sz w:val="24"/>
          <w:szCs w:val="24"/>
          <w:lang w:val="en-US" w:bidi="fa-IR"/>
        </w:rPr>
        <w:t>Procedural remedies.</w:t>
      </w:r>
      <w:r>
        <w:rPr>
          <w:rFonts w:eastAsia="Times New Roman" w:cs="Times New Roman"/>
          <w:sz w:val="24"/>
          <w:szCs w:val="24"/>
          <w:lang w:val="en-US" w:bidi="fa-IR"/>
        </w:rPr>
        <w:t xml:space="preserve"> Place the objective test before the attitude scales; randomise item order within blocks; do not offer feedback on the test score until the end; include attention checks; record device and completion time.</w:t>
      </w:r>
    </w:p>
    <w:p>
      <w:pPr>
        <w:pStyle w:val="Normal"/>
        <w:keepNext w:val="true"/>
        <w:spacing w:lineRule="auto" w:line="276" w:before="200" w:after="80"/>
        <w:jc w:val="left"/>
        <w:rPr/>
      </w:pPr>
      <w:r>
        <w:rPr>
          <w:rFonts w:eastAsia="Times New Roman" w:cs="Times New Roman"/>
          <w:b/>
          <w:bCs/>
          <w:sz w:val="26"/>
          <w:szCs w:val="26"/>
          <w:lang w:val="en-US" w:bidi="fa-IR"/>
        </w:rPr>
        <w:t>4. Scoring</w:t>
      </w:r>
    </w:p>
    <w:p>
      <w:pPr>
        <w:pStyle w:val="Normal"/>
        <w:spacing w:lineRule="auto" w:line="276" w:before="0" w:after="80"/>
        <w:jc w:val="both"/>
        <w:rPr/>
      </w:pPr>
      <w:r>
        <w:rPr>
          <w:rFonts w:eastAsia="Times New Roman" w:cs="Times New Roman"/>
          <w:sz w:val="24"/>
          <w:szCs w:val="24"/>
          <w:lang w:val="en-US" w:bidi="fa-IR"/>
        </w:rPr>
        <w:t>Latent constructs (GUI, PCA, UR, VER, AIL, IDQ): no composite scores are computed; each item is a manifest indicator of its latent variable. Descriptive means are reported only for reference.</w:t>
      </w:r>
    </w:p>
    <w:p>
      <w:pPr>
        <w:pStyle w:val="Normal"/>
        <w:spacing w:lineRule="auto" w:line="276" w:before="0" w:after="80"/>
        <w:jc w:val="both"/>
        <w:rPr/>
      </w:pPr>
      <w:r>
        <w:rPr>
          <w:rFonts w:eastAsia="Times New Roman" w:cs="Times New Roman"/>
          <w:sz w:val="24"/>
          <w:szCs w:val="24"/>
          <w:lang w:val="en-US" w:bidi="fa-IR"/>
        </w:rPr>
        <w:t>Knowledge test: sum of correct answers (0–8) for the calibration gap; standardized (z) score FKz is the observed moderator in the SEM. KR-20 is reported.</w:t>
      </w:r>
    </w:p>
    <w:p>
      <w:pPr>
        <w:pStyle w:val="Normal"/>
        <w:spacing w:lineRule="auto" w:line="276" w:before="0" w:after="80"/>
        <w:jc w:val="both"/>
        <w:rPr/>
      </w:pPr>
      <w:r>
        <w:rPr>
          <w:rFonts w:eastAsia="Times New Roman" w:cs="Times New Roman"/>
          <w:sz w:val="24"/>
          <w:szCs w:val="24"/>
          <w:lang w:val="en-US" w:bidi="fa-IR"/>
        </w:rPr>
        <w:t>Calibration gap: CG = C1 − test score (positive = overestimation); over-placement CP = C2 − actual percentile rank. In the SEM, CG is standardized (CGz) and modelled as a second 'illusion' mediator beside PCA.</w:t>
      </w:r>
    </w:p>
    <w:p>
      <w:pPr>
        <w:pStyle w:val="Normal"/>
        <w:spacing w:lineRule="auto" w:line="276" w:before="0" w:after="80"/>
        <w:jc w:val="both"/>
        <w:rPr/>
      </w:pPr>
      <w:r>
        <w:rPr>
          <w:rFonts w:eastAsia="Times New Roman" w:cs="Times New Roman"/>
          <w:sz w:val="24"/>
          <w:szCs w:val="24"/>
          <w:lang w:val="en-US" w:bidi="fa-IR"/>
        </w:rPr>
        <w:t>Vignette error score VIGERR = number of incorrect AI statements (V1, V3) that the respondent accepts (0–2); verification behaviour can be scored from 'verify first' answers (0–4).</w:t>
      </w:r>
    </w:p>
    <w:p>
      <w:pPr>
        <w:pStyle w:val="Normal"/>
        <w:keepNext w:val="true"/>
        <w:spacing w:lineRule="auto" w:line="276" w:before="200" w:after="80"/>
        <w:jc w:val="left"/>
        <w:rPr/>
      </w:pPr>
      <w:r>
        <w:rPr>
          <w:rFonts w:eastAsia="Times New Roman" w:cs="Times New Roman"/>
          <w:b/>
          <w:bCs/>
          <w:sz w:val="26"/>
          <w:szCs w:val="26"/>
          <w:lang w:val="en-US" w:bidi="fa-IR"/>
        </w:rPr>
        <w:t>5. All references used in this document</w:t>
      </w:r>
    </w:p>
    <w:p>
      <w:pPr>
        <w:pStyle w:val="Normal"/>
        <w:spacing w:lineRule="auto" w:line="240" w:before="0" w:after="60"/>
        <w:ind w:hanging="567" w:left="567"/>
        <w:jc w:val="left"/>
        <w:rPr/>
      </w:pPr>
      <w:r>
        <w:rPr>
          <w:rFonts w:eastAsia="Times New Roman" w:cs="Times New Roman"/>
          <w:sz w:val="22"/>
          <w:szCs w:val="22"/>
          <w:lang w:val="en-US" w:bidi="fa-IR"/>
        </w:rPr>
        <w:t xml:space="preserve">Barber, B. M., &amp; Odean, T. (2001). Boys will be boys: Gender, overconfidence, and common stock investment. </w:t>
      </w:r>
      <w:r>
        <w:rPr>
          <w:rFonts w:eastAsia="Times New Roman" w:cs="Times New Roman"/>
          <w:i/>
          <w:iCs/>
          <w:sz w:val="22"/>
          <w:szCs w:val="22"/>
          <w:lang w:val="en-US" w:bidi="fa-IR"/>
        </w:rPr>
        <w:t>The Quarterly Journal of Economics, 116</w:t>
      </w:r>
      <w:r>
        <w:rPr>
          <w:rFonts w:eastAsia="Times New Roman" w:cs="Times New Roman"/>
          <w:sz w:val="22"/>
          <w:szCs w:val="22"/>
          <w:lang w:val="en-US" w:bidi="fa-IR"/>
        </w:rPr>
        <w:t>(1), 261–292. https://doi.org/10.1162/003355301556400</w:t>
      </w:r>
    </w:p>
    <w:p>
      <w:pPr>
        <w:pStyle w:val="Normal"/>
        <w:spacing w:lineRule="auto" w:line="240" w:before="0" w:after="60"/>
        <w:ind w:hanging="567" w:left="567"/>
        <w:jc w:val="left"/>
        <w:rPr/>
      </w:pPr>
      <w:r>
        <w:rPr>
          <w:rFonts w:eastAsia="Times New Roman" w:cs="Times New Roman"/>
          <w:sz w:val="22"/>
          <w:szCs w:val="22"/>
          <w:lang w:val="en-US" w:bidi="fa-IR"/>
        </w:rPr>
        <w:t xml:space="preserve">Boateng, G. O., Neilands, T. B., Frongillo, E. A., Melgar-Quiñonez, H. R., &amp; Young, S. L. (2018). Best practices for developing and validating scales for health, social, and behavioral research: A primer. </w:t>
      </w:r>
      <w:r>
        <w:rPr>
          <w:rFonts w:eastAsia="Times New Roman" w:cs="Times New Roman"/>
          <w:i/>
          <w:iCs/>
          <w:sz w:val="22"/>
          <w:szCs w:val="22"/>
          <w:lang w:val="en-US" w:bidi="fa-IR"/>
        </w:rPr>
        <w:t>Frontiers in Public Health, 6</w:t>
      </w:r>
      <w:r>
        <w:rPr>
          <w:rFonts w:eastAsia="Times New Roman" w:cs="Times New Roman"/>
          <w:sz w:val="22"/>
          <w:szCs w:val="22"/>
          <w:lang w:val="en-US" w:bidi="fa-IR"/>
        </w:rPr>
        <w:t>, Article 149. https://doi.org/10.3389/fpubh.2018.00149</w:t>
      </w:r>
    </w:p>
    <w:p>
      <w:pPr>
        <w:pStyle w:val="Normal"/>
        <w:spacing w:lineRule="auto" w:line="240" w:before="0" w:after="60"/>
        <w:ind w:hanging="567" w:left="567"/>
        <w:jc w:val="left"/>
        <w:rPr/>
      </w:pPr>
      <w:r>
        <w:rPr>
          <w:rFonts w:eastAsia="Times New Roman" w:cs="Times New Roman"/>
          <w:sz w:val="22"/>
          <w:szCs w:val="22"/>
          <w:lang w:val="en-US" w:bidi="fa-IR"/>
        </w:rPr>
        <w:t xml:space="preserve">Brislin, R. W. (1970). Back-translation for cross-cultural research. </w:t>
      </w:r>
      <w:r>
        <w:rPr>
          <w:rFonts w:eastAsia="Times New Roman" w:cs="Times New Roman"/>
          <w:i/>
          <w:iCs/>
          <w:sz w:val="22"/>
          <w:szCs w:val="22"/>
          <w:lang w:val="en-US" w:bidi="fa-IR"/>
        </w:rPr>
        <w:t>Journal of Cross-Cultural Psychology, 1</w:t>
      </w:r>
      <w:r>
        <w:rPr>
          <w:rFonts w:eastAsia="Times New Roman" w:cs="Times New Roman"/>
          <w:sz w:val="22"/>
          <w:szCs w:val="22"/>
          <w:lang w:val="en-US" w:bidi="fa-IR"/>
        </w:rPr>
        <w:t>(3), 185–216. https://doi.org/10.1177/135910457000100301</w:t>
      </w:r>
    </w:p>
    <w:p>
      <w:pPr>
        <w:pStyle w:val="Normal"/>
        <w:spacing w:lineRule="auto" w:line="240" w:before="0" w:after="60"/>
        <w:ind w:hanging="567" w:left="567"/>
        <w:jc w:val="left"/>
        <w:rPr/>
      </w:pPr>
      <w:r>
        <w:rPr>
          <w:rFonts w:eastAsia="Times New Roman" w:cs="Times New Roman"/>
          <w:sz w:val="22"/>
          <w:szCs w:val="22"/>
          <w:lang w:val="en-US" w:bidi="fa-IR"/>
        </w:rPr>
        <w:t xml:space="preserve">Bruine de Bruin, W., Parker, A. M., &amp; Fischhoff, B. (2007). Individual differences in adult decision-making competence. </w:t>
      </w:r>
      <w:r>
        <w:rPr>
          <w:rFonts w:eastAsia="Times New Roman" w:cs="Times New Roman"/>
          <w:i/>
          <w:iCs/>
          <w:sz w:val="22"/>
          <w:szCs w:val="22"/>
          <w:lang w:val="en-US" w:bidi="fa-IR"/>
        </w:rPr>
        <w:t>Journal of Personality and Social Psychology, 92</w:t>
      </w:r>
      <w:r>
        <w:rPr>
          <w:rFonts w:eastAsia="Times New Roman" w:cs="Times New Roman"/>
          <w:sz w:val="22"/>
          <w:szCs w:val="22"/>
          <w:lang w:val="en-US" w:bidi="fa-IR"/>
        </w:rPr>
        <w:t>(5), 938–956. https://doi.org/10.1037/0022-3514.92.5.938</w:t>
      </w:r>
    </w:p>
    <w:p>
      <w:pPr>
        <w:pStyle w:val="Normal"/>
        <w:spacing w:lineRule="auto" w:line="240" w:before="0" w:after="60"/>
        <w:ind w:hanging="567" w:left="567"/>
        <w:jc w:val="left"/>
        <w:rPr/>
      </w:pPr>
      <w:r>
        <w:rPr>
          <w:rFonts w:eastAsia="Times New Roman" w:cs="Times New Roman"/>
          <w:sz w:val="22"/>
          <w:szCs w:val="22"/>
          <w:lang w:val="en-US" w:bidi="fa-IR"/>
        </w:rPr>
        <w:t xml:space="preserve">D'Acunto, F., Prabhala, N., &amp; Rossi, A. G. (2019). The promises and pitfalls of robo-advising. </w:t>
      </w:r>
      <w:r>
        <w:rPr>
          <w:rFonts w:eastAsia="Times New Roman" w:cs="Times New Roman"/>
          <w:i/>
          <w:iCs/>
          <w:sz w:val="22"/>
          <w:szCs w:val="22"/>
          <w:lang w:val="en-US" w:bidi="fa-IR"/>
        </w:rPr>
        <w:t>The Review of Financial Studies, 32</w:t>
      </w:r>
      <w:r>
        <w:rPr>
          <w:rFonts w:eastAsia="Times New Roman" w:cs="Times New Roman"/>
          <w:sz w:val="22"/>
          <w:szCs w:val="22"/>
          <w:lang w:val="en-US" w:bidi="fa-IR"/>
        </w:rPr>
        <w:t>(5), 1983–2020. https://doi.org/10.1093/rfs/hhz014</w:t>
      </w:r>
    </w:p>
    <w:p>
      <w:pPr>
        <w:pStyle w:val="Normal"/>
        <w:spacing w:lineRule="auto" w:line="240" w:before="0" w:after="60"/>
        <w:ind w:hanging="567" w:left="567"/>
        <w:jc w:val="left"/>
        <w:rPr/>
      </w:pPr>
      <w:r>
        <w:rPr>
          <w:rFonts w:eastAsia="Times New Roman" w:cs="Times New Roman"/>
          <w:sz w:val="22"/>
          <w:szCs w:val="22"/>
          <w:lang w:val="en-US" w:bidi="fa-IR"/>
        </w:rPr>
        <w:t xml:space="preserve">Dietvorst, B. J., Simmons, J. P., &amp; Massey, C. (2015). Algorithm aversion: People erroneously avoid algorithms after seeing them err. </w:t>
      </w:r>
      <w:r>
        <w:rPr>
          <w:rFonts w:eastAsia="Times New Roman" w:cs="Times New Roman"/>
          <w:i/>
          <w:iCs/>
          <w:sz w:val="22"/>
          <w:szCs w:val="22"/>
          <w:lang w:val="en-US" w:bidi="fa-IR"/>
        </w:rPr>
        <w:t>Journal of Experimental Psychology: General, 144</w:t>
      </w:r>
      <w:r>
        <w:rPr>
          <w:rFonts w:eastAsia="Times New Roman" w:cs="Times New Roman"/>
          <w:sz w:val="22"/>
          <w:szCs w:val="22"/>
          <w:lang w:val="en-US" w:bidi="fa-IR"/>
        </w:rPr>
        <w:t>(1), 114–126. https://doi.org/10.1037/xge0000033</w:t>
      </w:r>
    </w:p>
    <w:p>
      <w:pPr>
        <w:pStyle w:val="Normal"/>
        <w:spacing w:lineRule="auto" w:line="240" w:before="0" w:after="60"/>
        <w:ind w:hanging="567" w:left="567"/>
        <w:jc w:val="left"/>
        <w:rPr/>
      </w:pPr>
      <w:r>
        <w:rPr>
          <w:rFonts w:eastAsia="Times New Roman" w:cs="Times New Roman"/>
          <w:sz w:val="22"/>
          <w:szCs w:val="22"/>
          <w:lang w:val="en-US" w:bidi="fa-IR"/>
        </w:rPr>
        <w:t xml:space="preserve">Ehrlinger, J., Johnson, K., Banner, M., Dunning, D., &amp; Kruger, J. (2008). Why the unskilled are unaware: Further explorations of (absent) self-insight among the incompetent. </w:t>
      </w:r>
      <w:r>
        <w:rPr>
          <w:rFonts w:eastAsia="Times New Roman" w:cs="Times New Roman"/>
          <w:i/>
          <w:iCs/>
          <w:sz w:val="22"/>
          <w:szCs w:val="22"/>
          <w:lang w:val="en-US" w:bidi="fa-IR"/>
        </w:rPr>
        <w:t>Organizational Behavior and Human Decision Processes, 105</w:t>
      </w:r>
      <w:r>
        <w:rPr>
          <w:rFonts w:eastAsia="Times New Roman" w:cs="Times New Roman"/>
          <w:sz w:val="22"/>
          <w:szCs w:val="22"/>
          <w:lang w:val="en-US" w:bidi="fa-IR"/>
        </w:rPr>
        <w:t>(1), 98–121. https://doi.org/10.1016/j.obhdp.2007.05.002</w:t>
      </w:r>
    </w:p>
    <w:p>
      <w:pPr>
        <w:pStyle w:val="Normal"/>
        <w:spacing w:lineRule="auto" w:line="240" w:before="0" w:after="60"/>
        <w:ind w:hanging="567" w:left="567"/>
        <w:jc w:val="left"/>
        <w:rPr/>
      </w:pPr>
      <w:r>
        <w:rPr>
          <w:rFonts w:eastAsia="Times New Roman" w:cs="Times New Roman"/>
          <w:sz w:val="22"/>
          <w:szCs w:val="22"/>
          <w:lang w:val="en-US" w:bidi="fa-IR"/>
        </w:rPr>
        <w:t xml:space="preserve">Glaser, M., &amp; Weber, M. (2007). Overconfidence and trading volume. </w:t>
      </w:r>
      <w:r>
        <w:rPr>
          <w:rFonts w:eastAsia="Times New Roman" w:cs="Times New Roman"/>
          <w:i/>
          <w:iCs/>
          <w:sz w:val="22"/>
          <w:szCs w:val="22"/>
          <w:lang w:val="en-US" w:bidi="fa-IR"/>
        </w:rPr>
        <w:t>The Geneva Risk and Insurance Review, 32</w:t>
      </w:r>
      <w:r>
        <w:rPr>
          <w:rFonts w:eastAsia="Times New Roman" w:cs="Times New Roman"/>
          <w:sz w:val="22"/>
          <w:szCs w:val="22"/>
          <w:lang w:val="en-US" w:bidi="fa-IR"/>
        </w:rPr>
        <w:t>(1), 1–36. https://doi.org/10.1007/s10713-007-0003-3</w:t>
      </w:r>
    </w:p>
    <w:p>
      <w:pPr>
        <w:pStyle w:val="Normal"/>
        <w:spacing w:lineRule="auto" w:line="240" w:before="0" w:after="60"/>
        <w:ind w:hanging="567" w:left="567"/>
        <w:jc w:val="left"/>
        <w:rPr/>
      </w:pPr>
      <w:r>
        <w:rPr>
          <w:rFonts w:eastAsia="Times New Roman" w:cs="Times New Roman"/>
          <w:sz w:val="22"/>
          <w:szCs w:val="22"/>
          <w:lang w:val="en-US" w:bidi="fa-IR"/>
        </w:rPr>
        <w:t xml:space="preserve">Goddard, K., Roudsari, A., &amp; Wyatt, J. C. (2012). Automation bias: A systematic review of frequency, effect mediators, and mitigators. </w:t>
      </w:r>
      <w:r>
        <w:rPr>
          <w:rFonts w:eastAsia="Times New Roman" w:cs="Times New Roman"/>
          <w:i/>
          <w:iCs/>
          <w:sz w:val="22"/>
          <w:szCs w:val="22"/>
          <w:lang w:val="en-US" w:bidi="fa-IR"/>
        </w:rPr>
        <w:t>Journal of the American Medical Informatics Association, 19</w:t>
      </w:r>
      <w:r>
        <w:rPr>
          <w:rFonts w:eastAsia="Times New Roman" w:cs="Times New Roman"/>
          <w:sz w:val="22"/>
          <w:szCs w:val="22"/>
          <w:lang w:val="en-US" w:bidi="fa-IR"/>
        </w:rPr>
        <w:t>(1), 121–127. https://doi.org/10.1136/amiajnl-2011-000089</w:t>
      </w:r>
    </w:p>
    <w:p>
      <w:pPr>
        <w:pStyle w:val="Normal"/>
        <w:spacing w:lineRule="auto" w:line="240" w:before="0" w:after="60"/>
        <w:ind w:hanging="567" w:left="567"/>
        <w:jc w:val="left"/>
        <w:rPr/>
      </w:pPr>
      <w:r>
        <w:rPr>
          <w:rFonts w:eastAsia="Times New Roman" w:cs="Times New Roman"/>
          <w:sz w:val="22"/>
          <w:szCs w:val="22"/>
          <w:lang w:val="en-US" w:bidi="fa-IR"/>
        </w:rPr>
        <w:t xml:space="preserve">Grinblatt, M., &amp; Keloharju, M. (2009). Sensation seeking, overconfidence, and trading activity. </w:t>
      </w:r>
      <w:r>
        <w:rPr>
          <w:rFonts w:eastAsia="Times New Roman" w:cs="Times New Roman"/>
          <w:i/>
          <w:iCs/>
          <w:sz w:val="22"/>
          <w:szCs w:val="22"/>
          <w:lang w:val="en-US" w:bidi="fa-IR"/>
        </w:rPr>
        <w:t>The Journal of Finance, 64</w:t>
      </w:r>
      <w:r>
        <w:rPr>
          <w:rFonts w:eastAsia="Times New Roman" w:cs="Times New Roman"/>
          <w:sz w:val="22"/>
          <w:szCs w:val="22"/>
          <w:lang w:val="en-US" w:bidi="fa-IR"/>
        </w:rPr>
        <w:t>(2), 549–578. https://doi.org/10.1111/j.1540-6261.2009.01443.x</w:t>
      </w:r>
    </w:p>
    <w:p>
      <w:pPr>
        <w:pStyle w:val="Normal"/>
        <w:spacing w:lineRule="auto" w:line="240" w:before="0" w:after="60"/>
        <w:ind w:hanging="567" w:left="567"/>
        <w:jc w:val="left"/>
        <w:rPr/>
      </w:pPr>
      <w:r>
        <w:rPr>
          <w:rFonts w:eastAsia="Times New Roman" w:cs="Times New Roman"/>
          <w:sz w:val="22"/>
          <w:szCs w:val="22"/>
          <w:lang w:val="en-US" w:bidi="fa-IR"/>
        </w:rPr>
        <w:t xml:space="preserve">Hoff, K. A., &amp; Bashir, M. (2015). Trust in automation: Integrating empirical evidence on factors that influence trust. </w:t>
      </w:r>
      <w:r>
        <w:rPr>
          <w:rFonts w:eastAsia="Times New Roman" w:cs="Times New Roman"/>
          <w:i/>
          <w:iCs/>
          <w:sz w:val="22"/>
          <w:szCs w:val="22"/>
          <w:lang w:val="en-US" w:bidi="fa-IR"/>
        </w:rPr>
        <w:t>Human Factors, 57</w:t>
      </w:r>
      <w:r>
        <w:rPr>
          <w:rFonts w:eastAsia="Times New Roman" w:cs="Times New Roman"/>
          <w:sz w:val="22"/>
          <w:szCs w:val="22"/>
          <w:lang w:val="en-US" w:bidi="fa-IR"/>
        </w:rPr>
        <w:t>(3), 407–434. https://doi.org/10.1177/0018720814547570</w:t>
      </w:r>
    </w:p>
    <w:p>
      <w:pPr>
        <w:pStyle w:val="Normal"/>
        <w:spacing w:lineRule="auto" w:line="240" w:before="0" w:after="60"/>
        <w:ind w:hanging="567" w:left="567"/>
        <w:jc w:val="left"/>
        <w:rPr/>
      </w:pPr>
      <w:r>
        <w:rPr>
          <w:rFonts w:eastAsia="Times New Roman" w:cs="Times New Roman"/>
          <w:sz w:val="22"/>
          <w:szCs w:val="22"/>
          <w:lang w:val="en-US" w:bidi="fa-IR"/>
        </w:rPr>
        <w:t xml:space="preserve">Ji, Z., Lee, N., Frieske, R., Yu, T., Su, D., Xu, Y., Ishii, E., Bang, Y. J., Madotto, A., &amp; Fung, P. (2023). Survey of hallucination in natural language generation. </w:t>
      </w:r>
      <w:r>
        <w:rPr>
          <w:rFonts w:eastAsia="Times New Roman" w:cs="Times New Roman"/>
          <w:i/>
          <w:iCs/>
          <w:sz w:val="22"/>
          <w:szCs w:val="22"/>
          <w:lang w:val="en-US" w:bidi="fa-IR"/>
        </w:rPr>
        <w:t>ACM Computing Surveys, 55</w:t>
      </w:r>
      <w:r>
        <w:rPr>
          <w:rFonts w:eastAsia="Times New Roman" w:cs="Times New Roman"/>
          <w:sz w:val="22"/>
          <w:szCs w:val="22"/>
          <w:lang w:val="en-US" w:bidi="fa-IR"/>
        </w:rPr>
        <w:t>(12), Article 248. https://doi.org/10.1145/3571730</w:t>
      </w:r>
    </w:p>
    <w:p>
      <w:pPr>
        <w:pStyle w:val="Normal"/>
        <w:spacing w:lineRule="auto" w:line="240" w:before="0" w:after="60"/>
        <w:ind w:hanging="567" w:left="567"/>
        <w:jc w:val="left"/>
        <w:rPr/>
      </w:pPr>
      <w:r>
        <w:rPr>
          <w:rFonts w:eastAsia="Times New Roman" w:cs="Times New Roman"/>
          <w:sz w:val="22"/>
          <w:szCs w:val="22"/>
          <w:lang w:val="en-US" w:bidi="fa-IR"/>
        </w:rPr>
        <w:t xml:space="preserve">Jian, J.-Y., Bisantz, A. M., &amp; Drury, C. G. (2000). Foundations for an empirically determined scale of trust in automated systems. </w:t>
      </w:r>
      <w:r>
        <w:rPr>
          <w:rFonts w:eastAsia="Times New Roman" w:cs="Times New Roman"/>
          <w:i/>
          <w:iCs/>
          <w:sz w:val="22"/>
          <w:szCs w:val="22"/>
          <w:lang w:val="en-US" w:bidi="fa-IR"/>
        </w:rPr>
        <w:t>International Journal of Cognitive Ergonomics, 4</w:t>
      </w:r>
      <w:r>
        <w:rPr>
          <w:rFonts w:eastAsia="Times New Roman" w:cs="Times New Roman"/>
          <w:sz w:val="22"/>
          <w:szCs w:val="22"/>
          <w:lang w:val="en-US" w:bidi="fa-IR"/>
        </w:rPr>
        <w:t>(1), 53–71. https://doi.org/10.1207/S15327566IJCE0401_04</w:t>
      </w:r>
    </w:p>
    <w:p>
      <w:pPr>
        <w:pStyle w:val="Normal"/>
        <w:spacing w:lineRule="auto" w:line="240" w:before="0" w:after="60"/>
        <w:ind w:hanging="567" w:left="567"/>
        <w:jc w:val="left"/>
        <w:rPr/>
      </w:pPr>
      <w:r>
        <w:rPr>
          <w:rFonts w:eastAsia="Times New Roman" w:cs="Times New Roman"/>
          <w:sz w:val="22"/>
          <w:szCs w:val="22"/>
          <w:lang w:val="en-US" w:bidi="fa-IR"/>
        </w:rPr>
        <w:t xml:space="preserve">Kruger, J., &amp; Dunning, D. (1999). Unskilled and unaware of it: How difficulties in recognizing one's own incompetence lead to inflated self-assessments. </w:t>
      </w:r>
      <w:r>
        <w:rPr>
          <w:rFonts w:eastAsia="Times New Roman" w:cs="Times New Roman"/>
          <w:i/>
          <w:iCs/>
          <w:sz w:val="22"/>
          <w:szCs w:val="22"/>
          <w:lang w:val="en-US" w:bidi="fa-IR"/>
        </w:rPr>
        <w:t>Journal of Personality and Social Psychology, 77</w:t>
      </w:r>
      <w:r>
        <w:rPr>
          <w:rFonts w:eastAsia="Times New Roman" w:cs="Times New Roman"/>
          <w:sz w:val="22"/>
          <w:szCs w:val="22"/>
          <w:lang w:val="en-US" w:bidi="fa-IR"/>
        </w:rPr>
        <w:t>(6), 1121–1134. https://doi.org/10.1037/0022-3514.77.6.1121</w:t>
      </w:r>
    </w:p>
    <w:p>
      <w:pPr>
        <w:pStyle w:val="Normal"/>
        <w:spacing w:lineRule="auto" w:line="240" w:before="0" w:after="60"/>
        <w:ind w:hanging="567" w:left="567"/>
        <w:jc w:val="left"/>
        <w:rPr/>
      </w:pPr>
      <w:r>
        <w:rPr>
          <w:rFonts w:eastAsia="Times New Roman" w:cs="Times New Roman"/>
          <w:sz w:val="22"/>
          <w:szCs w:val="22"/>
          <w:lang w:val="en-US" w:bidi="fa-IR"/>
        </w:rPr>
        <w:t xml:space="preserve">Lawshe, C. H. (1975). A quantitative approach to content validity. </w:t>
      </w:r>
      <w:r>
        <w:rPr>
          <w:rFonts w:eastAsia="Times New Roman" w:cs="Times New Roman"/>
          <w:i/>
          <w:iCs/>
          <w:sz w:val="22"/>
          <w:szCs w:val="22"/>
          <w:lang w:val="en-US" w:bidi="fa-IR"/>
        </w:rPr>
        <w:t>Personnel Psychology, 28</w:t>
      </w:r>
      <w:r>
        <w:rPr>
          <w:rFonts w:eastAsia="Times New Roman" w:cs="Times New Roman"/>
          <w:sz w:val="22"/>
          <w:szCs w:val="22"/>
          <w:lang w:val="en-US" w:bidi="fa-IR"/>
        </w:rPr>
        <w:t>(4), 563–575. https://doi.org/10.1111/j.1744-6570.1975.tb01393.x</w:t>
      </w:r>
    </w:p>
    <w:p>
      <w:pPr>
        <w:pStyle w:val="Normal"/>
        <w:spacing w:lineRule="auto" w:line="240" w:before="0" w:after="60"/>
        <w:ind w:hanging="567" w:left="567"/>
        <w:jc w:val="left"/>
        <w:rPr/>
      </w:pPr>
      <w:r>
        <w:rPr>
          <w:rFonts w:eastAsia="Times New Roman" w:cs="Times New Roman"/>
          <w:sz w:val="22"/>
          <w:szCs w:val="22"/>
          <w:lang w:val="en-US" w:bidi="fa-IR"/>
        </w:rPr>
        <w:t xml:space="preserve">Lee, J. D., &amp; See, K. A. (2004). Trust in automation: Designing for appropriate reliance. </w:t>
      </w:r>
      <w:r>
        <w:rPr>
          <w:rFonts w:eastAsia="Times New Roman" w:cs="Times New Roman"/>
          <w:i/>
          <w:iCs/>
          <w:sz w:val="22"/>
          <w:szCs w:val="22"/>
          <w:lang w:val="en-US" w:bidi="fa-IR"/>
        </w:rPr>
        <w:t>Human Factors, 46</w:t>
      </w:r>
      <w:r>
        <w:rPr>
          <w:rFonts w:eastAsia="Times New Roman" w:cs="Times New Roman"/>
          <w:sz w:val="22"/>
          <w:szCs w:val="22"/>
          <w:lang w:val="en-US" w:bidi="fa-IR"/>
        </w:rPr>
        <w:t>(1), 50–80. https://doi.org/10.1518/hfes.46.1.50_30392</w:t>
      </w:r>
    </w:p>
    <w:p>
      <w:pPr>
        <w:pStyle w:val="Normal"/>
        <w:spacing w:lineRule="auto" w:line="240" w:before="0" w:after="60"/>
        <w:ind w:hanging="567" w:left="567"/>
        <w:jc w:val="left"/>
        <w:rPr/>
      </w:pPr>
      <w:r>
        <w:rPr>
          <w:rFonts w:eastAsia="Times New Roman" w:cs="Times New Roman"/>
          <w:sz w:val="22"/>
          <w:szCs w:val="22"/>
          <w:lang w:val="en-US" w:bidi="fa-IR"/>
        </w:rPr>
        <w:t xml:space="preserve">Logg, J. M., Minson, J. A., &amp; Moore, D. A. (2019). Algorithm appreciation: People prefer algorithmic to human judgment. </w:t>
      </w:r>
      <w:r>
        <w:rPr>
          <w:rFonts w:eastAsia="Times New Roman" w:cs="Times New Roman"/>
          <w:i/>
          <w:iCs/>
          <w:sz w:val="22"/>
          <w:szCs w:val="22"/>
          <w:lang w:val="en-US" w:bidi="fa-IR"/>
        </w:rPr>
        <w:t>Organizational Behavior and Human Decision Processes, 151</w:t>
      </w:r>
      <w:r>
        <w:rPr>
          <w:rFonts w:eastAsia="Times New Roman" w:cs="Times New Roman"/>
          <w:sz w:val="22"/>
          <w:szCs w:val="22"/>
          <w:lang w:val="en-US" w:bidi="fa-IR"/>
        </w:rPr>
        <w:t>, 90–103. https://doi.org/10.1016/j.obhdp.2018.12.005</w:t>
      </w:r>
    </w:p>
    <w:p>
      <w:pPr>
        <w:pStyle w:val="Normal"/>
        <w:spacing w:lineRule="auto" w:line="240" w:before="0" w:after="60"/>
        <w:ind w:hanging="567" w:left="567"/>
        <w:jc w:val="left"/>
        <w:rPr/>
      </w:pPr>
      <w:r>
        <w:rPr>
          <w:rFonts w:eastAsia="Times New Roman" w:cs="Times New Roman"/>
          <w:sz w:val="22"/>
          <w:szCs w:val="22"/>
          <w:lang w:val="en-US" w:bidi="fa-IR"/>
        </w:rPr>
        <w:t xml:space="preserve">Long, D., &amp; Magerko, B. (2020). What is AI literacy? Competencies and design considerations. </w:t>
      </w:r>
      <w:r>
        <w:rPr>
          <w:rFonts w:eastAsia="Times New Roman" w:cs="Times New Roman"/>
          <w:i/>
          <w:iCs/>
          <w:sz w:val="22"/>
          <w:szCs w:val="22"/>
          <w:lang w:val="en-US" w:bidi="fa-IR"/>
        </w:rPr>
        <w:t>Proceedings of the 2020 CHI Conference on Human Factors in Computing Systems</w:t>
      </w:r>
      <w:r>
        <w:rPr>
          <w:rFonts w:eastAsia="Times New Roman" w:cs="Times New Roman"/>
          <w:sz w:val="22"/>
          <w:szCs w:val="22"/>
          <w:lang w:val="en-US" w:bidi="fa-IR"/>
        </w:rPr>
        <w:t xml:space="preserve"> (pp. 1–16). ACM. https://doi.org/10.1145/3313831.3376727</w:t>
      </w:r>
    </w:p>
    <w:p>
      <w:pPr>
        <w:pStyle w:val="Normal"/>
        <w:spacing w:lineRule="auto" w:line="240" w:before="0" w:after="60"/>
        <w:ind w:hanging="567" w:left="567"/>
        <w:jc w:val="left"/>
        <w:rPr/>
      </w:pPr>
      <w:r>
        <w:rPr>
          <w:rFonts w:eastAsia="Times New Roman" w:cs="Times New Roman"/>
          <w:sz w:val="22"/>
          <w:szCs w:val="22"/>
          <w:lang w:val="en-US" w:bidi="fa-IR"/>
        </w:rPr>
        <w:t xml:space="preserve">Lusardi, A., &amp; Mitchell, O. S. (2014). The economic importance of financial literacy: Theory and evidence. </w:t>
      </w:r>
      <w:r>
        <w:rPr>
          <w:rFonts w:eastAsia="Times New Roman" w:cs="Times New Roman"/>
          <w:i/>
          <w:iCs/>
          <w:sz w:val="22"/>
          <w:szCs w:val="22"/>
          <w:lang w:val="en-US" w:bidi="fa-IR"/>
        </w:rPr>
        <w:t>Journal of Economic Literature, 52</w:t>
      </w:r>
      <w:r>
        <w:rPr>
          <w:rFonts w:eastAsia="Times New Roman" w:cs="Times New Roman"/>
          <w:sz w:val="22"/>
          <w:szCs w:val="22"/>
          <w:lang w:val="en-US" w:bidi="fa-IR"/>
        </w:rPr>
        <w:t>(1), 5–44. https://doi.org/10.1257/jel.52.1.5</w:t>
      </w:r>
    </w:p>
    <w:p>
      <w:pPr>
        <w:pStyle w:val="Normal"/>
        <w:spacing w:lineRule="auto" w:line="240" w:before="0" w:after="60"/>
        <w:ind w:hanging="567" w:left="567"/>
        <w:jc w:val="left"/>
        <w:rPr/>
      </w:pPr>
      <w:r>
        <w:rPr>
          <w:rFonts w:eastAsia="Times New Roman" w:cs="Times New Roman"/>
          <w:sz w:val="22"/>
          <w:szCs w:val="22"/>
          <w:lang w:val="en-US" w:bidi="fa-IR"/>
        </w:rPr>
        <w:t xml:space="preserve">Moore, D. A., &amp; Healy, P. J. (2008). The trouble with overconfidence. </w:t>
      </w:r>
      <w:r>
        <w:rPr>
          <w:rFonts w:eastAsia="Times New Roman" w:cs="Times New Roman"/>
          <w:i/>
          <w:iCs/>
          <w:sz w:val="22"/>
          <w:szCs w:val="22"/>
          <w:lang w:val="en-US" w:bidi="fa-IR"/>
        </w:rPr>
        <w:t>Psychological Review, 115</w:t>
      </w:r>
      <w:r>
        <w:rPr>
          <w:rFonts w:eastAsia="Times New Roman" w:cs="Times New Roman"/>
          <w:sz w:val="22"/>
          <w:szCs w:val="22"/>
          <w:lang w:val="en-US" w:bidi="fa-IR"/>
        </w:rPr>
        <w:t>(2), 502–517. https://doi.org/10.1037/0033-295X.115.2.502</w:t>
      </w:r>
    </w:p>
    <w:p>
      <w:pPr>
        <w:pStyle w:val="Normal"/>
        <w:spacing w:lineRule="auto" w:line="240" w:before="0" w:after="60"/>
        <w:ind w:hanging="567" w:left="567"/>
        <w:jc w:val="left"/>
        <w:rPr/>
      </w:pPr>
      <w:r>
        <w:rPr>
          <w:rFonts w:eastAsia="Times New Roman" w:cs="Times New Roman"/>
          <w:sz w:val="22"/>
          <w:szCs w:val="22"/>
          <w:lang w:val="en-US" w:bidi="fa-IR"/>
        </w:rPr>
        <w:t xml:space="preserve">Ng, D. T. K., Leung, J. K. L., Chu, S. K. W., &amp; Qiao, M. S. (2021). Conceptualizing AI literacy: An exploratory review. </w:t>
      </w:r>
      <w:r>
        <w:rPr>
          <w:rFonts w:eastAsia="Times New Roman" w:cs="Times New Roman"/>
          <w:i/>
          <w:iCs/>
          <w:sz w:val="22"/>
          <w:szCs w:val="22"/>
          <w:lang w:val="en-US" w:bidi="fa-IR"/>
        </w:rPr>
        <w:t>Computers and Education: Artificial Intelligence, 2</w:t>
      </w:r>
      <w:r>
        <w:rPr>
          <w:rFonts w:eastAsia="Times New Roman" w:cs="Times New Roman"/>
          <w:sz w:val="22"/>
          <w:szCs w:val="22"/>
          <w:lang w:val="en-US" w:bidi="fa-IR"/>
        </w:rPr>
        <w:t>, 100041. https://doi.org/10.1016/j.caeai.2021.100041</w:t>
      </w:r>
    </w:p>
    <w:p>
      <w:pPr>
        <w:pStyle w:val="Normal"/>
        <w:spacing w:lineRule="auto" w:line="240" w:before="0" w:after="60"/>
        <w:ind w:hanging="567" w:left="567"/>
        <w:jc w:val="left"/>
        <w:rPr/>
      </w:pPr>
      <w:r>
        <w:rPr>
          <w:rFonts w:eastAsia="Times New Roman" w:cs="Times New Roman"/>
          <w:sz w:val="22"/>
          <w:szCs w:val="22"/>
          <w:lang w:val="en-US" w:bidi="fa-IR"/>
        </w:rPr>
        <w:t xml:space="preserve">Parasuraman, R., &amp; Manzey, D. H. (2010). Complacency and bias in human use of automation: An attentional integration. </w:t>
      </w:r>
      <w:r>
        <w:rPr>
          <w:rFonts w:eastAsia="Times New Roman" w:cs="Times New Roman"/>
          <w:i/>
          <w:iCs/>
          <w:sz w:val="22"/>
          <w:szCs w:val="22"/>
          <w:lang w:val="en-US" w:bidi="fa-IR"/>
        </w:rPr>
        <w:t>Human Factors, 52</w:t>
      </w:r>
      <w:r>
        <w:rPr>
          <w:rFonts w:eastAsia="Times New Roman" w:cs="Times New Roman"/>
          <w:sz w:val="22"/>
          <w:szCs w:val="22"/>
          <w:lang w:val="en-US" w:bidi="fa-IR"/>
        </w:rPr>
        <w:t>(3), 381–410. https://doi.org/10.1177/0018720810376055</w:t>
      </w:r>
    </w:p>
    <w:p>
      <w:pPr>
        <w:pStyle w:val="Normal"/>
        <w:spacing w:lineRule="auto" w:line="240" w:before="0" w:after="60"/>
        <w:ind w:hanging="567" w:left="567"/>
        <w:jc w:val="left"/>
        <w:rPr/>
      </w:pPr>
      <w:r>
        <w:rPr>
          <w:rFonts w:eastAsia="Times New Roman" w:cs="Times New Roman"/>
          <w:sz w:val="22"/>
          <w:szCs w:val="22"/>
          <w:lang w:val="en-US" w:bidi="fa-IR"/>
        </w:rPr>
        <w:t xml:space="preserve">Parker, A. M., &amp; Fischhoff, B. (2005). Decision-making competence: External validation through an individual-differences approach. </w:t>
      </w:r>
      <w:r>
        <w:rPr>
          <w:rFonts w:eastAsia="Times New Roman" w:cs="Times New Roman"/>
          <w:i/>
          <w:iCs/>
          <w:sz w:val="22"/>
          <w:szCs w:val="22"/>
          <w:lang w:val="en-US" w:bidi="fa-IR"/>
        </w:rPr>
        <w:t>Journal of Behavioral Decision Making, 18</w:t>
      </w:r>
      <w:r>
        <w:rPr>
          <w:rFonts w:eastAsia="Times New Roman" w:cs="Times New Roman"/>
          <w:sz w:val="22"/>
          <w:szCs w:val="22"/>
          <w:lang w:val="en-US" w:bidi="fa-IR"/>
        </w:rPr>
        <w:t>(1), 1–27. https://doi.org/10.1002/bdm.481</w:t>
      </w:r>
    </w:p>
    <w:p>
      <w:pPr>
        <w:pStyle w:val="Normal"/>
        <w:spacing w:lineRule="auto" w:line="240" w:before="0" w:after="60"/>
        <w:ind w:hanging="567" w:left="567"/>
        <w:jc w:val="left"/>
        <w:rPr/>
      </w:pPr>
      <w:r>
        <w:rPr>
          <w:rFonts w:eastAsia="Times New Roman" w:cs="Times New Roman"/>
          <w:sz w:val="22"/>
          <w:szCs w:val="22"/>
          <w:lang w:val="en-US" w:bidi="fa-IR"/>
        </w:rPr>
        <w:t xml:space="preserve">Pennycook, G., &amp; Rand, D. G. (2019). Lazy, not biased: Susceptibility to partisan fake news is better explained by lack of reasoning than by motivated reasoning. </w:t>
      </w:r>
      <w:r>
        <w:rPr>
          <w:rFonts w:eastAsia="Times New Roman" w:cs="Times New Roman"/>
          <w:i/>
          <w:iCs/>
          <w:sz w:val="22"/>
          <w:szCs w:val="22"/>
          <w:lang w:val="en-US" w:bidi="fa-IR"/>
        </w:rPr>
        <w:t>Cognition, 188</w:t>
      </w:r>
      <w:r>
        <w:rPr>
          <w:rFonts w:eastAsia="Times New Roman" w:cs="Times New Roman"/>
          <w:sz w:val="22"/>
          <w:szCs w:val="22"/>
          <w:lang w:val="en-US" w:bidi="fa-IR"/>
        </w:rPr>
        <w:t>, 39–50. https://doi.org/10.1016/j.cognition.2018.06.011</w:t>
      </w:r>
    </w:p>
    <w:p>
      <w:pPr>
        <w:pStyle w:val="Normal"/>
        <w:spacing w:lineRule="auto" w:line="240" w:before="0" w:after="60"/>
        <w:ind w:hanging="567" w:left="567"/>
        <w:jc w:val="left"/>
        <w:rPr/>
      </w:pPr>
      <w:r>
        <w:rPr>
          <w:rFonts w:eastAsia="Times New Roman" w:cs="Times New Roman"/>
          <w:sz w:val="22"/>
          <w:szCs w:val="22"/>
          <w:lang w:val="en-US" w:bidi="fa-IR"/>
        </w:rPr>
        <w:t xml:space="preserve">Podsakoff, P. M., MacKenzie, S. B., Lee, J.-Y., &amp; Podsakoff, N. P. (2003). Common method biases in behavioral research: A critical review of the literature and recommended remedies. </w:t>
      </w:r>
      <w:r>
        <w:rPr>
          <w:rFonts w:eastAsia="Times New Roman" w:cs="Times New Roman"/>
          <w:i/>
          <w:iCs/>
          <w:sz w:val="22"/>
          <w:szCs w:val="22"/>
          <w:lang w:val="en-US" w:bidi="fa-IR"/>
        </w:rPr>
        <w:t>Journal of Applied Psychology, 88</w:t>
      </w:r>
      <w:r>
        <w:rPr>
          <w:rFonts w:eastAsia="Times New Roman" w:cs="Times New Roman"/>
          <w:sz w:val="22"/>
          <w:szCs w:val="22"/>
          <w:lang w:val="en-US" w:bidi="fa-IR"/>
        </w:rPr>
        <w:t>(5), 879–903. https://doi.org/10.1037/0021-9010.88.5.879</w:t>
      </w:r>
    </w:p>
    <w:p>
      <w:pPr>
        <w:pStyle w:val="Normal"/>
        <w:spacing w:lineRule="auto" w:line="240" w:before="0" w:after="60"/>
        <w:ind w:hanging="567" w:left="567"/>
        <w:jc w:val="left"/>
        <w:rPr/>
      </w:pPr>
      <w:r>
        <w:rPr>
          <w:rFonts w:eastAsia="Times New Roman" w:cs="Times New Roman"/>
          <w:sz w:val="22"/>
          <w:szCs w:val="22"/>
          <w:lang w:val="en-US" w:bidi="fa-IR"/>
        </w:rPr>
        <w:t xml:space="preserve">Polit, D. F., &amp; Beck, C. T. (2006). The content validity index: Are you sure you know what's being reported? Critique and recommendations. </w:t>
      </w:r>
      <w:r>
        <w:rPr>
          <w:rFonts w:eastAsia="Times New Roman" w:cs="Times New Roman"/>
          <w:i/>
          <w:iCs/>
          <w:sz w:val="22"/>
          <w:szCs w:val="22"/>
          <w:lang w:val="en-US" w:bidi="fa-IR"/>
        </w:rPr>
        <w:t>Research in Nursing &amp; Health, 29</w:t>
      </w:r>
      <w:r>
        <w:rPr>
          <w:rFonts w:eastAsia="Times New Roman" w:cs="Times New Roman"/>
          <w:sz w:val="22"/>
          <w:szCs w:val="22"/>
          <w:lang w:val="en-US" w:bidi="fa-IR"/>
        </w:rPr>
        <w:t>(5), 489–497. https://doi.org/10.1002/nur.20147</w:t>
      </w:r>
    </w:p>
    <w:p>
      <w:pPr>
        <w:pStyle w:val="Normal"/>
        <w:spacing w:lineRule="auto" w:line="240" w:before="0" w:after="60"/>
        <w:ind w:hanging="567" w:left="567"/>
        <w:jc w:val="left"/>
        <w:rPr/>
      </w:pPr>
      <w:r>
        <w:rPr>
          <w:rFonts w:eastAsia="Times New Roman" w:cs="Times New Roman"/>
          <w:sz w:val="22"/>
          <w:szCs w:val="22"/>
          <w:lang w:val="en-US" w:bidi="fa-IR"/>
        </w:rPr>
        <w:t xml:space="preserve">Skitka, L. J., Mosier, K. L., &amp; Burdick, M. (1999). Does automation bias decision-making? </w:t>
      </w:r>
      <w:r>
        <w:rPr>
          <w:rFonts w:eastAsia="Times New Roman" w:cs="Times New Roman"/>
          <w:i/>
          <w:iCs/>
          <w:sz w:val="22"/>
          <w:szCs w:val="22"/>
          <w:lang w:val="en-US" w:bidi="fa-IR"/>
        </w:rPr>
        <w:t>International Journal of Human-Computer Studies, 51</w:t>
      </w:r>
      <w:r>
        <w:rPr>
          <w:rFonts w:eastAsia="Times New Roman" w:cs="Times New Roman"/>
          <w:sz w:val="22"/>
          <w:szCs w:val="22"/>
          <w:lang w:val="en-US" w:bidi="fa-IR"/>
        </w:rPr>
        <w:t>(5), 991–1006. https://doi.org/10.1006/ijhc.1999.0252</w:t>
      </w:r>
    </w:p>
    <w:p>
      <w:pPr>
        <w:pStyle w:val="Normal"/>
        <w:spacing w:lineRule="auto" w:line="240" w:before="0" w:after="60"/>
        <w:ind w:hanging="567" w:left="567"/>
        <w:jc w:val="left"/>
        <w:rPr/>
      </w:pPr>
      <w:r>
        <w:rPr>
          <w:rFonts w:eastAsia="Times New Roman" w:cs="Times New Roman"/>
          <w:sz w:val="22"/>
          <w:szCs w:val="22"/>
          <w:lang w:val="en-US" w:bidi="fa-IR"/>
        </w:rPr>
        <w:t xml:space="preserve">Van Rooij, M., Lusardi, A., &amp; Alessie, R. (2011). Financial literacy and stock market participation. </w:t>
      </w:r>
      <w:r>
        <w:rPr>
          <w:rFonts w:eastAsia="Times New Roman" w:cs="Times New Roman"/>
          <w:i/>
          <w:iCs/>
          <w:sz w:val="22"/>
          <w:szCs w:val="22"/>
          <w:lang w:val="en-US" w:bidi="fa-IR"/>
        </w:rPr>
        <w:t>Journal of Financial Economics, 101</w:t>
      </w:r>
      <w:r>
        <w:rPr>
          <w:rFonts w:eastAsia="Times New Roman" w:cs="Times New Roman"/>
          <w:sz w:val="22"/>
          <w:szCs w:val="22"/>
          <w:lang w:val="en-US" w:bidi="fa-IR"/>
        </w:rPr>
        <w:t>(2), 449–472. https://doi.org/10.1016/j.jfineco.2011.03.006</w:t>
      </w:r>
    </w:p>
    <w:p>
      <w:pPr>
        <w:pStyle w:val="Normal"/>
        <w:spacing w:lineRule="auto" w:line="240" w:before="0" w:after="60"/>
        <w:ind w:hanging="567" w:left="567"/>
        <w:jc w:val="left"/>
        <w:rPr/>
      </w:pPr>
      <w:r>
        <w:rPr>
          <w:rFonts w:eastAsia="Times New Roman" w:cs="Times New Roman"/>
          <w:sz w:val="22"/>
          <w:szCs w:val="22"/>
          <w:lang w:val="en-US" w:bidi="fa-IR"/>
        </w:rPr>
        <w:t xml:space="preserve">Venkatesh, V., Thong, J. Y. L., &amp; Xu, X. (2012). Consumer acceptance and use of information technology: Extending the unified theory of acceptance and use of technology. </w:t>
      </w:r>
      <w:r>
        <w:rPr>
          <w:rFonts w:eastAsia="Times New Roman" w:cs="Times New Roman"/>
          <w:i/>
          <w:iCs/>
          <w:sz w:val="22"/>
          <w:szCs w:val="22"/>
          <w:lang w:val="en-US" w:bidi="fa-IR"/>
        </w:rPr>
        <w:t>MIS Quarterly, 36</w:t>
      </w:r>
      <w:r>
        <w:rPr>
          <w:rFonts w:eastAsia="Times New Roman" w:cs="Times New Roman"/>
          <w:sz w:val="22"/>
          <w:szCs w:val="22"/>
          <w:lang w:val="en-US" w:bidi="fa-IR"/>
        </w:rPr>
        <w:t>(1), 157–178. https://doi.org/10.2307/41410412</w:t>
      </w:r>
    </w:p>
    <w:p>
      <w:pPr>
        <w:pStyle w:val="Normal"/>
        <w:spacing w:lineRule="auto" w:line="240" w:before="0" w:after="60"/>
        <w:ind w:hanging="567" w:left="567"/>
        <w:jc w:val="left"/>
        <w:rPr/>
      </w:pPr>
      <w:r>
        <w:rPr>
          <w:rFonts w:eastAsia="Times New Roman" w:cs="Times New Roman"/>
          <w:sz w:val="22"/>
          <w:szCs w:val="22"/>
          <w:lang w:val="en-US" w:bidi="fa-IR"/>
        </w:rPr>
        <w:t xml:space="preserve">Wang, B., Rau, P.-L. P., &amp; Yuan, T. (2023). Measuring user competence in using artificial intelligence: Validity and reliability of artificial intelligence literacy scale. </w:t>
      </w:r>
      <w:r>
        <w:rPr>
          <w:rFonts w:eastAsia="Times New Roman" w:cs="Times New Roman"/>
          <w:i/>
          <w:iCs/>
          <w:sz w:val="22"/>
          <w:szCs w:val="22"/>
          <w:lang w:val="en-US" w:bidi="fa-IR"/>
        </w:rPr>
        <w:t>Behaviour &amp; Information Technology, 42</w:t>
      </w:r>
      <w:r>
        <w:rPr>
          <w:rFonts w:eastAsia="Times New Roman" w:cs="Times New Roman"/>
          <w:sz w:val="22"/>
          <w:szCs w:val="22"/>
          <w:lang w:val="en-US" w:bidi="fa-IR"/>
        </w:rPr>
        <w:t>(9), 1324–1337. https://doi.org/10.1080/0144929X.2022.2072768</w:t>
      </w:r>
    </w:p>
    <w:sectPr>
      <w:footerReference w:type="even" r:id="rId2"/>
      <w:footerReference w:type="default" r:id="rId3"/>
      <w:footerReference w:type="first" r:id="rId4"/>
      <w:type w:val="nextPage"/>
      <w:pgSz w:w="11906" w:h="16838"/>
      <w:pgMar w:left="1417" w:right="1417" w:gutter="0" w:header="0" w:top="1417" w:footer="708"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9</w:t>
    </w:r>
    <w:r>
      <w:rPr/>
      <w:fldChar w:fldCharType="end"/>
    </w:r>
  </w:p>
</w:ftr>
</file>

<file path=word/settings.xml><?xml version="1.0" encoding="utf-8"?>
<w:settings xmlns:w="http://schemas.openxmlformats.org/wordprocessingml/2006/main">
  <w:view w:val="print"/>
  <w:zoom w:percent="100"/>
  <w:defaultTabStop w:val="720"/>
  <w:autoHyphenation w:val="true"/>
  <w:compat>
    <w:compatSetting w:name="compatibilityMode" w:uri="http://schemas.microsoft.com/office/word" w:val="15"/>
  </w:compat>
  <w:themeFontLang w:val="en-US" w:eastAsia="" w:bidi="fa-IR"/>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WenQuanYi Zen Hei" w:cs="Times New Roman"/>
        <w:sz w:val="24"/>
        <w:szCs w:val="24"/>
        <w:lang w:val="en-US" w:eastAsia="zh-CN" w:bidi="fa-IR"/>
      </w:rPr>
    </w:rPrDefault>
    <w:pPrDefault>
      <w:pPr>
        <w:suppressAutoHyphens w:val="true"/>
      </w:pPr>
    </w:pPrDefault>
  </w:docDefaults>
  <w:style w:type="paragraph" w:styleId="Normal" w:default="1">
    <w:name w:val="Normal"/>
    <w:qFormat/>
    <w:pPr>
      <w:widowControl/>
      <w:bidi w:val="0"/>
      <w:spacing w:before="0" w:after="0"/>
      <w:jc w:val="left"/>
    </w:pPr>
    <w:rPr>
      <w:rFonts w:ascii="Times New Roman" w:hAnsi="Times New Roman" w:eastAsia="WenQuanYi Zen Hei" w:cs="Times New Roman"/>
      <w:color w:val="auto"/>
      <w:kern w:val="0"/>
      <w:sz w:val="24"/>
      <w:szCs w:val="24"/>
      <w:lang w:val="en-US" w:eastAsia="zh-CN" w:bidi="fa-IR"/>
    </w:rPr>
  </w:style>
  <w:style w:type="character" w:styleId="FootnoteCharacters">
    <w:name w:val="Footnote Characters"/>
    <w:qFormat/>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pPr>
      <w:spacing w:lineRule="auto" w:line="240" w:before="0" w:after="0"/>
    </w:pPr>
    <w:rPr>
      <w:sz w:val="18"/>
      <w:szCs w:val="1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Paper 3 Questionnaire (EN)</dc:title>
</cp:coreProperties>
</file>