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60"/>
        <w:jc w:val="center"/>
        <w:rPr/>
      </w:pPr>
      <w:r>
        <w:rPr>
          <w:rFonts w:eastAsia="Times New Roman" w:cs="Times New Roman"/>
          <w:b/>
          <w:bCs/>
          <w:sz w:val="32"/>
          <w:szCs w:val="32"/>
          <w:lang w:val="en-US" w:bidi="fa-IR"/>
        </w:rPr>
        <w:t>Form or Substance? Institutional Pressures and Accountability in Public-Sector Financial Reforms</w:t>
      </w:r>
    </w:p>
    <w:p>
      <w:pPr>
        <w:pStyle w:val="Normal"/>
        <w:spacing w:lineRule="auto" w:line="276" w:before="0" w:after="100"/>
        <w:jc w:val="center"/>
        <w:rPr/>
      </w:pPr>
      <w:r>
        <w:rPr>
          <w:rFonts w:eastAsia="Times New Roman" w:cs="Times New Roman"/>
          <w:b/>
          <w:bCs/>
          <w:sz w:val="26"/>
          <w:szCs w:val="26"/>
          <w:lang w:val="en-US" w:bidi="fa-IR"/>
        </w:rPr>
        <w:t>Extended Abstract</w:t>
      </w:r>
    </w:p>
    <w:p>
      <w:pPr>
        <w:pStyle w:val="Normal"/>
        <w:keepNext w:val="true"/>
        <w:spacing w:lineRule="auto" w:line="276" w:before="100" w:after="30"/>
        <w:jc w:val="left"/>
        <w:rPr/>
      </w:pPr>
      <w:r>
        <w:rPr>
          <w:rFonts w:eastAsia="Times New Roman" w:cs="Times New Roman"/>
          <w:b/>
          <w:bCs/>
          <w:sz w:val="24"/>
          <w:szCs w:val="24"/>
          <w:lang w:val="en-US" w:bidi="fa-IR"/>
        </w:rPr>
        <w:t>Background and problem</w:t>
      </w:r>
    </w:p>
    <w:p>
      <w:pPr>
        <w:pStyle w:val="Normal"/>
        <w:spacing w:lineRule="auto" w:line="276" w:before="0" w:after="60"/>
        <w:ind w:firstLine="425"/>
        <w:jc w:val="both"/>
        <w:rPr/>
      </w:pPr>
      <w:r>
        <w:rPr>
          <w:rFonts w:eastAsia="Times New Roman" w:cs="Times New Roman"/>
          <w:sz w:val="24"/>
          <w:szCs w:val="24"/>
          <w:lang w:val="en-US" w:bidi="fa-IR"/>
        </w:rPr>
        <w:t>Performance-based budgeting and accrual accounting have been promoted in many countries through legislation and standards, yet evidence points to a gap between formal adoption and real use. Iranian studies likewise report partial implementation and legal, structural and technological obstacles. Institutional theory suggests that organisations adopt structures to gain legitimacy even when those structures are decoupled from day-to-day technical activity. The problem addressed here is how institutional pressures push executive agencies towards substantive implementation or symbolic compliance, and what each response means for financial accountability.</w:t>
      </w:r>
    </w:p>
    <w:p>
      <w:pPr>
        <w:pStyle w:val="Normal"/>
        <w:keepNext w:val="true"/>
        <w:spacing w:lineRule="auto" w:line="276" w:before="100" w:after="30"/>
        <w:jc w:val="left"/>
        <w:rPr/>
      </w:pPr>
      <w:r>
        <w:rPr>
          <w:rFonts w:eastAsia="Times New Roman" w:cs="Times New Roman"/>
          <w:b/>
          <w:bCs/>
          <w:sz w:val="24"/>
          <w:szCs w:val="24"/>
          <w:lang w:val="en-US" w:bidi="fa-IR"/>
        </w:rPr>
        <w:t>Objectives and research questions</w:t>
      </w:r>
    </w:p>
    <w:p>
      <w:pPr>
        <w:pStyle w:val="Normal"/>
        <w:spacing w:lineRule="auto" w:line="276" w:before="0" w:after="60"/>
        <w:ind w:firstLine="425"/>
        <w:jc w:val="both"/>
        <w:rPr/>
      </w:pPr>
      <w:r>
        <w:rPr>
          <w:rFonts w:eastAsia="Times New Roman" w:cs="Times New Roman"/>
          <w:sz w:val="24"/>
          <w:szCs w:val="24"/>
          <w:lang w:val="en-US" w:bidi="fa-IR"/>
        </w:rPr>
        <w:t>The study tests a model in which three institutional pressures (coercive, normative, mimetic) shape two organisational responses (substantive implementation, symbolic compliance); these affect the perceived usefulness of reported information and, through it, financial accountability, while financial information-system maturity conditions two paths. Questions: What does each pressure do to each response? How does usefulness of information link the responses to accountability? What role does system maturity play?</w:t>
      </w:r>
    </w:p>
    <w:p>
      <w:pPr>
        <w:pStyle w:val="Normal"/>
        <w:keepNext w:val="true"/>
        <w:spacing w:lineRule="auto" w:line="276" w:before="100" w:after="30"/>
        <w:jc w:val="left"/>
        <w:rPr/>
      </w:pPr>
      <w:r>
        <w:rPr>
          <w:rFonts w:eastAsia="Times New Roman" w:cs="Times New Roman"/>
          <w:b/>
          <w:bCs/>
          <w:sz w:val="24"/>
          <w:szCs w:val="24"/>
          <w:lang w:val="en-US" w:bidi="fa-IR"/>
        </w:rPr>
        <w:t>Theoretical framework</w:t>
      </w:r>
    </w:p>
    <w:p>
      <w:pPr>
        <w:pStyle w:val="Normal"/>
        <w:spacing w:lineRule="auto" w:line="276" w:before="0" w:after="60"/>
        <w:ind w:firstLine="425"/>
        <w:jc w:val="both"/>
        <w:rPr/>
      </w:pPr>
      <w:r>
        <w:rPr>
          <w:rFonts w:eastAsia="Times New Roman" w:cs="Times New Roman"/>
          <w:sz w:val="24"/>
          <w:szCs w:val="24"/>
          <w:lang w:val="en-US" w:bidi="fa-IR"/>
        </w:rPr>
        <w:t>The framework integrates institutional isomorphism, decoupling and ceremonial adoption, the literature on performance-information use, the accountability framework of information, justification and consequences, and the information-systems success model. The core argument is that institutional pressure is not a single cause with a single effect: coercion makes behaviour visible and may encourage both real implementation and display; professional norms internalise implementation; imitation breeds templates. Information usefulness is the bridge from implementation to accountability, and a mature system with auditable trails raises the cost of ceremonial behaviour. Thirteen hypotheses were derived.</w:t>
      </w:r>
    </w:p>
    <w:p>
      <w:pPr>
        <w:pStyle w:val="Normal"/>
        <w:keepNext w:val="true"/>
        <w:spacing w:lineRule="auto" w:line="276" w:before="100" w:after="30"/>
        <w:jc w:val="left"/>
        <w:rPr/>
      </w:pPr>
      <w:r>
        <w:rPr>
          <w:rFonts w:eastAsia="Times New Roman" w:cs="Times New Roman"/>
          <w:b/>
          <w:bCs/>
          <w:sz w:val="24"/>
          <w:szCs w:val="24"/>
          <w:lang w:val="en-US" w:bidi="fa-IR"/>
        </w:rPr>
        <w:t>Method</w:t>
      </w:r>
    </w:p>
    <w:p>
      <w:pPr>
        <w:pStyle w:val="Normal"/>
        <w:spacing w:lineRule="auto" w:line="276" w:before="0" w:after="60"/>
        <w:ind w:firstLine="425"/>
        <w:jc w:val="both"/>
        <w:rPr/>
      </w:pPr>
      <w:r>
        <w:rPr>
          <w:rFonts w:eastAsia="Times New Roman" w:cs="Times New Roman"/>
          <w:sz w:val="24"/>
          <w:szCs w:val="24"/>
          <w:lang w:val="en-US" w:bidi="fa-IR"/>
        </w:rPr>
        <w:t>The study is applied and survey-based. A 34-item questionnaire (eight constructs, five-point Likert) was administered to 336 financial managers, comptrollers, budget experts and accountants of executive agencies. Analysis used covariance-based structural equation modelling with fully latent variables (no item sums or means), latent interactions built from matched-pair product indicators, a 2,000-draw bootstrap for indirect and conditional indirect effects, and comparison of five competing models. Robustness was assessed with DWLS estimation, residual-centred indicators, a respecified model, outlier trimming and an experienced-respondent subsample.</w:t>
      </w:r>
    </w:p>
    <w:p>
      <w:pPr>
        <w:pStyle w:val="Normal"/>
        <w:keepNext w:val="true"/>
        <w:spacing w:lineRule="auto" w:line="276" w:before="100" w:after="30"/>
        <w:jc w:val="left"/>
        <w:rPr/>
      </w:pPr>
      <w:r>
        <w:rPr>
          <w:rFonts w:eastAsia="Times New Roman" w:cs="Times New Roman"/>
          <w:b/>
          <w:bCs/>
          <w:sz w:val="24"/>
          <w:szCs w:val="24"/>
          <w:lang w:val="en-US" w:bidi="fa-IR"/>
        </w:rPr>
        <w:t>Findings</w:t>
      </w:r>
    </w:p>
    <w:p>
      <w:pPr>
        <w:pStyle w:val="Normal"/>
        <w:spacing w:lineRule="auto" w:line="276" w:before="0" w:after="60"/>
        <w:ind w:firstLine="425"/>
        <w:jc w:val="both"/>
        <w:rPr/>
      </w:pPr>
      <w:r>
        <w:rPr>
          <w:rFonts w:eastAsia="Times New Roman" w:cs="Times New Roman"/>
          <w:sz w:val="24"/>
          <w:szCs w:val="24"/>
          <w:lang w:val="en-US" w:bidi="fa-IR"/>
        </w:rPr>
        <w:t>The measurement model fitted well (CFI = 0.990; RMSEA = 0.017; composite reliability 0.81–0.87; maximum HTMT = 0.52). Coercive pressure raised both substantive implementation (β = 0.32) and symbolic compliance (β = 0.38); normative pressure strengthened the former (β = 0.37) and weakened the latter (β = -0.22); mimetic pressure raised symbolic compliance (β = 0.33) without a significant effect on substantive implementation. Substantive implementation increased usefulness (β = 0.35) and accountability (β = 0.28); symbolic compliance reduced both (β = -0.22; -0.17); usefulness improved accountability (β = 0.36). System maturity strengthened the usefulness effect of substantive implementation (β = 0.16) and weakened the link between coercive pressure and symbolic compliance (β = -0.25). The total indirect effect of normative pressure was positive (estimate = 0.21, 95% CI [0.13, 0.30]), whereas that of coercive pressure was small (0.03) because its constructive and ceremonial routes largely offset each other. Adding direct paths from pressures to accountability did not improve fit, supporting full mediation. Results were stable across all robustness checks.</w:t>
      </w:r>
    </w:p>
    <w:p>
      <w:pPr>
        <w:pStyle w:val="Normal"/>
        <w:keepNext w:val="true"/>
        <w:spacing w:lineRule="auto" w:line="276" w:before="100" w:after="30"/>
        <w:jc w:val="left"/>
        <w:rPr/>
      </w:pPr>
      <w:r>
        <w:rPr>
          <w:rFonts w:eastAsia="Times New Roman" w:cs="Times New Roman"/>
          <w:b/>
          <w:bCs/>
          <w:sz w:val="24"/>
          <w:szCs w:val="24"/>
          <w:lang w:val="en-US" w:bidi="fa-IR"/>
        </w:rPr>
        <w:t>Conclusions and implications</w:t>
      </w:r>
    </w:p>
    <w:p>
      <w:pPr>
        <w:pStyle w:val="Normal"/>
        <w:spacing w:lineRule="auto" w:line="276" w:before="0" w:after="60"/>
        <w:ind w:firstLine="425"/>
        <w:jc w:val="both"/>
        <w:rPr/>
      </w:pPr>
      <w:r>
        <w:rPr>
          <w:rFonts w:eastAsia="Times New Roman" w:cs="Times New Roman"/>
          <w:sz w:val="24"/>
          <w:szCs w:val="24"/>
          <w:lang w:val="en-US" w:bidi="fa-IR"/>
        </w:rPr>
        <w:t>The effect of financial reforms depends less on the intensity of legal mandates than on the type of organisational response and the information infrastructure that makes it visible and usable. Strengthening professional norms, monitoring the use rather than the submission of reports, investing in integrated, real-time and auditable systems, and avoiding template imitation without localisation are the main recommendations. The study extends institutional analysis from adoption versus non-adoption to the quality of adoption.</w:t>
      </w:r>
    </w:p>
    <w:p>
      <w:pPr>
        <w:pStyle w:val="Normal"/>
        <w:keepNext w:val="true"/>
        <w:spacing w:lineRule="auto" w:line="276" w:before="100" w:after="30"/>
        <w:jc w:val="left"/>
        <w:rPr/>
      </w:pPr>
      <w:r>
        <w:rPr>
          <w:rFonts w:eastAsia="Times New Roman" w:cs="Times New Roman"/>
          <w:b/>
          <w:bCs/>
          <w:sz w:val="24"/>
          <w:szCs w:val="24"/>
          <w:lang w:val="en-US" w:bidi="fa-IR"/>
        </w:rPr>
        <w:t>Limitations and future research</w:t>
      </w:r>
    </w:p>
    <w:p>
      <w:pPr>
        <w:pStyle w:val="Normal"/>
        <w:spacing w:lineRule="auto" w:line="276" w:before="0" w:after="60"/>
        <w:ind w:firstLine="425"/>
        <w:jc w:val="both"/>
        <w:rPr/>
      </w:pPr>
      <w:r>
        <w:rPr>
          <w:rFonts w:eastAsia="Times New Roman" w:cs="Times New Roman"/>
          <w:sz w:val="24"/>
          <w:szCs w:val="24"/>
          <w:lang w:val="en-US" w:bidi="fa-IR"/>
        </w:rPr>
        <w:t>The cross-sectional, self-reported design, the newness of some scales and possible differences across agency types limit inference. Objective data (budget variance, performance-audit results), longitudinal and multi-source designs and cross-group measurement invariance are recommended.</w:t>
      </w:r>
    </w:p>
    <w:p>
      <w:pPr>
        <w:pStyle w:val="Normal"/>
        <w:spacing w:lineRule="auto" w:line="276" w:before="80" w:after="80"/>
        <w:jc w:val="both"/>
        <w:rPr/>
      </w:pPr>
      <w:r>
        <w:rPr>
          <w:rFonts w:eastAsia="Times New Roman" w:cs="Times New Roman"/>
          <w:b/>
          <w:bCs/>
          <w:sz w:val="24"/>
          <w:szCs w:val="24"/>
          <w:lang w:val="en-US" w:bidi="fa-IR"/>
        </w:rPr>
        <w:t>Keywords:</w:t>
      </w:r>
      <w:r>
        <w:rPr>
          <w:rFonts w:eastAsia="Times New Roman" w:cs="Times New Roman"/>
          <w:sz w:val="24"/>
          <w:szCs w:val="24"/>
          <w:lang w:val="en-US" w:bidi="fa-IR"/>
        </w:rPr>
        <w:t xml:space="preserve"> Financial accountability; information system maturity; institutional pressures; substantive implementation; symbolic compliance</w:t>
      </w:r>
    </w:p>
    <w:sectPr>
      <w:footerReference w:type="even" r:id="rId2"/>
      <w:footerReference w:type="default" r:id="rId3"/>
      <w:footerReference w:type="first" r:id="rId4"/>
      <w:type w:val="nextPage"/>
      <w:pgSz w:w="11906" w:h="16838"/>
      <w:pgMar w:left="1417" w:right="1417" w:gutter="0" w:header="0" w:top="1417" w:footer="708"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w:t>
    </w:r>
    <w:r>
      <w:rPr/>
      <w:fldChar w:fldCharType="end"/>
    </w:r>
  </w:p>
</w:ftr>
</file>

<file path=word/settings.xml><?xml version="1.0" encoding="utf-8"?>
<w:settings xmlns:w="http://schemas.openxmlformats.org/wordprocessingml/2006/main">
  <w:view w:val="print"/>
  <w:zoom w:percent="100"/>
  <w:defaultTabStop w:val="720"/>
  <w:autoHyphenation w:val="true"/>
  <w:compat>
    <w:compatSetting w:name="compatibilityMode" w:uri="http://schemas.microsoft.com/office/word" w:val="15"/>
  </w:compat>
  <w:themeFontLang w:val="en-US" w:eastAsia="" w:bidi="fa-I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Zen Hei" w:cs="Times New Roman"/>
        <w:sz w:val="24"/>
        <w:szCs w:val="24"/>
        <w:lang w:val="en-US" w:eastAsia="zh-CN" w:bidi="fa-IR"/>
      </w:rPr>
    </w:rPrDefault>
    <w:pPrDefault>
      <w:pPr>
        <w:suppressAutoHyphens w:val="true"/>
      </w:pPr>
    </w:pPrDefault>
  </w:docDefaults>
  <w:style w:type="paragraph" w:styleId="Normal" w:default="1">
    <w:name w:val="Normal"/>
    <w:qFormat/>
    <w:pPr>
      <w:widowControl/>
      <w:bidi w:val="0"/>
      <w:spacing w:before="0" w:after="0"/>
      <w:jc w:val="left"/>
    </w:pPr>
    <w:rPr>
      <w:rFonts w:ascii="Times New Roman" w:hAnsi="Times New Roman" w:eastAsia="WenQuanYi Zen Hei" w:cs="Times New Roman"/>
      <w:color w:val="auto"/>
      <w:kern w:val="0"/>
      <w:sz w:val="24"/>
      <w:szCs w:val="24"/>
      <w:lang w:val="en-US" w:eastAsia="zh-CN" w:bidi="fa-IR"/>
    </w:rPr>
  </w:style>
  <w:style w:type="character" w:styleId="FootnoteCharacters">
    <w:name w:val="Footnote Characters"/>
    <w:qFormat/>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spacing w:lineRule="auto" w:line="240" w:before="0" w:after="0"/>
    </w:pPr>
    <w:rPr>
      <w:sz w:val="18"/>
      <w:szCs w:val="1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Extended Abstract</dc:title>
</cp:coreProperties>
</file>